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CE" w:rsidRDefault="002C78CE" w:rsidP="002C78CE">
      <w:pPr>
        <w:pStyle w:val="Title"/>
      </w:pPr>
      <w:r w:rsidRPr="00546965">
        <w:rPr>
          <w:u w:val="single"/>
        </w:rPr>
        <w:t>Petition No.</w:t>
      </w:r>
      <w:r>
        <w:rPr>
          <w:u w:val="single"/>
        </w:rPr>
        <w:t xml:space="preserve"> </w:t>
      </w:r>
      <w:r w:rsidR="001F3F50">
        <w:rPr>
          <w:u w:val="single"/>
        </w:rPr>
        <w:t>1</w:t>
      </w:r>
      <w:r w:rsidR="00707557">
        <w:rPr>
          <w:u w:val="single"/>
        </w:rPr>
        <w:t>105</w:t>
      </w:r>
      <w:r>
        <w:rPr>
          <w:u w:val="single"/>
        </w:rPr>
        <w:t xml:space="preserve"> of 201</w:t>
      </w:r>
      <w:r w:rsidR="00707557">
        <w:rPr>
          <w:u w:val="single"/>
        </w:rPr>
        <w:t>6</w:t>
      </w:r>
    </w:p>
    <w:p w:rsidR="002C78CE" w:rsidRDefault="002C78CE" w:rsidP="002C78CE">
      <w:pPr>
        <w:pStyle w:val="Title"/>
      </w:pPr>
      <w:r>
        <w:t xml:space="preserve">BEFORE </w:t>
      </w:r>
    </w:p>
    <w:p w:rsidR="002C78CE" w:rsidRDefault="002C78CE" w:rsidP="002C78CE">
      <w:pPr>
        <w:pStyle w:val="Title"/>
      </w:pPr>
      <w:r>
        <w:t>THE UTTAR PRADESH ELECTRICITY REGULATORY COMMISSION</w:t>
      </w:r>
    </w:p>
    <w:p w:rsidR="002C78CE" w:rsidRDefault="002C78CE" w:rsidP="002C78CE">
      <w:pPr>
        <w:pStyle w:val="Title"/>
      </w:pPr>
      <w:r>
        <w:t>LUCKNOW</w:t>
      </w:r>
    </w:p>
    <w:p w:rsidR="002C78CE" w:rsidRDefault="003E0EBD" w:rsidP="002C78CE">
      <w:pPr>
        <w:spacing w:line="360" w:lineRule="auto"/>
        <w:ind w:left="2520" w:hanging="2520"/>
        <w:jc w:val="center"/>
        <w:rPr>
          <w:rFonts w:ascii="Arial" w:hAnsi="Arial" w:cs="Arial"/>
          <w:b/>
          <w:sz w:val="22"/>
        </w:rPr>
      </w:pPr>
      <w:r>
        <w:rPr>
          <w:rFonts w:ascii="Arial" w:hAnsi="Arial" w:cs="Arial"/>
          <w:b/>
          <w:sz w:val="22"/>
          <w:u w:val="single"/>
        </w:rPr>
        <w:t xml:space="preserve">Date of Order : </w:t>
      </w:r>
      <w:r w:rsidR="0013621B">
        <w:rPr>
          <w:rFonts w:ascii="Arial" w:hAnsi="Arial" w:cs="Arial"/>
          <w:b/>
          <w:sz w:val="22"/>
          <w:u w:val="single"/>
        </w:rPr>
        <w:t>22</w:t>
      </w:r>
      <w:r w:rsidR="002C78CE">
        <w:rPr>
          <w:rFonts w:ascii="Arial" w:hAnsi="Arial" w:cs="Arial"/>
          <w:b/>
          <w:sz w:val="22"/>
          <w:u w:val="single"/>
        </w:rPr>
        <w:t>.</w:t>
      </w:r>
      <w:r w:rsidR="00742DA5">
        <w:rPr>
          <w:rFonts w:ascii="Arial" w:hAnsi="Arial" w:cs="Arial"/>
          <w:b/>
          <w:sz w:val="22"/>
          <w:u w:val="single"/>
        </w:rPr>
        <w:t>1</w:t>
      </w:r>
      <w:r w:rsidR="0013621B">
        <w:rPr>
          <w:rFonts w:ascii="Arial" w:hAnsi="Arial" w:cs="Arial"/>
          <w:b/>
          <w:sz w:val="22"/>
          <w:u w:val="single"/>
        </w:rPr>
        <w:t>2</w:t>
      </w:r>
      <w:r w:rsidR="002C78CE">
        <w:rPr>
          <w:rFonts w:ascii="Arial" w:hAnsi="Arial" w:cs="Arial"/>
          <w:b/>
          <w:sz w:val="22"/>
          <w:u w:val="single"/>
        </w:rPr>
        <w:t>.201</w:t>
      </w:r>
      <w:r w:rsidR="001F3F50">
        <w:rPr>
          <w:rFonts w:ascii="Arial" w:hAnsi="Arial" w:cs="Arial"/>
          <w:b/>
          <w:sz w:val="22"/>
          <w:u w:val="single"/>
        </w:rPr>
        <w:t>6</w:t>
      </w:r>
    </w:p>
    <w:p w:rsidR="002C78CE" w:rsidRDefault="002C78CE" w:rsidP="002C78CE">
      <w:pPr>
        <w:pStyle w:val="BodyTextIndent"/>
        <w:tabs>
          <w:tab w:val="left" w:pos="2977"/>
        </w:tabs>
        <w:ind w:left="2694" w:right="-96" w:hanging="2694"/>
        <w:rPr>
          <w:b/>
          <w:i w:val="0"/>
          <w:sz w:val="22"/>
          <w:szCs w:val="22"/>
        </w:rPr>
      </w:pPr>
      <w:r>
        <w:rPr>
          <w:b/>
          <w:i w:val="0"/>
          <w:sz w:val="22"/>
          <w:szCs w:val="22"/>
        </w:rPr>
        <w:t>PRESENT:</w:t>
      </w:r>
    </w:p>
    <w:p w:rsidR="002C78CE" w:rsidRDefault="002C78CE" w:rsidP="002C78CE">
      <w:pPr>
        <w:pStyle w:val="BodyTextIndent"/>
        <w:tabs>
          <w:tab w:val="left" w:pos="2977"/>
        </w:tabs>
        <w:ind w:left="2694" w:right="-96" w:hanging="2694"/>
        <w:rPr>
          <w:b/>
          <w:i w:val="0"/>
          <w:sz w:val="22"/>
          <w:szCs w:val="22"/>
        </w:rPr>
      </w:pPr>
    </w:p>
    <w:p w:rsidR="002C78CE" w:rsidRPr="00A24063" w:rsidRDefault="002C78CE" w:rsidP="002C78CE">
      <w:pPr>
        <w:pStyle w:val="BodyTextIndent"/>
        <w:numPr>
          <w:ilvl w:val="0"/>
          <w:numId w:val="2"/>
        </w:numPr>
        <w:ind w:left="567" w:right="-96" w:hanging="567"/>
        <w:rPr>
          <w:i w:val="0"/>
        </w:rPr>
      </w:pPr>
      <w:r w:rsidRPr="00A24063">
        <w:rPr>
          <w:i w:val="0"/>
        </w:rPr>
        <w:t>Hon’ble Sri Desh Deepak Verma, Chairman</w:t>
      </w:r>
    </w:p>
    <w:p w:rsidR="001F3F50" w:rsidRPr="00A24063" w:rsidRDefault="001F3F50" w:rsidP="001F3F50">
      <w:pPr>
        <w:pStyle w:val="BodyTextIndent"/>
        <w:numPr>
          <w:ilvl w:val="0"/>
          <w:numId w:val="2"/>
        </w:numPr>
        <w:ind w:left="567" w:right="-96" w:hanging="567"/>
        <w:rPr>
          <w:i w:val="0"/>
        </w:rPr>
      </w:pPr>
      <w:r w:rsidRPr="00A24063">
        <w:rPr>
          <w:i w:val="0"/>
        </w:rPr>
        <w:t xml:space="preserve">Hon’ble </w:t>
      </w:r>
      <w:r>
        <w:rPr>
          <w:i w:val="0"/>
        </w:rPr>
        <w:t>Sri Suresh Kumar Agarwal</w:t>
      </w:r>
      <w:r w:rsidRPr="00A24063">
        <w:rPr>
          <w:i w:val="0"/>
        </w:rPr>
        <w:t>, Member</w:t>
      </w:r>
    </w:p>
    <w:p w:rsidR="001F3F50" w:rsidRPr="00A24063" w:rsidRDefault="001F3F50" w:rsidP="001F3F50">
      <w:pPr>
        <w:pStyle w:val="BodyTextIndent"/>
        <w:ind w:left="567" w:right="-96"/>
        <w:rPr>
          <w:i w:val="0"/>
        </w:rPr>
      </w:pPr>
    </w:p>
    <w:p w:rsidR="002C78CE" w:rsidRDefault="002C78CE" w:rsidP="002C78CE">
      <w:pPr>
        <w:pStyle w:val="BodyTextIndent"/>
        <w:ind w:left="2694" w:right="-618" w:hanging="2694"/>
        <w:rPr>
          <w:b/>
          <w:i w:val="0"/>
        </w:rPr>
      </w:pPr>
    </w:p>
    <w:p w:rsidR="002C78CE" w:rsidRPr="001F3F50" w:rsidRDefault="002C78CE" w:rsidP="001F3F50">
      <w:pPr>
        <w:pStyle w:val="BodyTextIndent"/>
        <w:ind w:left="2694" w:right="-618" w:hanging="2694"/>
        <w:rPr>
          <w:i w:val="0"/>
        </w:rPr>
      </w:pPr>
      <w:r>
        <w:rPr>
          <w:b/>
          <w:i w:val="0"/>
        </w:rPr>
        <w:t>IN THE MATTER</w:t>
      </w:r>
      <w:r>
        <w:rPr>
          <w:b/>
          <w:i w:val="0"/>
          <w:iCs w:val="0"/>
        </w:rPr>
        <w:t xml:space="preserve"> </w:t>
      </w:r>
      <w:r>
        <w:rPr>
          <w:b/>
          <w:i w:val="0"/>
        </w:rPr>
        <w:t>OF:</w:t>
      </w:r>
      <w:r>
        <w:rPr>
          <w:i w:val="0"/>
        </w:rPr>
        <w:t xml:space="preserve">  </w:t>
      </w:r>
      <w:r>
        <w:rPr>
          <w:i w:val="0"/>
        </w:rPr>
        <w:tab/>
      </w:r>
      <w:r w:rsidR="00565F4F">
        <w:rPr>
          <w:i w:val="0"/>
        </w:rPr>
        <w:t>Clarification on</w:t>
      </w:r>
      <w:r w:rsidR="008E08A5">
        <w:rPr>
          <w:i w:val="0"/>
        </w:rPr>
        <w:t xml:space="preserve"> the tariff policy notified by Ministry of power dated 28.01.2016</w:t>
      </w:r>
    </w:p>
    <w:p w:rsidR="002C78CE" w:rsidRPr="00203D71" w:rsidRDefault="002C78CE" w:rsidP="002C78CE">
      <w:pPr>
        <w:spacing w:line="360" w:lineRule="auto"/>
        <w:jc w:val="both"/>
        <w:rPr>
          <w:rFonts w:ascii="Arial" w:hAnsi="Arial" w:cs="Arial"/>
          <w:b/>
          <w:i/>
        </w:rPr>
      </w:pPr>
    </w:p>
    <w:p w:rsidR="002C78CE" w:rsidRPr="0050302E" w:rsidRDefault="002C78CE" w:rsidP="002C78CE">
      <w:pPr>
        <w:ind w:right="-360"/>
        <w:rPr>
          <w:rFonts w:ascii="Arial" w:hAnsi="Arial" w:cs="Arial"/>
          <w:b/>
          <w:u w:val="single"/>
        </w:rPr>
      </w:pPr>
    </w:p>
    <w:p w:rsidR="002C78CE" w:rsidRPr="002217A0" w:rsidRDefault="002C78CE" w:rsidP="002C78CE">
      <w:pPr>
        <w:tabs>
          <w:tab w:val="left" w:pos="4536"/>
        </w:tabs>
        <w:ind w:left="4320" w:right="-360" w:hanging="4320"/>
        <w:jc w:val="both"/>
        <w:rPr>
          <w:rFonts w:ascii="Arial" w:hAnsi="Arial" w:cs="Arial"/>
        </w:rPr>
      </w:pPr>
      <w:r>
        <w:rPr>
          <w:rFonts w:ascii="Arial" w:hAnsi="Arial" w:cs="Arial"/>
        </w:rPr>
        <w:t>M/s Rosa Power Supply Company Limited</w:t>
      </w:r>
    </w:p>
    <w:p w:rsidR="002C78CE" w:rsidRDefault="002C78CE" w:rsidP="002C78CE">
      <w:pPr>
        <w:tabs>
          <w:tab w:val="left" w:pos="4536"/>
        </w:tabs>
        <w:ind w:left="4320" w:right="-360" w:hanging="4320"/>
        <w:jc w:val="both"/>
        <w:rPr>
          <w:rFonts w:ascii="Arial" w:hAnsi="Arial" w:cs="Arial"/>
        </w:rPr>
      </w:pPr>
      <w:r>
        <w:rPr>
          <w:rFonts w:ascii="Arial" w:hAnsi="Arial" w:cs="Arial"/>
        </w:rPr>
        <w:t xml:space="preserve">Administrative Block, </w:t>
      </w:r>
    </w:p>
    <w:p w:rsidR="002C78CE" w:rsidRDefault="002C78CE" w:rsidP="002C78CE">
      <w:pPr>
        <w:tabs>
          <w:tab w:val="left" w:pos="4536"/>
        </w:tabs>
        <w:ind w:left="4320" w:right="-360" w:hanging="4320"/>
        <w:jc w:val="both"/>
        <w:rPr>
          <w:rFonts w:ascii="Arial" w:hAnsi="Arial" w:cs="Arial"/>
        </w:rPr>
      </w:pPr>
      <w:r>
        <w:rPr>
          <w:rFonts w:ascii="Arial" w:hAnsi="Arial" w:cs="Arial"/>
        </w:rPr>
        <w:t>Hardoi Road, P.O. Rosar Kothi, Tehsil Sadar</w:t>
      </w:r>
    </w:p>
    <w:p w:rsidR="002C78CE" w:rsidRDefault="002C78CE" w:rsidP="002C78CE">
      <w:pPr>
        <w:ind w:right="-360"/>
        <w:jc w:val="both"/>
        <w:rPr>
          <w:rFonts w:ascii="Arial" w:hAnsi="Arial" w:cs="Arial"/>
        </w:rPr>
      </w:pPr>
      <w:r>
        <w:rPr>
          <w:rFonts w:ascii="Arial" w:hAnsi="Arial" w:cs="Arial"/>
        </w:rPr>
        <w:t>Distt.  Shahjahanpur. U.P. - 240401.</w:t>
      </w:r>
    </w:p>
    <w:p w:rsidR="002C78CE" w:rsidRDefault="002C78CE" w:rsidP="002C78CE">
      <w:pPr>
        <w:tabs>
          <w:tab w:val="left" w:pos="4536"/>
        </w:tabs>
        <w:ind w:left="4320" w:right="-360" w:hanging="4320"/>
        <w:jc w:val="both"/>
        <w:rPr>
          <w:rFonts w:ascii="Arial" w:hAnsi="Arial" w:cs="Arial"/>
        </w:rPr>
      </w:pP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 xml:space="preserve">Local Office- </w:t>
      </w: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 xml:space="preserve">Rosa Power Supply Company Ltd. </w:t>
      </w: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520, F Block, Kasmanda House,</w:t>
      </w:r>
    </w:p>
    <w:p w:rsidR="002C78CE" w:rsidRPr="002E0612" w:rsidRDefault="002C78CE" w:rsidP="002C78CE">
      <w:pPr>
        <w:tabs>
          <w:tab w:val="left" w:pos="4536"/>
        </w:tabs>
        <w:ind w:left="4320" w:right="-360" w:hanging="4320"/>
        <w:jc w:val="both"/>
        <w:rPr>
          <w:rFonts w:ascii="Arial" w:hAnsi="Arial" w:cs="Arial"/>
        </w:rPr>
      </w:pPr>
      <w:r w:rsidRPr="002E0612">
        <w:rPr>
          <w:rFonts w:ascii="Arial" w:hAnsi="Arial" w:cs="Arial"/>
        </w:rPr>
        <w:t>2 Park Road, Hazratganj,</w:t>
      </w:r>
    </w:p>
    <w:p w:rsidR="002C78CE" w:rsidRDefault="002C78CE" w:rsidP="002C78CE">
      <w:pPr>
        <w:tabs>
          <w:tab w:val="left" w:pos="4536"/>
        </w:tabs>
        <w:ind w:left="4320" w:right="-360" w:hanging="4320"/>
        <w:jc w:val="both"/>
        <w:rPr>
          <w:rFonts w:ascii="Arial" w:hAnsi="Arial" w:cs="Arial"/>
        </w:rPr>
      </w:pPr>
      <w:r w:rsidRPr="002E0612">
        <w:rPr>
          <w:rFonts w:ascii="Arial" w:hAnsi="Arial" w:cs="Arial"/>
        </w:rPr>
        <w:t>Lucknow – 226001</w:t>
      </w:r>
    </w:p>
    <w:p w:rsidR="002C78CE" w:rsidRPr="0050302E" w:rsidRDefault="002C78CE" w:rsidP="002C78CE">
      <w:pPr>
        <w:pStyle w:val="BodyText"/>
        <w:spacing w:line="360" w:lineRule="auto"/>
        <w:ind w:left="360"/>
        <w:jc w:val="right"/>
        <w:rPr>
          <w:b/>
          <w:bCs/>
        </w:rPr>
      </w:pPr>
      <w:r>
        <w:rPr>
          <w:b/>
          <w:bCs/>
        </w:rPr>
        <w:t>--------------- Petitioner</w:t>
      </w:r>
    </w:p>
    <w:p w:rsidR="002C78CE" w:rsidRDefault="002C78CE" w:rsidP="002C78CE">
      <w:pPr>
        <w:ind w:right="-360"/>
        <w:jc w:val="both"/>
        <w:rPr>
          <w:rFonts w:ascii="Arial" w:hAnsi="Arial" w:cs="Arial"/>
        </w:rPr>
      </w:pPr>
      <w:r>
        <w:rPr>
          <w:rFonts w:ascii="Arial" w:hAnsi="Arial" w:cs="Arial"/>
        </w:rPr>
        <w:t>AND</w:t>
      </w:r>
    </w:p>
    <w:p w:rsidR="002C78CE" w:rsidRDefault="002C78CE" w:rsidP="002C78CE">
      <w:pPr>
        <w:ind w:right="-360"/>
        <w:rPr>
          <w:rFonts w:ascii="Arial" w:hAnsi="Arial" w:cs="Arial"/>
        </w:rPr>
      </w:pPr>
    </w:p>
    <w:p w:rsidR="002C78CE" w:rsidRDefault="002C78CE" w:rsidP="002C78CE">
      <w:pPr>
        <w:numPr>
          <w:ilvl w:val="0"/>
          <w:numId w:val="3"/>
        </w:numPr>
        <w:ind w:right="-360"/>
        <w:rPr>
          <w:rFonts w:ascii="Arial" w:hAnsi="Arial" w:cs="Arial"/>
        </w:rPr>
      </w:pPr>
      <w:r>
        <w:rPr>
          <w:rFonts w:ascii="Arial" w:hAnsi="Arial" w:cs="Arial"/>
        </w:rPr>
        <w:t>UP Power Corporation Limited</w:t>
      </w:r>
    </w:p>
    <w:p w:rsidR="002C78CE" w:rsidRDefault="002C78CE" w:rsidP="002C78CE">
      <w:pPr>
        <w:ind w:left="426" w:right="-360" w:hanging="426"/>
        <w:rPr>
          <w:rFonts w:ascii="Arial" w:hAnsi="Arial" w:cs="Arial"/>
        </w:rPr>
      </w:pPr>
      <w:r>
        <w:rPr>
          <w:rFonts w:ascii="Arial" w:hAnsi="Arial" w:cs="Arial"/>
        </w:rPr>
        <w:tab/>
      </w:r>
      <w:r>
        <w:rPr>
          <w:rFonts w:ascii="Arial" w:hAnsi="Arial" w:cs="Arial"/>
        </w:rPr>
        <w:tab/>
        <w:t>(through its Chairman)</w:t>
      </w:r>
    </w:p>
    <w:p w:rsidR="002C78CE" w:rsidRDefault="002C78CE" w:rsidP="002C78CE">
      <w:pPr>
        <w:ind w:left="426" w:right="-360" w:hanging="426"/>
        <w:rPr>
          <w:rFonts w:ascii="Arial" w:hAnsi="Arial" w:cs="Arial"/>
        </w:rPr>
      </w:pPr>
      <w:r>
        <w:rPr>
          <w:rFonts w:ascii="Arial" w:hAnsi="Arial" w:cs="Arial"/>
        </w:rPr>
        <w:tab/>
      </w:r>
      <w:r>
        <w:rPr>
          <w:rFonts w:ascii="Arial" w:hAnsi="Arial" w:cs="Arial"/>
        </w:rPr>
        <w:tab/>
        <w:t>7</w:t>
      </w:r>
      <w:r>
        <w:rPr>
          <w:rFonts w:ascii="Arial" w:hAnsi="Arial" w:cs="Arial"/>
          <w:vertAlign w:val="superscript"/>
        </w:rPr>
        <w:t>th</w:t>
      </w:r>
      <w:r>
        <w:rPr>
          <w:rFonts w:ascii="Arial" w:hAnsi="Arial" w:cs="Arial"/>
        </w:rPr>
        <w:t xml:space="preserve"> Floor, Shakti Bhawan</w:t>
      </w:r>
    </w:p>
    <w:p w:rsidR="002C78CE" w:rsidRDefault="002C78CE" w:rsidP="002C78CE">
      <w:pPr>
        <w:ind w:left="426" w:right="-360" w:hanging="426"/>
        <w:rPr>
          <w:rFonts w:ascii="Arial" w:hAnsi="Arial" w:cs="Arial"/>
        </w:rPr>
      </w:pPr>
      <w:r>
        <w:rPr>
          <w:rFonts w:ascii="Arial" w:hAnsi="Arial" w:cs="Arial"/>
        </w:rPr>
        <w:tab/>
      </w:r>
      <w:r>
        <w:rPr>
          <w:rFonts w:ascii="Arial" w:hAnsi="Arial" w:cs="Arial"/>
        </w:rPr>
        <w:tab/>
        <w:t>14- Ashok Marg, Lucknow.</w:t>
      </w:r>
    </w:p>
    <w:p w:rsidR="002C78CE" w:rsidRDefault="002C78CE" w:rsidP="002C78CE">
      <w:pPr>
        <w:ind w:left="426" w:right="-360" w:hanging="426"/>
        <w:rPr>
          <w:rFonts w:ascii="Arial" w:hAnsi="Arial" w:cs="Arial"/>
        </w:rPr>
      </w:pPr>
    </w:p>
    <w:p w:rsidR="002C78CE" w:rsidRDefault="002C78CE" w:rsidP="002C78CE">
      <w:pPr>
        <w:numPr>
          <w:ilvl w:val="0"/>
          <w:numId w:val="3"/>
        </w:numPr>
        <w:ind w:right="-360"/>
        <w:rPr>
          <w:rFonts w:ascii="Arial" w:hAnsi="Arial" w:cs="Arial"/>
        </w:rPr>
      </w:pPr>
      <w:r>
        <w:rPr>
          <w:rFonts w:ascii="Arial" w:hAnsi="Arial" w:cs="Arial"/>
        </w:rPr>
        <w:t>Chief Engineer (PPA)</w:t>
      </w:r>
    </w:p>
    <w:p w:rsidR="002C78CE" w:rsidRDefault="002C78CE" w:rsidP="002C78CE">
      <w:pPr>
        <w:ind w:left="426" w:right="-360"/>
        <w:rPr>
          <w:rFonts w:ascii="Arial" w:hAnsi="Arial" w:cs="Arial"/>
        </w:rPr>
      </w:pPr>
      <w:r>
        <w:rPr>
          <w:rFonts w:ascii="Arial" w:hAnsi="Arial" w:cs="Arial"/>
        </w:rPr>
        <w:tab/>
        <w:t>UP Power Corporation Limited</w:t>
      </w:r>
    </w:p>
    <w:p w:rsidR="002C78CE" w:rsidRDefault="002C78CE" w:rsidP="002C78CE">
      <w:pPr>
        <w:ind w:left="426" w:right="-360"/>
        <w:rPr>
          <w:rFonts w:ascii="Arial" w:hAnsi="Arial" w:cs="Arial"/>
        </w:rPr>
      </w:pPr>
      <w:r>
        <w:rPr>
          <w:rFonts w:ascii="Arial" w:hAnsi="Arial" w:cs="Arial"/>
        </w:rPr>
        <w:tab/>
        <w:t>14</w:t>
      </w:r>
      <w:r>
        <w:rPr>
          <w:rFonts w:ascii="Arial" w:hAnsi="Arial" w:cs="Arial"/>
          <w:vertAlign w:val="superscript"/>
        </w:rPr>
        <w:t>th</w:t>
      </w:r>
      <w:r>
        <w:rPr>
          <w:rFonts w:ascii="Arial" w:hAnsi="Arial" w:cs="Arial"/>
        </w:rPr>
        <w:t xml:space="preserve"> Floor, Shakti Bhawan Ext.</w:t>
      </w:r>
    </w:p>
    <w:p w:rsidR="002C78CE" w:rsidRDefault="002C78CE" w:rsidP="002C78CE">
      <w:pPr>
        <w:ind w:right="-360"/>
        <w:rPr>
          <w:rFonts w:ascii="Arial" w:hAnsi="Arial" w:cs="Arial"/>
        </w:rPr>
      </w:pPr>
      <w:r>
        <w:rPr>
          <w:rFonts w:ascii="Arial" w:hAnsi="Arial" w:cs="Arial"/>
        </w:rPr>
        <w:tab/>
        <w:t>14 Ashok Marg, Lucknow</w:t>
      </w:r>
      <w:r w:rsidRPr="002217A0">
        <w:rPr>
          <w:rFonts w:ascii="Arial" w:hAnsi="Arial" w:cs="Arial"/>
        </w:rPr>
        <w:t xml:space="preserve">   </w:t>
      </w:r>
    </w:p>
    <w:p w:rsidR="002C78CE" w:rsidRPr="00BF1CFD" w:rsidRDefault="002C78CE" w:rsidP="002C78CE">
      <w:pPr>
        <w:pStyle w:val="BodyText"/>
        <w:spacing w:line="360" w:lineRule="auto"/>
        <w:ind w:left="360"/>
        <w:jc w:val="right"/>
        <w:rPr>
          <w:b/>
          <w:bCs/>
        </w:rPr>
      </w:pPr>
      <w:r w:rsidRPr="00BF1CFD">
        <w:rPr>
          <w:b/>
          <w:bCs/>
        </w:rPr>
        <w:t>…………….Respondent</w:t>
      </w:r>
    </w:p>
    <w:p w:rsidR="002C78CE" w:rsidRDefault="002C78CE" w:rsidP="002C78CE">
      <w:pPr>
        <w:spacing w:line="360" w:lineRule="auto"/>
        <w:ind w:left="360"/>
        <w:jc w:val="both"/>
        <w:rPr>
          <w:rFonts w:ascii="Arial" w:hAnsi="Arial" w:cs="Arial"/>
          <w:bCs/>
        </w:rPr>
      </w:pPr>
      <w:r>
        <w:rPr>
          <w:rFonts w:ascii="Arial" w:hAnsi="Arial" w:cs="Arial"/>
          <w:bCs/>
        </w:rPr>
        <w:t>The following were present:</w:t>
      </w:r>
    </w:p>
    <w:p w:rsidR="00742DA5" w:rsidRPr="00742DA5" w:rsidRDefault="00742DA5" w:rsidP="00742DA5">
      <w:pPr>
        <w:pStyle w:val="ListParagraph"/>
        <w:numPr>
          <w:ilvl w:val="0"/>
          <w:numId w:val="1"/>
        </w:numPr>
        <w:spacing w:after="200" w:line="276" w:lineRule="auto"/>
        <w:contextualSpacing/>
        <w:jc w:val="both"/>
        <w:rPr>
          <w:rFonts w:ascii="Arial" w:hAnsi="Arial" w:cs="Arial"/>
          <w:bCs/>
        </w:rPr>
      </w:pPr>
      <w:r w:rsidRPr="00742DA5">
        <w:rPr>
          <w:rFonts w:ascii="Arial" w:hAnsi="Arial" w:cs="Arial"/>
          <w:bCs/>
        </w:rPr>
        <w:t>Shri V. P. Srivastava, CE, UPPCL</w:t>
      </w:r>
    </w:p>
    <w:p w:rsidR="00742DA5" w:rsidRPr="00742DA5" w:rsidRDefault="00742DA5" w:rsidP="00742DA5">
      <w:pPr>
        <w:pStyle w:val="ListParagraph"/>
        <w:numPr>
          <w:ilvl w:val="0"/>
          <w:numId w:val="1"/>
        </w:numPr>
        <w:spacing w:after="200" w:line="276" w:lineRule="auto"/>
        <w:contextualSpacing/>
        <w:jc w:val="both"/>
        <w:rPr>
          <w:rFonts w:ascii="Arial" w:hAnsi="Arial" w:cs="Arial"/>
          <w:bCs/>
        </w:rPr>
      </w:pPr>
      <w:r w:rsidRPr="00742DA5">
        <w:rPr>
          <w:rFonts w:ascii="Arial" w:hAnsi="Arial" w:cs="Arial"/>
          <w:bCs/>
        </w:rPr>
        <w:t>Shri Amit kumar Srivastava, SE (PPA) , UPPCL</w:t>
      </w:r>
    </w:p>
    <w:p w:rsidR="00742DA5" w:rsidRPr="00742DA5" w:rsidRDefault="00742DA5" w:rsidP="00742DA5">
      <w:pPr>
        <w:pStyle w:val="ListParagraph"/>
        <w:numPr>
          <w:ilvl w:val="0"/>
          <w:numId w:val="1"/>
        </w:numPr>
        <w:spacing w:after="200" w:line="276" w:lineRule="auto"/>
        <w:contextualSpacing/>
        <w:jc w:val="both"/>
        <w:rPr>
          <w:rFonts w:ascii="Arial" w:hAnsi="Arial" w:cs="Arial"/>
          <w:bCs/>
        </w:rPr>
      </w:pPr>
      <w:r w:rsidRPr="00742DA5">
        <w:rPr>
          <w:rFonts w:ascii="Arial" w:hAnsi="Arial" w:cs="Arial"/>
          <w:bCs/>
        </w:rPr>
        <w:t>Shri Naeem Khan, EE (PPA), UPPCL</w:t>
      </w:r>
    </w:p>
    <w:p w:rsidR="00742DA5" w:rsidRPr="00742DA5" w:rsidRDefault="00742DA5" w:rsidP="00742DA5">
      <w:pPr>
        <w:pStyle w:val="ListParagraph"/>
        <w:numPr>
          <w:ilvl w:val="0"/>
          <w:numId w:val="1"/>
        </w:numPr>
        <w:spacing w:after="200" w:line="276" w:lineRule="auto"/>
        <w:contextualSpacing/>
        <w:jc w:val="both"/>
        <w:rPr>
          <w:rFonts w:ascii="Arial" w:hAnsi="Arial" w:cs="Arial"/>
          <w:bCs/>
        </w:rPr>
      </w:pPr>
      <w:r w:rsidRPr="00742DA5">
        <w:rPr>
          <w:rFonts w:ascii="Arial" w:hAnsi="Arial" w:cs="Arial"/>
          <w:bCs/>
        </w:rPr>
        <w:t>Shri Rajiv Srivastava, Advocate, UPPCL</w:t>
      </w:r>
    </w:p>
    <w:p w:rsidR="00742DA5" w:rsidRPr="00742DA5" w:rsidRDefault="00742DA5" w:rsidP="00742DA5">
      <w:pPr>
        <w:pStyle w:val="ListParagraph"/>
        <w:numPr>
          <w:ilvl w:val="0"/>
          <w:numId w:val="1"/>
        </w:numPr>
        <w:spacing w:after="200" w:line="276" w:lineRule="auto"/>
        <w:contextualSpacing/>
        <w:jc w:val="both"/>
        <w:rPr>
          <w:rFonts w:ascii="Arial" w:hAnsi="Arial" w:cs="Arial"/>
          <w:bCs/>
        </w:rPr>
      </w:pPr>
      <w:r w:rsidRPr="00742DA5">
        <w:rPr>
          <w:rFonts w:ascii="Arial" w:hAnsi="Arial" w:cs="Arial"/>
          <w:bCs/>
        </w:rPr>
        <w:lastRenderedPageBreak/>
        <w:t>Shri Sumeet Notani, GM, RPSCL</w:t>
      </w:r>
    </w:p>
    <w:p w:rsidR="00742DA5" w:rsidRPr="00742DA5" w:rsidRDefault="00742DA5" w:rsidP="00742DA5">
      <w:pPr>
        <w:pStyle w:val="ListParagraph"/>
        <w:numPr>
          <w:ilvl w:val="0"/>
          <w:numId w:val="1"/>
        </w:numPr>
        <w:spacing w:after="200" w:line="276" w:lineRule="auto"/>
        <w:contextualSpacing/>
        <w:jc w:val="both"/>
        <w:rPr>
          <w:rFonts w:ascii="Arial" w:hAnsi="Arial" w:cs="Arial"/>
          <w:bCs/>
        </w:rPr>
      </w:pPr>
      <w:r w:rsidRPr="00742DA5">
        <w:rPr>
          <w:rFonts w:ascii="Arial" w:hAnsi="Arial" w:cs="Arial"/>
          <w:bCs/>
        </w:rPr>
        <w:t>Shri Ambuj Shukla, Senior Manager, RPSCL</w:t>
      </w:r>
    </w:p>
    <w:p w:rsidR="008E08A5" w:rsidRDefault="008E08A5" w:rsidP="002C78CE">
      <w:pPr>
        <w:spacing w:line="360" w:lineRule="auto"/>
        <w:ind w:left="360"/>
        <w:jc w:val="center"/>
        <w:rPr>
          <w:rFonts w:ascii="Arial" w:hAnsi="Arial" w:cs="Arial"/>
          <w:b/>
        </w:rPr>
      </w:pPr>
    </w:p>
    <w:p w:rsidR="002C78CE" w:rsidRDefault="002C78CE" w:rsidP="002C78CE">
      <w:pPr>
        <w:spacing w:line="360" w:lineRule="auto"/>
        <w:ind w:left="360"/>
        <w:jc w:val="center"/>
        <w:rPr>
          <w:rFonts w:ascii="Arial" w:hAnsi="Arial" w:cs="Arial"/>
          <w:b/>
        </w:rPr>
      </w:pPr>
      <w:r w:rsidRPr="001716EA">
        <w:rPr>
          <w:rFonts w:ascii="Arial" w:hAnsi="Arial" w:cs="Arial"/>
          <w:b/>
        </w:rPr>
        <w:t>ORDER</w:t>
      </w:r>
    </w:p>
    <w:p w:rsidR="002C78CE" w:rsidRDefault="002C78CE" w:rsidP="002C78CE">
      <w:pPr>
        <w:spacing w:line="360" w:lineRule="auto"/>
        <w:ind w:left="360"/>
        <w:jc w:val="center"/>
        <w:rPr>
          <w:rFonts w:ascii="Arial" w:hAnsi="Arial" w:cs="Arial"/>
          <w:b/>
        </w:rPr>
      </w:pPr>
      <w:r>
        <w:rPr>
          <w:rFonts w:ascii="Arial" w:hAnsi="Arial" w:cs="Arial"/>
          <w:b/>
        </w:rPr>
        <w:t xml:space="preserve">(Date of Hearing </w:t>
      </w:r>
      <w:r w:rsidR="00742DA5">
        <w:rPr>
          <w:rFonts w:ascii="Arial" w:hAnsi="Arial" w:cs="Arial"/>
          <w:b/>
        </w:rPr>
        <w:t>29</w:t>
      </w:r>
      <w:r w:rsidRPr="002C78CE">
        <w:rPr>
          <w:rFonts w:ascii="Arial" w:hAnsi="Arial" w:cs="Arial"/>
          <w:b/>
          <w:vertAlign w:val="superscript"/>
        </w:rPr>
        <w:t>th</w:t>
      </w:r>
      <w:r>
        <w:rPr>
          <w:rFonts w:ascii="Arial" w:hAnsi="Arial" w:cs="Arial"/>
          <w:b/>
        </w:rPr>
        <w:t xml:space="preserve"> </w:t>
      </w:r>
      <w:r w:rsidR="00742DA5">
        <w:rPr>
          <w:rFonts w:ascii="Arial" w:hAnsi="Arial" w:cs="Arial"/>
          <w:b/>
        </w:rPr>
        <w:t>November</w:t>
      </w:r>
      <w:r>
        <w:rPr>
          <w:rFonts w:ascii="Arial" w:hAnsi="Arial" w:cs="Arial"/>
          <w:b/>
        </w:rPr>
        <w:t>, 201</w:t>
      </w:r>
      <w:r w:rsidR="001F3F50">
        <w:rPr>
          <w:rFonts w:ascii="Arial" w:hAnsi="Arial" w:cs="Arial"/>
          <w:b/>
        </w:rPr>
        <w:t>6</w:t>
      </w:r>
      <w:r>
        <w:rPr>
          <w:rFonts w:ascii="Arial" w:hAnsi="Arial" w:cs="Arial"/>
          <w:b/>
        </w:rPr>
        <w:t>)</w:t>
      </w:r>
    </w:p>
    <w:p w:rsidR="002C78CE" w:rsidRDefault="002C78CE" w:rsidP="002C78CE">
      <w:pPr>
        <w:autoSpaceDE w:val="0"/>
        <w:autoSpaceDN w:val="0"/>
        <w:adjustRightInd w:val="0"/>
        <w:spacing w:line="360" w:lineRule="auto"/>
        <w:ind w:left="644" w:right="-360"/>
        <w:jc w:val="both"/>
        <w:rPr>
          <w:rFonts w:ascii="Arial" w:hAnsi="Arial" w:cs="Arial"/>
          <w:bCs/>
        </w:rPr>
      </w:pPr>
    </w:p>
    <w:p w:rsidR="00804B24" w:rsidRDefault="00804B24" w:rsidP="00BF78C9">
      <w:pPr>
        <w:pStyle w:val="ListParagraph"/>
        <w:numPr>
          <w:ilvl w:val="0"/>
          <w:numId w:val="4"/>
        </w:numPr>
        <w:spacing w:after="200" w:line="360" w:lineRule="auto"/>
        <w:ind w:left="646" w:hanging="646"/>
        <w:contextualSpacing/>
        <w:jc w:val="both"/>
        <w:rPr>
          <w:rFonts w:ascii="Arial" w:hAnsi="Arial" w:cs="Arial"/>
          <w:bCs/>
        </w:rPr>
      </w:pPr>
      <w:r>
        <w:rPr>
          <w:rFonts w:ascii="Arial" w:hAnsi="Arial" w:cs="Arial"/>
          <w:bCs/>
        </w:rPr>
        <w:t xml:space="preserve">Ministry of </w:t>
      </w:r>
      <w:r w:rsidR="00563591">
        <w:rPr>
          <w:rFonts w:ascii="Arial" w:hAnsi="Arial" w:cs="Arial"/>
          <w:bCs/>
        </w:rPr>
        <w:t>P</w:t>
      </w:r>
      <w:r>
        <w:rPr>
          <w:rFonts w:ascii="Arial" w:hAnsi="Arial" w:cs="Arial"/>
          <w:bCs/>
        </w:rPr>
        <w:t xml:space="preserve">ower, GoI has issued Amended Tariff Policy on 28.01.2016. Clause 5.0 of the policy is as quoted below: </w:t>
      </w:r>
    </w:p>
    <w:p w:rsidR="00804B24" w:rsidRDefault="00804B24" w:rsidP="00804B24">
      <w:pPr>
        <w:pStyle w:val="ListParagraph"/>
        <w:spacing w:after="200" w:line="360" w:lineRule="auto"/>
        <w:ind w:left="646"/>
        <w:contextualSpacing/>
        <w:jc w:val="both"/>
        <w:rPr>
          <w:rFonts w:ascii="Arial" w:hAnsi="Arial" w:cs="Arial"/>
          <w:bCs/>
        </w:rPr>
      </w:pPr>
      <w:r>
        <w:rPr>
          <w:rFonts w:ascii="Arial" w:hAnsi="Arial" w:cs="Arial"/>
          <w:bCs/>
        </w:rPr>
        <w:t xml:space="preserve"> </w:t>
      </w:r>
    </w:p>
    <w:p w:rsidR="00804B24" w:rsidRPr="00804B24" w:rsidRDefault="00804B24" w:rsidP="00804B24">
      <w:pPr>
        <w:pStyle w:val="ListParagraph"/>
        <w:spacing w:after="200" w:line="360" w:lineRule="auto"/>
        <w:ind w:left="1134"/>
        <w:contextualSpacing/>
        <w:jc w:val="both"/>
        <w:rPr>
          <w:rFonts w:ascii="Arial" w:hAnsi="Arial" w:cs="Arial"/>
          <w:bCs/>
          <w:i/>
        </w:rPr>
      </w:pPr>
      <w:r>
        <w:rPr>
          <w:rFonts w:ascii="Arial" w:hAnsi="Arial" w:cs="Arial"/>
          <w:bCs/>
          <w:i/>
        </w:rPr>
        <w:t>“</w:t>
      </w:r>
      <w:r w:rsidRPr="00804B24">
        <w:rPr>
          <w:rFonts w:ascii="Arial" w:hAnsi="Arial" w:cs="Arial"/>
          <w:bCs/>
          <w:i/>
        </w:rPr>
        <w:t>5.0 GENERAL APPROACH TO TARIFF</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Pr="00804B24" w:rsidRDefault="00804B24" w:rsidP="00804B24">
      <w:pPr>
        <w:pStyle w:val="ListParagraph"/>
        <w:spacing w:after="200" w:line="360" w:lineRule="auto"/>
        <w:ind w:left="1134"/>
        <w:contextualSpacing/>
        <w:jc w:val="both"/>
        <w:rPr>
          <w:rFonts w:ascii="Arial" w:hAnsi="Arial" w:cs="Arial"/>
          <w:bCs/>
          <w:i/>
        </w:rPr>
      </w:pPr>
      <w:r w:rsidRPr="00804B24">
        <w:rPr>
          <w:rFonts w:ascii="Arial" w:hAnsi="Arial" w:cs="Arial"/>
          <w:bCs/>
          <w:i/>
        </w:rPr>
        <w:t>5.1 Introducing competition in different segments of the electricity industry is one of the key features of the Electricity Act, 2003. Competition will lead to significant benefits to consumers through reduction in capital costs and also efficiency of operations. It will also facilitate the price to be determined competitively. The Central Government has already issued detailed guidelines for tariff based bidding process for procurement of electricity by distribution licensees.</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Pr="00804B24" w:rsidRDefault="00804B24" w:rsidP="00804B24">
      <w:pPr>
        <w:pStyle w:val="ListParagraph"/>
        <w:spacing w:after="200" w:line="360" w:lineRule="auto"/>
        <w:ind w:left="1134"/>
        <w:contextualSpacing/>
        <w:jc w:val="both"/>
        <w:rPr>
          <w:rFonts w:ascii="Arial" w:hAnsi="Arial" w:cs="Arial"/>
          <w:bCs/>
          <w:i/>
        </w:rPr>
      </w:pPr>
      <w:r w:rsidRPr="00804B24">
        <w:rPr>
          <w:rFonts w:ascii="Arial" w:hAnsi="Arial" w:cs="Arial"/>
          <w:bCs/>
          <w:i/>
        </w:rPr>
        <w:t xml:space="preserve">5.2 All future requirement of power should continue to be procured competitively by distribution licensees except in cases of expansion of existing projects or where there is a company owned or controlled by the State Government as an identified developer and where regulators will need to resort to tariff determination based on norms provided that expansion of generating capacity by private developers for this purpose would be restricted to one time addition of not more than 100% of the existing capacity. </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Pr="00804B24" w:rsidRDefault="00804B24" w:rsidP="00804B24">
      <w:pPr>
        <w:pStyle w:val="ListParagraph"/>
        <w:spacing w:after="200" w:line="360" w:lineRule="auto"/>
        <w:ind w:left="1134"/>
        <w:contextualSpacing/>
        <w:jc w:val="both"/>
        <w:rPr>
          <w:rFonts w:ascii="Arial" w:hAnsi="Arial" w:cs="Arial"/>
          <w:bCs/>
          <w:i/>
        </w:rPr>
      </w:pPr>
      <w:r w:rsidRPr="00804B24">
        <w:rPr>
          <w:rFonts w:ascii="Arial" w:hAnsi="Arial" w:cs="Arial"/>
          <w:bCs/>
          <w:i/>
        </w:rPr>
        <w:t>Provided further that the Appropriate Commission, as defined in the Electricity Act, 2003, shall ensure that in case of expansion of such projects, the benefit of sharing of infrastructure of existing project and efficiency of new technology is passed on to consumers through tariff.</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Pr="00804B24" w:rsidRDefault="00804B24" w:rsidP="00804B24">
      <w:pPr>
        <w:pStyle w:val="ListParagraph"/>
        <w:spacing w:after="200" w:line="360" w:lineRule="auto"/>
        <w:ind w:left="1134"/>
        <w:contextualSpacing/>
        <w:jc w:val="both"/>
        <w:rPr>
          <w:rFonts w:ascii="Arial" w:hAnsi="Arial" w:cs="Arial"/>
          <w:bCs/>
          <w:i/>
        </w:rPr>
      </w:pPr>
      <w:r w:rsidRPr="00804B24">
        <w:rPr>
          <w:rFonts w:ascii="Arial" w:hAnsi="Arial" w:cs="Arial"/>
          <w:bCs/>
          <w:i/>
        </w:rPr>
        <w:lastRenderedPageBreak/>
        <w:t xml:space="preserve">Provided also that the State Government can notify a policy to encourage investment in the State by allowing setting up of generating plants, including from renewable energy sources out of which a maximum of 35% of the installed capacity can be procured by the Distribution Licensees of that State for which the tariff may be determined under Section 62 of the Electricity Act, 2003. </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Pr="00804B24" w:rsidRDefault="00804B24" w:rsidP="00804B24">
      <w:pPr>
        <w:pStyle w:val="ListParagraph"/>
        <w:spacing w:after="200" w:line="360" w:lineRule="auto"/>
        <w:ind w:left="1134"/>
        <w:contextualSpacing/>
        <w:jc w:val="both"/>
        <w:rPr>
          <w:rFonts w:ascii="Arial" w:hAnsi="Arial" w:cs="Arial"/>
          <w:bCs/>
          <w:i/>
        </w:rPr>
      </w:pPr>
      <w:r w:rsidRPr="00804B24">
        <w:rPr>
          <w:rFonts w:ascii="Arial" w:hAnsi="Arial" w:cs="Arial"/>
          <w:bCs/>
          <w:i/>
        </w:rPr>
        <w:t>Provided that notwithstanding the provision contained in para 5.11(j) of the policy, the tariff for such 35% of the installed capacity shall be determined by SERC.</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Default="00804B24" w:rsidP="00804B24">
      <w:pPr>
        <w:pStyle w:val="ListParagraph"/>
        <w:spacing w:after="200" w:line="360" w:lineRule="auto"/>
        <w:ind w:left="1134"/>
        <w:contextualSpacing/>
        <w:jc w:val="both"/>
        <w:rPr>
          <w:rFonts w:ascii="Arial" w:hAnsi="Arial" w:cs="Arial"/>
          <w:bCs/>
          <w:i/>
        </w:rPr>
      </w:pPr>
      <w:r w:rsidRPr="00804B24">
        <w:rPr>
          <w:rFonts w:ascii="Arial" w:hAnsi="Arial" w:cs="Arial"/>
          <w:bCs/>
          <w:i/>
        </w:rPr>
        <w:t>However, the 15% of power outside long term PPAs allowed under para 5.7.1 of National Electricity Policy shall not be included in 35% allowed to be procured by Distribution Licensees of the State.</w:t>
      </w:r>
      <w:r>
        <w:rPr>
          <w:rFonts w:ascii="Arial" w:hAnsi="Arial" w:cs="Arial"/>
          <w:bCs/>
          <w:i/>
        </w:rPr>
        <w:t>”</w:t>
      </w:r>
    </w:p>
    <w:p w:rsidR="00804B24" w:rsidRPr="00804B24" w:rsidRDefault="00804B24" w:rsidP="00804B24">
      <w:pPr>
        <w:pStyle w:val="ListParagraph"/>
        <w:spacing w:after="200" w:line="360" w:lineRule="auto"/>
        <w:ind w:left="1134"/>
        <w:contextualSpacing/>
        <w:jc w:val="both"/>
        <w:rPr>
          <w:rFonts w:ascii="Arial" w:hAnsi="Arial" w:cs="Arial"/>
          <w:bCs/>
          <w:i/>
        </w:rPr>
      </w:pPr>
    </w:p>
    <w:p w:rsidR="00804B24" w:rsidRDefault="00804B24" w:rsidP="00BF78C9">
      <w:pPr>
        <w:pStyle w:val="ListParagraph"/>
        <w:numPr>
          <w:ilvl w:val="0"/>
          <w:numId w:val="4"/>
        </w:numPr>
        <w:spacing w:after="200" w:line="360" w:lineRule="auto"/>
        <w:ind w:left="646" w:hanging="646"/>
        <w:contextualSpacing/>
        <w:jc w:val="both"/>
        <w:rPr>
          <w:rFonts w:ascii="Arial" w:hAnsi="Arial" w:cs="Arial"/>
          <w:bCs/>
        </w:rPr>
      </w:pPr>
      <w:r>
        <w:rPr>
          <w:rFonts w:ascii="Arial" w:hAnsi="Arial" w:cs="Arial"/>
          <w:bCs/>
        </w:rPr>
        <w:t>RPSCL has requested clarification/interpretation regarding clause 5.2 above.  In their petition they have sought clarification on following:</w:t>
      </w:r>
    </w:p>
    <w:p w:rsidR="00563591" w:rsidRDefault="00563591" w:rsidP="00563591">
      <w:pPr>
        <w:pStyle w:val="ListParagraph"/>
        <w:spacing w:after="200" w:line="360" w:lineRule="auto"/>
        <w:ind w:left="646"/>
        <w:contextualSpacing/>
        <w:jc w:val="both"/>
        <w:rPr>
          <w:rFonts w:ascii="Arial" w:hAnsi="Arial" w:cs="Arial"/>
          <w:bCs/>
        </w:rPr>
      </w:pPr>
    </w:p>
    <w:p w:rsidR="00563591" w:rsidRPr="00563591" w:rsidRDefault="00563591" w:rsidP="00563591">
      <w:pPr>
        <w:pStyle w:val="ListParagraph"/>
        <w:numPr>
          <w:ilvl w:val="0"/>
          <w:numId w:val="7"/>
        </w:numPr>
        <w:spacing w:line="360" w:lineRule="auto"/>
        <w:ind w:left="1418" w:hanging="284"/>
        <w:contextualSpacing/>
        <w:jc w:val="both"/>
        <w:rPr>
          <w:rFonts w:ascii="Arial" w:hAnsi="Arial" w:cs="Arial"/>
          <w:i/>
        </w:rPr>
      </w:pPr>
      <w:r w:rsidRPr="00563591">
        <w:rPr>
          <w:rFonts w:ascii="Arial" w:hAnsi="Arial" w:cs="Arial"/>
          <w:i/>
        </w:rPr>
        <w:t>Whether private developer with existing capcity can set up expansion projects upto 100% of existing capacity?</w:t>
      </w:r>
    </w:p>
    <w:p w:rsidR="00563591" w:rsidRPr="00563591" w:rsidRDefault="00563591" w:rsidP="00563591">
      <w:pPr>
        <w:numPr>
          <w:ilvl w:val="0"/>
          <w:numId w:val="7"/>
        </w:numPr>
        <w:spacing w:line="360" w:lineRule="auto"/>
        <w:ind w:left="1418" w:hanging="284"/>
        <w:contextualSpacing/>
        <w:jc w:val="both"/>
        <w:rPr>
          <w:rFonts w:ascii="Arial" w:hAnsi="Arial" w:cs="Arial"/>
          <w:i/>
        </w:rPr>
      </w:pPr>
      <w:r w:rsidRPr="00563591">
        <w:rPr>
          <w:rFonts w:ascii="Arial" w:hAnsi="Arial" w:cs="Arial"/>
          <w:i/>
        </w:rPr>
        <w:t xml:space="preserve">Whether the expansion of entire 100% of installed capacity of existing project in Uttar Pradesh can be contracted with existing buyer i.e. Uttar Pradesh Power Corporation Limited or its subsidiary Discoms on the terms </w:t>
      </w:r>
      <w:r w:rsidR="0013621B">
        <w:rPr>
          <w:rFonts w:ascii="Arial" w:hAnsi="Arial" w:cs="Arial"/>
          <w:i/>
        </w:rPr>
        <w:t xml:space="preserve">and </w:t>
      </w:r>
      <w:r w:rsidRPr="00563591">
        <w:rPr>
          <w:rFonts w:ascii="Arial" w:hAnsi="Arial" w:cs="Arial"/>
          <w:i/>
        </w:rPr>
        <w:t>conditions of tariff approved by the Hon’ble Commission under Section 62 of the A</w:t>
      </w:r>
      <w:r w:rsidR="0013621B">
        <w:rPr>
          <w:rFonts w:ascii="Arial" w:hAnsi="Arial" w:cs="Arial"/>
          <w:i/>
        </w:rPr>
        <w:t>c</w:t>
      </w:r>
      <w:r w:rsidRPr="00563591">
        <w:rPr>
          <w:rFonts w:ascii="Arial" w:hAnsi="Arial" w:cs="Arial"/>
          <w:i/>
        </w:rPr>
        <w:t>t?</w:t>
      </w:r>
    </w:p>
    <w:p w:rsidR="00563591" w:rsidRDefault="00563591" w:rsidP="00563591">
      <w:pPr>
        <w:numPr>
          <w:ilvl w:val="0"/>
          <w:numId w:val="7"/>
        </w:numPr>
        <w:spacing w:line="360" w:lineRule="auto"/>
        <w:ind w:left="1418" w:hanging="284"/>
        <w:contextualSpacing/>
        <w:jc w:val="both"/>
        <w:rPr>
          <w:rFonts w:ascii="Arial" w:hAnsi="Arial" w:cs="Arial"/>
          <w:i/>
        </w:rPr>
      </w:pPr>
      <w:r w:rsidRPr="00563591">
        <w:rPr>
          <w:rFonts w:ascii="Arial" w:hAnsi="Arial" w:cs="Arial"/>
          <w:i/>
        </w:rPr>
        <w:t>Whether the Hon’ble Commission will consider to determine the tariff of the expansion capacity once an appropriate application is submitted before the commission?</w:t>
      </w:r>
    </w:p>
    <w:p w:rsidR="00563591" w:rsidRPr="00563591" w:rsidRDefault="00563591" w:rsidP="00563591">
      <w:pPr>
        <w:spacing w:line="360" w:lineRule="auto"/>
        <w:ind w:left="1418"/>
        <w:contextualSpacing/>
        <w:jc w:val="both"/>
        <w:rPr>
          <w:rFonts w:ascii="Arial" w:hAnsi="Arial" w:cs="Arial"/>
          <w:i/>
        </w:rPr>
      </w:pPr>
    </w:p>
    <w:p w:rsidR="00B0529F" w:rsidRDefault="00563591" w:rsidP="00742DA5">
      <w:pPr>
        <w:pStyle w:val="ListParagraph"/>
        <w:numPr>
          <w:ilvl w:val="0"/>
          <w:numId w:val="4"/>
        </w:numPr>
        <w:spacing w:after="200" w:line="360" w:lineRule="auto"/>
        <w:contextualSpacing/>
        <w:jc w:val="both"/>
        <w:rPr>
          <w:rFonts w:ascii="Arial" w:hAnsi="Arial" w:cs="Arial"/>
          <w:bCs/>
        </w:rPr>
      </w:pPr>
      <w:r w:rsidRPr="00742DA5">
        <w:rPr>
          <w:rFonts w:ascii="Arial" w:hAnsi="Arial" w:cs="Arial"/>
          <w:bCs/>
        </w:rPr>
        <w:t xml:space="preserve">At the outset, the Commission enquired about admissibility of the petition which has been filed for clarification of a provision which has been made by Ministry of Power, GoI under Amended Tariff Policy dated 28.01.2016. </w:t>
      </w:r>
      <w:r w:rsidR="00B0529F" w:rsidRPr="00742DA5">
        <w:rPr>
          <w:rFonts w:ascii="Arial" w:hAnsi="Arial" w:cs="Arial"/>
          <w:bCs/>
        </w:rPr>
        <w:t xml:space="preserve">Shri Sumeet Notani, </w:t>
      </w:r>
      <w:r w:rsidR="00B0529F" w:rsidRPr="00742DA5">
        <w:rPr>
          <w:rFonts w:ascii="Arial" w:hAnsi="Arial" w:cs="Arial"/>
          <w:bCs/>
        </w:rPr>
        <w:lastRenderedPageBreak/>
        <w:t xml:space="preserve">GM, RPSCL, submitted that they have come to the Commission for clarification on above issues </w:t>
      </w:r>
      <w:r w:rsidR="00B12171" w:rsidRPr="00742DA5">
        <w:rPr>
          <w:rFonts w:ascii="Arial" w:hAnsi="Arial" w:cs="Arial"/>
          <w:bCs/>
        </w:rPr>
        <w:t xml:space="preserve">only </w:t>
      </w:r>
      <w:r w:rsidR="00B0529F" w:rsidRPr="00742DA5">
        <w:rPr>
          <w:rFonts w:ascii="Arial" w:hAnsi="Arial" w:cs="Arial"/>
          <w:bCs/>
        </w:rPr>
        <w:t>to understand about the intent of the clause for expansion and tariff purposes</w:t>
      </w:r>
      <w:r w:rsidR="00B12171" w:rsidRPr="00742DA5">
        <w:rPr>
          <w:rFonts w:ascii="Arial" w:hAnsi="Arial" w:cs="Arial"/>
          <w:bCs/>
        </w:rPr>
        <w:t xml:space="preserve"> as they are operating in the State as an IPP</w:t>
      </w:r>
      <w:r w:rsidR="00B0529F" w:rsidRPr="00742DA5">
        <w:rPr>
          <w:rFonts w:ascii="Arial" w:hAnsi="Arial" w:cs="Arial"/>
          <w:bCs/>
        </w:rPr>
        <w:t>.</w:t>
      </w:r>
    </w:p>
    <w:p w:rsidR="00742DA5" w:rsidRPr="00742DA5" w:rsidRDefault="00742DA5" w:rsidP="00742DA5">
      <w:pPr>
        <w:pStyle w:val="ListParagraph"/>
        <w:spacing w:after="200" w:line="360" w:lineRule="auto"/>
        <w:ind w:left="644"/>
        <w:contextualSpacing/>
        <w:jc w:val="both"/>
        <w:rPr>
          <w:rFonts w:ascii="Arial" w:hAnsi="Arial" w:cs="Arial"/>
          <w:bCs/>
        </w:rPr>
      </w:pPr>
    </w:p>
    <w:p w:rsidR="006A607D" w:rsidRPr="00742DA5" w:rsidRDefault="00B0529F" w:rsidP="00742DA5">
      <w:pPr>
        <w:pStyle w:val="ListParagraph"/>
        <w:numPr>
          <w:ilvl w:val="0"/>
          <w:numId w:val="4"/>
        </w:numPr>
        <w:spacing w:after="200" w:line="360" w:lineRule="auto"/>
        <w:contextualSpacing/>
        <w:jc w:val="both"/>
        <w:rPr>
          <w:rFonts w:ascii="Arial" w:hAnsi="Arial" w:cs="Arial"/>
          <w:bCs/>
        </w:rPr>
      </w:pPr>
      <w:r w:rsidRPr="00742DA5">
        <w:rPr>
          <w:rFonts w:ascii="Arial" w:hAnsi="Arial" w:cs="Arial"/>
          <w:bCs/>
        </w:rPr>
        <w:t xml:space="preserve">The Commission categorically expressed that although clause 5.2 of the tariff policy itself </w:t>
      </w:r>
      <w:r w:rsidR="00B12171" w:rsidRPr="00742DA5">
        <w:rPr>
          <w:rFonts w:ascii="Arial" w:hAnsi="Arial" w:cs="Arial"/>
          <w:bCs/>
        </w:rPr>
        <w:t xml:space="preserve">is </w:t>
      </w:r>
      <w:r w:rsidRPr="00742DA5">
        <w:rPr>
          <w:rFonts w:ascii="Arial" w:hAnsi="Arial" w:cs="Arial"/>
          <w:bCs/>
        </w:rPr>
        <w:t xml:space="preserve">clear but </w:t>
      </w:r>
      <w:r w:rsidR="006A607D" w:rsidRPr="00742DA5">
        <w:rPr>
          <w:rFonts w:ascii="Arial" w:hAnsi="Arial" w:cs="Arial"/>
          <w:bCs/>
        </w:rPr>
        <w:t xml:space="preserve">even though if there is any clarification required by the petitioner, it can be given by the competent body only. As far as this Commission is concerned, it makes its regulations </w:t>
      </w:r>
      <w:r w:rsidR="00B12171" w:rsidRPr="00742DA5">
        <w:rPr>
          <w:rFonts w:ascii="Arial" w:hAnsi="Arial" w:cs="Arial"/>
          <w:bCs/>
        </w:rPr>
        <w:t xml:space="preserve">under the provisions of the Act </w:t>
      </w:r>
      <w:r w:rsidR="006A607D" w:rsidRPr="00742DA5">
        <w:rPr>
          <w:rFonts w:ascii="Arial" w:hAnsi="Arial" w:cs="Arial"/>
          <w:bCs/>
        </w:rPr>
        <w:t>and if there is any ambiguity or confusion in application of the regulations then the Commission comes into picture to ensure its proper application.</w:t>
      </w:r>
    </w:p>
    <w:p w:rsidR="006A607D" w:rsidRPr="006A607D" w:rsidRDefault="006A607D" w:rsidP="006A607D">
      <w:pPr>
        <w:pStyle w:val="ListParagraph"/>
        <w:rPr>
          <w:rFonts w:ascii="Arial" w:hAnsi="Arial" w:cs="Arial"/>
          <w:bCs/>
        </w:rPr>
      </w:pPr>
    </w:p>
    <w:p w:rsidR="00B0529F" w:rsidRPr="00B0529F" w:rsidRDefault="0013621B" w:rsidP="00742DA5">
      <w:pPr>
        <w:pStyle w:val="ListParagraph"/>
        <w:numPr>
          <w:ilvl w:val="0"/>
          <w:numId w:val="4"/>
        </w:numPr>
        <w:spacing w:after="200" w:line="360" w:lineRule="auto"/>
        <w:ind w:left="568" w:hanging="284"/>
        <w:contextualSpacing/>
        <w:jc w:val="both"/>
        <w:rPr>
          <w:rFonts w:ascii="Arial" w:hAnsi="Arial" w:cs="Arial"/>
          <w:bCs/>
        </w:rPr>
      </w:pPr>
      <w:r>
        <w:rPr>
          <w:rFonts w:ascii="Arial" w:hAnsi="Arial" w:cs="Arial"/>
          <w:bCs/>
        </w:rPr>
        <w:t>In view of</w:t>
      </w:r>
      <w:r w:rsidR="00B12171">
        <w:rPr>
          <w:rFonts w:ascii="Arial" w:hAnsi="Arial" w:cs="Arial"/>
          <w:bCs/>
        </w:rPr>
        <w:t xml:space="preserve"> above, the </w:t>
      </w:r>
      <w:r>
        <w:rPr>
          <w:rFonts w:ascii="Arial" w:hAnsi="Arial" w:cs="Arial"/>
          <w:bCs/>
        </w:rPr>
        <w:t>petition is</w:t>
      </w:r>
      <w:r w:rsidR="00B12171">
        <w:rPr>
          <w:rFonts w:ascii="Arial" w:hAnsi="Arial" w:cs="Arial"/>
          <w:bCs/>
        </w:rPr>
        <w:t xml:space="preserve"> dismissed.</w:t>
      </w:r>
      <w:r w:rsidR="006A607D">
        <w:rPr>
          <w:rFonts w:ascii="Arial" w:hAnsi="Arial" w:cs="Arial"/>
          <w:bCs/>
        </w:rPr>
        <w:t xml:space="preserve">  </w:t>
      </w:r>
    </w:p>
    <w:p w:rsidR="00804B24" w:rsidRDefault="00804B24" w:rsidP="00804B24">
      <w:pPr>
        <w:spacing w:after="200" w:line="360" w:lineRule="auto"/>
        <w:contextualSpacing/>
        <w:jc w:val="both"/>
        <w:rPr>
          <w:rFonts w:ascii="Arial" w:hAnsi="Arial" w:cs="Arial"/>
          <w:bCs/>
        </w:rPr>
      </w:pPr>
    </w:p>
    <w:p w:rsidR="00804B24" w:rsidRPr="00804B24" w:rsidRDefault="00804B24" w:rsidP="00804B24">
      <w:pPr>
        <w:spacing w:after="200" w:line="360" w:lineRule="auto"/>
        <w:contextualSpacing/>
        <w:jc w:val="both"/>
        <w:rPr>
          <w:rFonts w:ascii="Arial" w:hAnsi="Arial" w:cs="Arial"/>
          <w:bCs/>
        </w:rPr>
      </w:pPr>
    </w:p>
    <w:p w:rsidR="007818B3" w:rsidRDefault="007818B3" w:rsidP="007818B3">
      <w:pPr>
        <w:spacing w:line="360" w:lineRule="auto"/>
        <w:ind w:left="644" w:right="-360"/>
        <w:jc w:val="both"/>
        <w:rPr>
          <w:rFonts w:ascii="Arial" w:hAnsi="Arial" w:cs="Arial"/>
          <w:bCs/>
        </w:rPr>
      </w:pPr>
    </w:p>
    <w:p w:rsidR="007818B3" w:rsidRPr="00557388" w:rsidRDefault="007818B3" w:rsidP="007818B3">
      <w:pPr>
        <w:pStyle w:val="BodyText"/>
      </w:pPr>
      <w:r w:rsidRPr="00557388">
        <w:t>(</w:t>
      </w:r>
      <w:r w:rsidR="001F3F50" w:rsidRPr="003E3D80">
        <w:t>Suresh Kumar Agarwal</w:t>
      </w:r>
      <w:r w:rsidRPr="00557388">
        <w:t>)</w:t>
      </w:r>
      <w:r w:rsidRPr="00557388">
        <w:tab/>
        <w:t xml:space="preserve">         </w:t>
      </w:r>
      <w:r w:rsidR="00742DA5">
        <w:tab/>
      </w:r>
      <w:r w:rsidR="00742DA5">
        <w:tab/>
      </w:r>
      <w:r w:rsidR="00742DA5">
        <w:tab/>
      </w:r>
      <w:r w:rsidRPr="00557388">
        <w:tab/>
        <w:t xml:space="preserve">     </w:t>
      </w:r>
      <w:r w:rsidR="00742DA5">
        <w:tab/>
      </w:r>
      <w:r w:rsidRPr="00557388">
        <w:t xml:space="preserve">  (Desh Deepak Verma)</w:t>
      </w:r>
    </w:p>
    <w:p w:rsidR="007818B3" w:rsidRPr="00557388" w:rsidRDefault="007818B3" w:rsidP="007818B3">
      <w:pPr>
        <w:pStyle w:val="BodyText"/>
        <w:ind w:left="567"/>
      </w:pPr>
      <w:r>
        <w:t xml:space="preserve">  </w:t>
      </w:r>
      <w:r w:rsidRPr="00557388">
        <w:tab/>
        <w:t>Member</w:t>
      </w:r>
      <w:r w:rsidRPr="00557388">
        <w:tab/>
      </w:r>
      <w:r w:rsidRPr="00557388">
        <w:tab/>
        <w:t xml:space="preserve">          </w:t>
      </w:r>
      <w:r>
        <w:tab/>
        <w:t xml:space="preserve">      </w:t>
      </w:r>
      <w:r w:rsidRPr="00557388">
        <w:t xml:space="preserve"> </w:t>
      </w:r>
      <w:r w:rsidR="00B267DC">
        <w:t xml:space="preserve">  </w:t>
      </w:r>
      <w:r w:rsidRPr="00557388">
        <w:tab/>
      </w:r>
      <w:r w:rsidRPr="00557388">
        <w:tab/>
        <w:t xml:space="preserve">          </w:t>
      </w:r>
      <w:r>
        <w:t xml:space="preserve">     </w:t>
      </w:r>
      <w:r w:rsidR="00742DA5">
        <w:tab/>
      </w:r>
      <w:r w:rsidR="00742DA5">
        <w:tab/>
      </w:r>
      <w:r w:rsidR="00B267DC">
        <w:t xml:space="preserve">  </w:t>
      </w:r>
      <w:r w:rsidRPr="00557388">
        <w:t xml:space="preserve">Chairman    </w:t>
      </w:r>
      <w:r w:rsidRPr="00557388">
        <w:tab/>
        <w:t xml:space="preserve">              </w:t>
      </w:r>
    </w:p>
    <w:p w:rsidR="00B12171" w:rsidRDefault="00B12171" w:rsidP="007818B3">
      <w:pPr>
        <w:pStyle w:val="BodyText"/>
        <w:ind w:left="567" w:hanging="567"/>
        <w:contextualSpacing/>
      </w:pPr>
    </w:p>
    <w:p w:rsidR="007818B3" w:rsidRPr="00557388" w:rsidRDefault="007818B3" w:rsidP="007818B3">
      <w:pPr>
        <w:pStyle w:val="BodyText"/>
        <w:ind w:left="567" w:hanging="567"/>
        <w:contextualSpacing/>
      </w:pPr>
      <w:r w:rsidRPr="00557388">
        <w:t>Place:  Lucknow</w:t>
      </w:r>
    </w:p>
    <w:p w:rsidR="007818B3" w:rsidRPr="008223B3" w:rsidRDefault="007818B3" w:rsidP="007818B3">
      <w:pPr>
        <w:ind w:left="567" w:hanging="567"/>
        <w:contextualSpacing/>
        <w:jc w:val="both"/>
        <w:rPr>
          <w:rFonts w:ascii="Arial" w:hAnsi="Arial" w:cs="Arial"/>
          <w:sz w:val="22"/>
          <w:szCs w:val="22"/>
        </w:rPr>
      </w:pPr>
      <w:r>
        <w:rPr>
          <w:rFonts w:ascii="Arial" w:hAnsi="Arial" w:cs="Arial"/>
        </w:rPr>
        <w:t xml:space="preserve">Dated: </w:t>
      </w:r>
      <w:r w:rsidR="0013621B">
        <w:rPr>
          <w:rFonts w:ascii="Arial" w:hAnsi="Arial" w:cs="Arial"/>
        </w:rPr>
        <w:t>22</w:t>
      </w:r>
      <w:r w:rsidR="00742DA5">
        <w:rPr>
          <w:rFonts w:ascii="Arial" w:hAnsi="Arial" w:cs="Arial"/>
        </w:rPr>
        <w:t>.1</w:t>
      </w:r>
      <w:r w:rsidR="0013621B">
        <w:rPr>
          <w:rFonts w:ascii="Arial" w:hAnsi="Arial" w:cs="Arial"/>
        </w:rPr>
        <w:t>2</w:t>
      </w:r>
      <w:r w:rsidRPr="00557388">
        <w:rPr>
          <w:rFonts w:ascii="Arial" w:hAnsi="Arial" w:cs="Arial"/>
        </w:rPr>
        <w:t>.201</w:t>
      </w:r>
      <w:r w:rsidR="001F3F50">
        <w:rPr>
          <w:rFonts w:ascii="Arial" w:hAnsi="Arial" w:cs="Arial"/>
        </w:rPr>
        <w:t>6</w:t>
      </w:r>
    </w:p>
    <w:p w:rsidR="007818B3" w:rsidRPr="00D23801" w:rsidRDefault="007818B3" w:rsidP="007818B3">
      <w:pPr>
        <w:spacing w:line="360" w:lineRule="auto"/>
        <w:ind w:left="644" w:right="-360"/>
        <w:jc w:val="both"/>
        <w:rPr>
          <w:rFonts w:ascii="Arial" w:hAnsi="Arial" w:cs="Arial"/>
          <w:bCs/>
        </w:rPr>
      </w:pPr>
    </w:p>
    <w:sectPr w:rsidR="007818B3" w:rsidRPr="00D23801" w:rsidSect="001B41D2">
      <w:headerReference w:type="default" r:id="rId7"/>
      <w:footerReference w:type="default" r:id="rId8"/>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A5" w:rsidRDefault="008011A5" w:rsidP="007818B3">
      <w:r>
        <w:separator/>
      </w:r>
    </w:p>
  </w:endnote>
  <w:endnote w:type="continuationSeparator" w:id="1">
    <w:p w:rsidR="008011A5" w:rsidRDefault="008011A5"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D2" w:rsidRDefault="001B41D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3621B" w:rsidRPr="0013621B">
        <w:rPr>
          <w:rFonts w:asciiTheme="majorHAnsi" w:hAnsiTheme="majorHAnsi"/>
          <w:noProof/>
        </w:rPr>
        <w:t>4</w:t>
      </w:r>
    </w:fldSimple>
  </w:p>
  <w:p w:rsidR="001B41D2" w:rsidRDefault="001B4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A5" w:rsidRDefault="008011A5" w:rsidP="007818B3">
      <w:r>
        <w:separator/>
      </w:r>
    </w:p>
  </w:footnote>
  <w:footnote w:type="continuationSeparator" w:id="1">
    <w:p w:rsidR="008011A5" w:rsidRDefault="008011A5"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B3" w:rsidRDefault="007818B3">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BF18D9" w:rsidRPr="00BF18D9">
      <w:rPr>
        <w:noProof/>
      </w:rPr>
      <w:pict>
        <v:shapetype id="_x0000_t32" coordsize="21600,21600" o:spt="32" o:oned="t" path="m,l21600,21600e" filled="f">
          <v:path arrowok="t" fillok="f" o:connecttype="none"/>
          <o:lock v:ext="edit" shapetype="t"/>
        </v:shapetype>
        <v:shape id="_x0000_s2049" type="#_x0000_t32" style="position:absolute;margin-left:-6.75pt;margin-top:21pt;width:480pt;height:.75pt;flip:y;z-index:251658240;mso-position-horizontal-relative:text;mso-position-vertical-relative:text"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126179"/>
    <w:multiLevelType w:val="hybridMultilevel"/>
    <w:tmpl w:val="504C0582"/>
    <w:lvl w:ilvl="0" w:tplc="96EA14C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3C583DA4"/>
    <w:multiLevelType w:val="hybridMultilevel"/>
    <w:tmpl w:val="72F22E90"/>
    <w:lvl w:ilvl="0" w:tplc="3918B2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nsid w:val="3DBD2B31"/>
    <w:multiLevelType w:val="hybridMultilevel"/>
    <w:tmpl w:val="706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1E67B0"/>
    <w:multiLevelType w:val="hybridMultilevel"/>
    <w:tmpl w:val="2042D0D8"/>
    <w:lvl w:ilvl="0" w:tplc="76226DDE">
      <w:start w:val="1"/>
      <w:numFmt w:val="lowerLetter"/>
      <w:lvlText w:val="%1."/>
      <w:lvlJc w:val="left"/>
      <w:pPr>
        <w:ind w:left="1004" w:hanging="360"/>
      </w:pPr>
      <w:rPr>
        <w:rFonts w:ascii="Arial" w:eastAsia="Times New Roman" w:hAnsi="Arial" w:cs="Arial"/>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
    <w:nsid w:val="79AC7D13"/>
    <w:multiLevelType w:val="hybridMultilevel"/>
    <w:tmpl w:val="7F205A2A"/>
    <w:lvl w:ilvl="0" w:tplc="5DEEF3C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1986"/>
    <o:shapelayout v:ext="edit">
      <o:idmap v:ext="edit" data="2"/>
      <o:rules v:ext="edit">
        <o:r id="V:Rule2" type="connector" idref="#_x0000_s2049"/>
      </o:rules>
    </o:shapelayout>
  </w:hdrShapeDefaults>
  <w:footnotePr>
    <w:footnote w:id="0"/>
    <w:footnote w:id="1"/>
  </w:footnotePr>
  <w:endnotePr>
    <w:endnote w:id="0"/>
    <w:endnote w:id="1"/>
  </w:endnotePr>
  <w:compat/>
  <w:rsids>
    <w:rsidRoot w:val="002C78CE"/>
    <w:rsid w:val="000643DB"/>
    <w:rsid w:val="000A1AAA"/>
    <w:rsid w:val="0013621B"/>
    <w:rsid w:val="001377B3"/>
    <w:rsid w:val="001544F6"/>
    <w:rsid w:val="001B41D2"/>
    <w:rsid w:val="001F3F50"/>
    <w:rsid w:val="00202481"/>
    <w:rsid w:val="00212305"/>
    <w:rsid w:val="00263EA0"/>
    <w:rsid w:val="00276D43"/>
    <w:rsid w:val="00280E0B"/>
    <w:rsid w:val="00280FE2"/>
    <w:rsid w:val="002C78CE"/>
    <w:rsid w:val="002E5CB7"/>
    <w:rsid w:val="003851BF"/>
    <w:rsid w:val="003D0C6F"/>
    <w:rsid w:val="003D71C1"/>
    <w:rsid w:val="003E0EBD"/>
    <w:rsid w:val="003E3D80"/>
    <w:rsid w:val="00411FE4"/>
    <w:rsid w:val="004122DE"/>
    <w:rsid w:val="004260AA"/>
    <w:rsid w:val="00426FF4"/>
    <w:rsid w:val="004976D5"/>
    <w:rsid w:val="004A5543"/>
    <w:rsid w:val="004A6AC2"/>
    <w:rsid w:val="004D4453"/>
    <w:rsid w:val="00500D42"/>
    <w:rsid w:val="005033C4"/>
    <w:rsid w:val="00512572"/>
    <w:rsid w:val="0054208B"/>
    <w:rsid w:val="00562F09"/>
    <w:rsid w:val="00563591"/>
    <w:rsid w:val="00565F4F"/>
    <w:rsid w:val="0058589D"/>
    <w:rsid w:val="005A093B"/>
    <w:rsid w:val="005D4955"/>
    <w:rsid w:val="00612846"/>
    <w:rsid w:val="006235A8"/>
    <w:rsid w:val="00684836"/>
    <w:rsid w:val="006A607D"/>
    <w:rsid w:val="006B4F2D"/>
    <w:rsid w:val="006E107B"/>
    <w:rsid w:val="00707557"/>
    <w:rsid w:val="007333E7"/>
    <w:rsid w:val="00736408"/>
    <w:rsid w:val="00742DA5"/>
    <w:rsid w:val="00765D3E"/>
    <w:rsid w:val="007818B3"/>
    <w:rsid w:val="00794F70"/>
    <w:rsid w:val="00796EA5"/>
    <w:rsid w:val="007B0E4F"/>
    <w:rsid w:val="007F3745"/>
    <w:rsid w:val="007F39E3"/>
    <w:rsid w:val="008011A5"/>
    <w:rsid w:val="0080287C"/>
    <w:rsid w:val="00804B24"/>
    <w:rsid w:val="00891AF1"/>
    <w:rsid w:val="008E08A5"/>
    <w:rsid w:val="008F6258"/>
    <w:rsid w:val="009164A7"/>
    <w:rsid w:val="009556E6"/>
    <w:rsid w:val="00966693"/>
    <w:rsid w:val="009704A6"/>
    <w:rsid w:val="0097766D"/>
    <w:rsid w:val="009C0780"/>
    <w:rsid w:val="009D7D56"/>
    <w:rsid w:val="009F1FED"/>
    <w:rsid w:val="009F7597"/>
    <w:rsid w:val="00A046AD"/>
    <w:rsid w:val="00A16D78"/>
    <w:rsid w:val="00A17F9C"/>
    <w:rsid w:val="00A60C43"/>
    <w:rsid w:val="00AC6E40"/>
    <w:rsid w:val="00B0529F"/>
    <w:rsid w:val="00B12171"/>
    <w:rsid w:val="00B1708F"/>
    <w:rsid w:val="00B267DC"/>
    <w:rsid w:val="00B66A57"/>
    <w:rsid w:val="00B670F8"/>
    <w:rsid w:val="00B97422"/>
    <w:rsid w:val="00BB7223"/>
    <w:rsid w:val="00BC48AE"/>
    <w:rsid w:val="00BF18D9"/>
    <w:rsid w:val="00BF78C9"/>
    <w:rsid w:val="00CC1A44"/>
    <w:rsid w:val="00CC356E"/>
    <w:rsid w:val="00CE43B5"/>
    <w:rsid w:val="00D23801"/>
    <w:rsid w:val="00D32660"/>
    <w:rsid w:val="00D739E5"/>
    <w:rsid w:val="00DF1A9D"/>
    <w:rsid w:val="00E07BC3"/>
    <w:rsid w:val="00E4786E"/>
    <w:rsid w:val="00E51CFA"/>
    <w:rsid w:val="00EA5437"/>
    <w:rsid w:val="00ED7074"/>
    <w:rsid w:val="00F00770"/>
    <w:rsid w:val="00F57AA4"/>
    <w:rsid w:val="00F756DA"/>
    <w:rsid w:val="00F963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basedOn w:val="Normal"/>
    <w:link w:val="TitleChar"/>
    <w:qFormat/>
    <w:rsid w:val="002C78CE"/>
    <w:pPr>
      <w:spacing w:line="360" w:lineRule="auto"/>
      <w:jc w:val="center"/>
    </w:pPr>
    <w:rPr>
      <w:rFonts w:ascii="Arial" w:hAnsi="Arial" w:cs="Arial"/>
      <w:b/>
      <w:bCs/>
      <w:sz w:val="22"/>
    </w:rPr>
  </w:style>
  <w:style w:type="character" w:customStyle="1" w:styleId="TitleChar">
    <w:name w:val="Title Char"/>
    <w:basedOn w:val="DefaultParagraphFont"/>
    <w:link w:val="Title"/>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544221613">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35085716">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welcome</cp:lastModifiedBy>
  <cp:revision>40</cp:revision>
  <dcterms:created xsi:type="dcterms:W3CDTF">2015-07-09T08:22:00Z</dcterms:created>
  <dcterms:modified xsi:type="dcterms:W3CDTF">2029-08-20T19:34:00Z</dcterms:modified>
</cp:coreProperties>
</file>