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E2" w:rsidRPr="00942C19" w:rsidRDefault="00311BE2" w:rsidP="00311BE2">
      <w:pPr>
        <w:jc w:val="center"/>
      </w:pPr>
      <w:r w:rsidRPr="00942C19">
        <w:rPr>
          <w:noProof/>
          <w:lang w:val="en-US"/>
        </w:rPr>
        <w:drawing>
          <wp:inline distT="0" distB="0" distL="0" distR="0">
            <wp:extent cx="1371600" cy="1438275"/>
            <wp:effectExtent l="19050" t="0" r="0" b="0"/>
            <wp:docPr id="20" name="Picture 41"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perclogo"/>
                    <pic:cNvPicPr>
                      <a:picLocks noChangeAspect="1" noChangeArrowheads="1"/>
                    </pic:cNvPicPr>
                  </pic:nvPicPr>
                  <pic:blipFill>
                    <a:blip r:embed="rId8" cstate="print"/>
                    <a:srcRect/>
                    <a:stretch>
                      <a:fillRect/>
                    </a:stretch>
                  </pic:blipFill>
                  <pic:spPr bwMode="auto">
                    <a:xfrm>
                      <a:off x="0" y="0"/>
                      <a:ext cx="1371600" cy="1438275"/>
                    </a:xfrm>
                    <a:prstGeom prst="rect">
                      <a:avLst/>
                    </a:prstGeom>
                    <a:noFill/>
                    <a:ln w="9525">
                      <a:noFill/>
                      <a:miter lim="800000"/>
                      <a:headEnd/>
                      <a:tailEnd/>
                    </a:ln>
                  </pic:spPr>
                </pic:pic>
              </a:graphicData>
            </a:graphic>
          </wp:inline>
        </w:drawing>
      </w:r>
    </w:p>
    <w:p w:rsidR="00311BE2" w:rsidRPr="00942C19" w:rsidRDefault="00311BE2" w:rsidP="00311BE2">
      <w:pPr>
        <w:jc w:val="center"/>
        <w:rPr>
          <w:b/>
        </w:rPr>
      </w:pPr>
    </w:p>
    <w:p w:rsidR="00311BE2" w:rsidRPr="00942C19" w:rsidRDefault="00311BE2" w:rsidP="00311BE2">
      <w:pPr>
        <w:jc w:val="center"/>
        <w:rPr>
          <w:b/>
        </w:rPr>
      </w:pPr>
      <w:r w:rsidRPr="00942C19">
        <w:rPr>
          <w:b/>
        </w:rPr>
        <w:t>UTTAR PRADESH ELECTRICITY REGULATORY</w:t>
      </w:r>
      <w:r w:rsidR="00E624B0" w:rsidRPr="00942C19">
        <w:rPr>
          <w:b/>
        </w:rPr>
        <w:t xml:space="preserve"> </w:t>
      </w:r>
      <w:r w:rsidRPr="00942C19">
        <w:rPr>
          <w:b/>
        </w:rPr>
        <w:t>COMMISSION</w:t>
      </w:r>
    </w:p>
    <w:p w:rsidR="00A24A40" w:rsidRPr="00942C19" w:rsidRDefault="00785E17" w:rsidP="00311BE2">
      <w:pPr>
        <w:jc w:val="center"/>
        <w:rPr>
          <w:b/>
          <w:caps/>
        </w:rPr>
      </w:pPr>
      <w:r w:rsidRPr="00942C19">
        <w:rPr>
          <w:b/>
          <w:caps/>
        </w:rPr>
        <w:t>Lucknow</w:t>
      </w:r>
    </w:p>
    <w:p w:rsidR="00311BE2" w:rsidRPr="00942C19" w:rsidRDefault="00311BE2" w:rsidP="00311BE2">
      <w:pPr>
        <w:jc w:val="center"/>
      </w:pPr>
    </w:p>
    <w:p w:rsidR="00A24A40" w:rsidRPr="00942C19" w:rsidRDefault="00A24A40" w:rsidP="00311BE2">
      <w:pPr>
        <w:jc w:val="center"/>
      </w:pPr>
    </w:p>
    <w:p w:rsidR="00311BE2" w:rsidRPr="00942C19" w:rsidRDefault="00D9599A" w:rsidP="00311BE2">
      <w:pPr>
        <w:jc w:val="center"/>
      </w:pPr>
      <w:proofErr w:type="spellStart"/>
      <w:r w:rsidRPr="00942C19">
        <w:t>Suo</w:t>
      </w:r>
      <w:proofErr w:type="spellEnd"/>
      <w:r w:rsidRPr="00942C19">
        <w:t xml:space="preserve"> - </w:t>
      </w:r>
      <w:proofErr w:type="spellStart"/>
      <w:r w:rsidRPr="00942C19">
        <w:t>Motu</w:t>
      </w:r>
      <w:proofErr w:type="spellEnd"/>
      <w:r w:rsidRPr="00942C19">
        <w:t xml:space="preserve"> Case No. </w:t>
      </w:r>
      <w:r w:rsidR="00B377F5" w:rsidRPr="00942C19">
        <w:t>0</w:t>
      </w:r>
      <w:r w:rsidR="004A205B" w:rsidRPr="00942C19">
        <w:t>3</w:t>
      </w:r>
      <w:r w:rsidRPr="00942C19">
        <w:t xml:space="preserve"> of 2013</w:t>
      </w:r>
    </w:p>
    <w:p w:rsidR="00311BE2" w:rsidRPr="00942C19" w:rsidRDefault="00311BE2" w:rsidP="00311BE2">
      <w:pPr>
        <w:jc w:val="center"/>
      </w:pPr>
    </w:p>
    <w:p w:rsidR="00311BE2" w:rsidRPr="00942C19" w:rsidRDefault="00311BE2" w:rsidP="00311BE2">
      <w:pPr>
        <w:jc w:val="center"/>
      </w:pPr>
    </w:p>
    <w:p w:rsidR="00311BE2" w:rsidRPr="00942C19" w:rsidRDefault="00311BE2" w:rsidP="00311BE2">
      <w:pPr>
        <w:jc w:val="center"/>
      </w:pPr>
    </w:p>
    <w:p w:rsidR="00311BE2" w:rsidRPr="00942C19" w:rsidRDefault="00311BE2" w:rsidP="00311BE2">
      <w:pPr>
        <w:jc w:val="center"/>
      </w:pPr>
    </w:p>
    <w:p w:rsidR="00311BE2" w:rsidRPr="00942C19" w:rsidRDefault="00232C13" w:rsidP="00311BE2">
      <w:pPr>
        <w:jc w:val="center"/>
        <w:rPr>
          <w:b/>
        </w:rPr>
      </w:pPr>
      <w:r w:rsidRPr="00942C19">
        <w:rPr>
          <w:b/>
        </w:rPr>
        <w:t xml:space="preserve">SUO MOTU </w:t>
      </w:r>
      <w:r w:rsidR="00311BE2" w:rsidRPr="00942C19">
        <w:rPr>
          <w:b/>
        </w:rPr>
        <w:t xml:space="preserve">DETERMINATION OF ANNUAL REVENUE REQUIREMENT (ARR) </w:t>
      </w:r>
    </w:p>
    <w:p w:rsidR="00311BE2" w:rsidRPr="00942C19" w:rsidRDefault="00311BE2" w:rsidP="00311BE2">
      <w:pPr>
        <w:jc w:val="center"/>
        <w:rPr>
          <w:b/>
        </w:rPr>
      </w:pPr>
      <w:r w:rsidRPr="00942C19">
        <w:rPr>
          <w:b/>
        </w:rPr>
        <w:t xml:space="preserve">AND TARIFF FOR FY </w:t>
      </w:r>
      <w:r w:rsidR="00313878" w:rsidRPr="00942C19">
        <w:rPr>
          <w:b/>
        </w:rPr>
        <w:t>201</w:t>
      </w:r>
      <w:r w:rsidR="007E057F" w:rsidRPr="00942C19">
        <w:rPr>
          <w:b/>
        </w:rPr>
        <w:t>3</w:t>
      </w:r>
      <w:r w:rsidR="00313878" w:rsidRPr="00942C19">
        <w:rPr>
          <w:b/>
        </w:rPr>
        <w:t xml:space="preserve"> </w:t>
      </w:r>
      <w:r w:rsidR="00D9599A" w:rsidRPr="00942C19">
        <w:rPr>
          <w:b/>
        </w:rPr>
        <w:t>–</w:t>
      </w:r>
      <w:r w:rsidR="00313878" w:rsidRPr="00942C19">
        <w:rPr>
          <w:b/>
        </w:rPr>
        <w:t xml:space="preserve"> 1</w:t>
      </w:r>
      <w:r w:rsidR="007E057F" w:rsidRPr="00942C19">
        <w:rPr>
          <w:b/>
        </w:rPr>
        <w:t>4</w:t>
      </w:r>
    </w:p>
    <w:p w:rsidR="00D9599A" w:rsidRPr="00942C19" w:rsidRDefault="00D9599A" w:rsidP="00311BE2">
      <w:pPr>
        <w:jc w:val="center"/>
        <w:rPr>
          <w:b/>
        </w:rPr>
      </w:pPr>
      <w:r w:rsidRPr="00942C19">
        <w:rPr>
          <w:b/>
        </w:rPr>
        <w:t xml:space="preserve">FOR </w:t>
      </w:r>
    </w:p>
    <w:p w:rsidR="00D9599A" w:rsidRPr="00942C19" w:rsidRDefault="00DC3B91" w:rsidP="00311BE2">
      <w:pPr>
        <w:jc w:val="center"/>
        <w:rPr>
          <w:b/>
        </w:rPr>
      </w:pPr>
      <w:r w:rsidRPr="00942C19">
        <w:rPr>
          <w:b/>
        </w:rPr>
        <w:t>MADHYANCHAL</w:t>
      </w:r>
      <w:r w:rsidR="00D9599A" w:rsidRPr="00942C19">
        <w:rPr>
          <w:b/>
        </w:rPr>
        <w:t xml:space="preserve"> VIDYUT VITRAN NIGAM LIMITED</w:t>
      </w:r>
    </w:p>
    <w:p w:rsidR="00311BE2" w:rsidRPr="00942C19" w:rsidRDefault="00311BE2" w:rsidP="00311BE2">
      <w:pPr>
        <w:jc w:val="center"/>
      </w:pPr>
    </w:p>
    <w:p w:rsidR="00311BE2" w:rsidRPr="00942C19" w:rsidRDefault="00311BE2" w:rsidP="00311BE2">
      <w:pPr>
        <w:jc w:val="center"/>
      </w:pPr>
    </w:p>
    <w:p w:rsidR="00311BE2" w:rsidRPr="00942C19" w:rsidRDefault="00311BE2" w:rsidP="00311BE2">
      <w:pPr>
        <w:jc w:val="center"/>
      </w:pPr>
    </w:p>
    <w:p w:rsidR="00D9599A" w:rsidRPr="00942C19" w:rsidRDefault="00D9599A" w:rsidP="00311BE2">
      <w:pPr>
        <w:jc w:val="center"/>
      </w:pPr>
    </w:p>
    <w:p w:rsidR="00D9599A" w:rsidRPr="00942C19" w:rsidRDefault="00D9599A" w:rsidP="00311BE2">
      <w:pPr>
        <w:jc w:val="center"/>
      </w:pPr>
    </w:p>
    <w:p w:rsidR="00D9599A" w:rsidRPr="00942C19" w:rsidRDefault="00D9599A" w:rsidP="00311BE2">
      <w:pPr>
        <w:jc w:val="center"/>
      </w:pPr>
    </w:p>
    <w:p w:rsidR="00D9599A" w:rsidRPr="00942C19" w:rsidRDefault="00D9599A" w:rsidP="00311BE2">
      <w:pPr>
        <w:jc w:val="center"/>
      </w:pPr>
    </w:p>
    <w:p w:rsidR="00311BE2" w:rsidRPr="00942C19" w:rsidRDefault="00311BE2" w:rsidP="00311BE2">
      <w:pPr>
        <w:jc w:val="center"/>
      </w:pPr>
      <w:r w:rsidRPr="00942C19">
        <w:t>ORDER UNDER SECTION 64 OF</w:t>
      </w:r>
    </w:p>
    <w:p w:rsidR="00311BE2" w:rsidRPr="00942C19" w:rsidRDefault="00311BE2" w:rsidP="00311BE2">
      <w:pPr>
        <w:jc w:val="center"/>
      </w:pPr>
      <w:r w:rsidRPr="00942C19">
        <w:t>THE ELECTRICITY ACT, 2003</w:t>
      </w:r>
    </w:p>
    <w:p w:rsidR="00311BE2" w:rsidRPr="00942C19" w:rsidRDefault="00311BE2" w:rsidP="00311BE2">
      <w:pPr>
        <w:jc w:val="center"/>
      </w:pPr>
    </w:p>
    <w:p w:rsidR="00311BE2" w:rsidRPr="00942C19" w:rsidRDefault="00232C13" w:rsidP="00311BE2">
      <w:pPr>
        <w:jc w:val="center"/>
      </w:pPr>
      <w:r w:rsidRPr="00942C19">
        <w:t>31</w:t>
      </w:r>
      <w:r w:rsidRPr="00942C19">
        <w:rPr>
          <w:vertAlign w:val="superscript"/>
        </w:rPr>
        <w:t>st</w:t>
      </w:r>
      <w:r w:rsidRPr="00942C19">
        <w:t xml:space="preserve"> May, </w:t>
      </w:r>
      <w:r w:rsidR="00DA226D" w:rsidRPr="00942C19">
        <w:t>2013</w:t>
      </w:r>
    </w:p>
    <w:p w:rsidR="00311BE2" w:rsidRPr="00942C19" w:rsidRDefault="00311BE2" w:rsidP="00311BE2">
      <w:pPr>
        <w:jc w:val="center"/>
        <w:sectPr w:rsidR="00311BE2" w:rsidRPr="00942C19" w:rsidSect="0066627E">
          <w:headerReference w:type="default" r:id="rId9"/>
          <w:footerReference w:type="default" r:id="rId10"/>
          <w:pgSz w:w="11909" w:h="16834" w:code="9"/>
          <w:pgMar w:top="1440" w:right="1440" w:bottom="1440" w:left="1800" w:header="720" w:footer="720" w:gutter="0"/>
          <w:pgNumType w:start="1"/>
          <w:cols w:space="720"/>
          <w:titlePg/>
          <w:docGrid w:linePitch="360"/>
        </w:sectPr>
      </w:pPr>
    </w:p>
    <w:p w:rsidR="00C25F67" w:rsidRPr="00942C19" w:rsidRDefault="00C25F67" w:rsidP="00C25F67">
      <w:pPr>
        <w:jc w:val="center"/>
        <w:rPr>
          <w:b/>
          <w:sz w:val="22"/>
          <w:u w:val="single"/>
        </w:rPr>
      </w:pPr>
      <w:r w:rsidRPr="00942C19">
        <w:rPr>
          <w:b/>
          <w:sz w:val="28"/>
          <w:u w:val="single"/>
        </w:rPr>
        <w:lastRenderedPageBreak/>
        <w:t>TABLE OF CONTENTS</w:t>
      </w:r>
    </w:p>
    <w:p w:rsidR="00C25F67" w:rsidRPr="00942C19" w:rsidRDefault="00C25F67" w:rsidP="00C25F67"/>
    <w:p w:rsidR="00D72448" w:rsidRPr="00942C19" w:rsidRDefault="000C642E">
      <w:pPr>
        <w:pStyle w:val="TOC1"/>
        <w:rPr>
          <w:rFonts w:eastAsiaTheme="minorEastAsia" w:cstheme="minorBidi"/>
          <w:bCs w:val="0"/>
          <w:caps w:val="0"/>
          <w:noProof/>
          <w:sz w:val="22"/>
          <w:szCs w:val="22"/>
          <w:lang w:val="en-IN" w:eastAsia="en-IN"/>
        </w:rPr>
      </w:pPr>
      <w:r w:rsidRPr="000C642E">
        <w:rPr>
          <w:sz w:val="24"/>
          <w:szCs w:val="24"/>
        </w:rPr>
        <w:fldChar w:fldCharType="begin"/>
      </w:r>
      <w:r w:rsidR="00F43D9C" w:rsidRPr="00942C19">
        <w:rPr>
          <w:sz w:val="24"/>
          <w:szCs w:val="24"/>
        </w:rPr>
        <w:instrText xml:space="preserve"> TOC \o "1-2" \h \z \u </w:instrText>
      </w:r>
      <w:r w:rsidRPr="000C642E">
        <w:rPr>
          <w:sz w:val="24"/>
          <w:szCs w:val="24"/>
        </w:rPr>
        <w:fldChar w:fldCharType="separate"/>
      </w:r>
      <w:hyperlink w:anchor="_Toc357714346" w:history="1">
        <w:r w:rsidR="00D72448" w:rsidRPr="00942C19">
          <w:rPr>
            <w:rStyle w:val="Hyperlink"/>
            <w:noProof/>
          </w:rPr>
          <w:t>1.</w:t>
        </w:r>
        <w:r w:rsidR="00D72448" w:rsidRPr="00942C19">
          <w:rPr>
            <w:rFonts w:eastAsiaTheme="minorEastAsia" w:cstheme="minorBidi"/>
            <w:bCs w:val="0"/>
            <w:caps w:val="0"/>
            <w:noProof/>
            <w:sz w:val="22"/>
            <w:szCs w:val="22"/>
            <w:lang w:val="en-IN" w:eastAsia="en-IN"/>
          </w:rPr>
          <w:tab/>
        </w:r>
        <w:r w:rsidR="00D72448" w:rsidRPr="00942C19">
          <w:rPr>
            <w:rStyle w:val="Hyperlink"/>
            <w:noProof/>
          </w:rPr>
          <w:t>BACKGROUND AND BRIEF HISTORY</w:t>
        </w:r>
        <w:r w:rsidR="00D72448" w:rsidRPr="00942C19">
          <w:rPr>
            <w:noProof/>
            <w:webHidden/>
          </w:rPr>
          <w:tab/>
        </w:r>
        <w:r w:rsidRPr="00942C19">
          <w:rPr>
            <w:noProof/>
            <w:webHidden/>
          </w:rPr>
          <w:fldChar w:fldCharType="begin"/>
        </w:r>
        <w:r w:rsidR="00D72448" w:rsidRPr="00942C19">
          <w:rPr>
            <w:noProof/>
            <w:webHidden/>
          </w:rPr>
          <w:instrText xml:space="preserve"> PAGEREF _Toc357714346 \h </w:instrText>
        </w:r>
        <w:r w:rsidRPr="00942C19">
          <w:rPr>
            <w:noProof/>
            <w:webHidden/>
          </w:rPr>
        </w:r>
        <w:r w:rsidRPr="00942C19">
          <w:rPr>
            <w:noProof/>
            <w:webHidden/>
          </w:rPr>
          <w:fldChar w:fldCharType="separate"/>
        </w:r>
        <w:r w:rsidR="008E7C6A">
          <w:rPr>
            <w:noProof/>
            <w:webHidden/>
          </w:rPr>
          <w:t>10</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47" w:history="1">
        <w:r w:rsidR="00D72448" w:rsidRPr="00942C19">
          <w:rPr>
            <w:rStyle w:val="Hyperlink"/>
            <w:noProof/>
          </w:rPr>
          <w:t>1.1</w:t>
        </w:r>
        <w:r w:rsidR="00D72448" w:rsidRPr="00942C19">
          <w:rPr>
            <w:rFonts w:eastAsiaTheme="minorEastAsia" w:cstheme="minorBidi"/>
            <w:smallCaps w:val="0"/>
            <w:noProof/>
            <w:sz w:val="22"/>
            <w:szCs w:val="22"/>
            <w:lang w:val="en-IN" w:eastAsia="en-IN"/>
          </w:rPr>
          <w:tab/>
        </w:r>
        <w:r w:rsidR="00D72448" w:rsidRPr="00942C19">
          <w:rPr>
            <w:rStyle w:val="Hyperlink"/>
            <w:noProof/>
          </w:rPr>
          <w:t>BACKGROUND:</w:t>
        </w:r>
        <w:r w:rsidR="00D72448" w:rsidRPr="00942C19">
          <w:rPr>
            <w:noProof/>
            <w:webHidden/>
          </w:rPr>
          <w:tab/>
        </w:r>
        <w:r w:rsidRPr="00942C19">
          <w:rPr>
            <w:noProof/>
            <w:webHidden/>
          </w:rPr>
          <w:fldChar w:fldCharType="begin"/>
        </w:r>
        <w:r w:rsidR="00D72448" w:rsidRPr="00942C19">
          <w:rPr>
            <w:noProof/>
            <w:webHidden/>
          </w:rPr>
          <w:instrText xml:space="preserve"> PAGEREF _Toc357714347 \h </w:instrText>
        </w:r>
        <w:r w:rsidRPr="00942C19">
          <w:rPr>
            <w:noProof/>
            <w:webHidden/>
          </w:rPr>
        </w:r>
        <w:r w:rsidRPr="00942C19">
          <w:rPr>
            <w:noProof/>
            <w:webHidden/>
          </w:rPr>
          <w:fldChar w:fldCharType="separate"/>
        </w:r>
        <w:r w:rsidR="008E7C6A">
          <w:rPr>
            <w:noProof/>
            <w:webHidden/>
          </w:rPr>
          <w:t>10</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48" w:history="1">
        <w:r w:rsidR="00D72448" w:rsidRPr="00942C19">
          <w:rPr>
            <w:rStyle w:val="Hyperlink"/>
            <w:noProof/>
          </w:rPr>
          <w:t>1.2</w:t>
        </w:r>
        <w:r w:rsidR="00D72448" w:rsidRPr="00942C19">
          <w:rPr>
            <w:rFonts w:eastAsiaTheme="minorEastAsia" w:cstheme="minorBidi"/>
            <w:smallCaps w:val="0"/>
            <w:noProof/>
            <w:sz w:val="22"/>
            <w:szCs w:val="22"/>
            <w:lang w:val="en-IN" w:eastAsia="en-IN"/>
          </w:rPr>
          <w:tab/>
        </w:r>
        <w:r w:rsidR="00D72448" w:rsidRPr="00942C19">
          <w:rPr>
            <w:rStyle w:val="Hyperlink"/>
            <w:noProof/>
          </w:rPr>
          <w:t>DISTRIBUTION&amp; TRANSMISSION TARIFF REGULATIONS:</w:t>
        </w:r>
        <w:r w:rsidR="00D72448" w:rsidRPr="00942C19">
          <w:rPr>
            <w:noProof/>
            <w:webHidden/>
          </w:rPr>
          <w:tab/>
        </w:r>
        <w:r w:rsidRPr="00942C19">
          <w:rPr>
            <w:noProof/>
            <w:webHidden/>
          </w:rPr>
          <w:fldChar w:fldCharType="begin"/>
        </w:r>
        <w:r w:rsidR="00D72448" w:rsidRPr="00942C19">
          <w:rPr>
            <w:noProof/>
            <w:webHidden/>
          </w:rPr>
          <w:instrText xml:space="preserve"> PAGEREF _Toc357714348 \h </w:instrText>
        </w:r>
        <w:r w:rsidRPr="00942C19">
          <w:rPr>
            <w:noProof/>
            <w:webHidden/>
          </w:rPr>
        </w:r>
        <w:r w:rsidRPr="00942C19">
          <w:rPr>
            <w:noProof/>
            <w:webHidden/>
          </w:rPr>
          <w:fldChar w:fldCharType="separate"/>
        </w:r>
        <w:r w:rsidR="008E7C6A">
          <w:rPr>
            <w:noProof/>
            <w:webHidden/>
          </w:rPr>
          <w:t>11</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349" w:history="1">
        <w:r w:rsidR="00D72448" w:rsidRPr="00942C19">
          <w:rPr>
            <w:rStyle w:val="Hyperlink"/>
            <w:noProof/>
          </w:rPr>
          <w:t>2.</w:t>
        </w:r>
        <w:r w:rsidR="00D72448" w:rsidRPr="00942C19">
          <w:rPr>
            <w:rFonts w:eastAsiaTheme="minorEastAsia" w:cstheme="minorBidi"/>
            <w:bCs w:val="0"/>
            <w:caps w:val="0"/>
            <w:noProof/>
            <w:sz w:val="22"/>
            <w:szCs w:val="22"/>
            <w:lang w:val="en-IN" w:eastAsia="en-IN"/>
          </w:rPr>
          <w:tab/>
        </w:r>
        <w:r w:rsidR="00D72448" w:rsidRPr="00942C19">
          <w:rPr>
            <w:rStyle w:val="Hyperlink"/>
            <w:noProof/>
          </w:rPr>
          <w:t>PROCEDURAL HISTORY</w:t>
        </w:r>
        <w:r w:rsidR="00D72448" w:rsidRPr="00942C19">
          <w:rPr>
            <w:noProof/>
            <w:webHidden/>
          </w:rPr>
          <w:tab/>
        </w:r>
        <w:r w:rsidRPr="00942C19">
          <w:rPr>
            <w:noProof/>
            <w:webHidden/>
          </w:rPr>
          <w:fldChar w:fldCharType="begin"/>
        </w:r>
        <w:r w:rsidR="00D72448" w:rsidRPr="00942C19">
          <w:rPr>
            <w:noProof/>
            <w:webHidden/>
          </w:rPr>
          <w:instrText xml:space="preserve"> PAGEREF _Toc357714349 \h </w:instrText>
        </w:r>
        <w:r w:rsidRPr="00942C19">
          <w:rPr>
            <w:noProof/>
            <w:webHidden/>
          </w:rPr>
        </w:r>
        <w:r w:rsidRPr="00942C19">
          <w:rPr>
            <w:noProof/>
            <w:webHidden/>
          </w:rPr>
          <w:fldChar w:fldCharType="separate"/>
        </w:r>
        <w:r w:rsidR="008E7C6A">
          <w:rPr>
            <w:noProof/>
            <w:webHidden/>
          </w:rPr>
          <w:t>13</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0" w:history="1">
        <w:r w:rsidR="00D72448" w:rsidRPr="00942C19">
          <w:rPr>
            <w:rStyle w:val="Hyperlink"/>
            <w:noProof/>
          </w:rPr>
          <w:t>2.1</w:t>
        </w:r>
        <w:r w:rsidR="00D72448" w:rsidRPr="00942C19">
          <w:rPr>
            <w:rFonts w:eastAsiaTheme="minorEastAsia" w:cstheme="minorBidi"/>
            <w:smallCaps w:val="0"/>
            <w:noProof/>
            <w:sz w:val="22"/>
            <w:szCs w:val="22"/>
            <w:lang w:val="en-IN" w:eastAsia="en-IN"/>
          </w:rPr>
          <w:tab/>
        </w:r>
        <w:r w:rsidR="00D72448" w:rsidRPr="00942C19">
          <w:rPr>
            <w:rStyle w:val="Hyperlink"/>
            <w:noProof/>
          </w:rPr>
          <w:t>ARR &amp; TARIFF PETITION FILING BY THE LICENSEES</w:t>
        </w:r>
        <w:r w:rsidR="00D72448" w:rsidRPr="00942C19">
          <w:rPr>
            <w:noProof/>
            <w:webHidden/>
          </w:rPr>
          <w:tab/>
        </w:r>
        <w:r w:rsidRPr="00942C19">
          <w:rPr>
            <w:noProof/>
            <w:webHidden/>
          </w:rPr>
          <w:fldChar w:fldCharType="begin"/>
        </w:r>
        <w:r w:rsidR="00D72448" w:rsidRPr="00942C19">
          <w:rPr>
            <w:noProof/>
            <w:webHidden/>
          </w:rPr>
          <w:instrText xml:space="preserve"> PAGEREF _Toc357714350 \h </w:instrText>
        </w:r>
        <w:r w:rsidRPr="00942C19">
          <w:rPr>
            <w:noProof/>
            <w:webHidden/>
          </w:rPr>
        </w:r>
        <w:r w:rsidRPr="00942C19">
          <w:rPr>
            <w:noProof/>
            <w:webHidden/>
          </w:rPr>
          <w:fldChar w:fldCharType="separate"/>
        </w:r>
        <w:r w:rsidR="008E7C6A">
          <w:rPr>
            <w:noProof/>
            <w:webHidden/>
          </w:rPr>
          <w:t>13</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1" w:history="1">
        <w:r w:rsidR="00D72448" w:rsidRPr="00942C19">
          <w:rPr>
            <w:rStyle w:val="Hyperlink"/>
            <w:noProof/>
          </w:rPr>
          <w:t>2.2</w:t>
        </w:r>
        <w:r w:rsidR="00D72448" w:rsidRPr="00942C19">
          <w:rPr>
            <w:rFonts w:eastAsiaTheme="minorEastAsia" w:cstheme="minorBidi"/>
            <w:smallCaps w:val="0"/>
            <w:noProof/>
            <w:sz w:val="22"/>
            <w:szCs w:val="22"/>
            <w:lang w:val="en-IN" w:eastAsia="en-IN"/>
          </w:rPr>
          <w:tab/>
        </w:r>
        <w:r w:rsidR="00D72448" w:rsidRPr="00942C19">
          <w:rPr>
            <w:rStyle w:val="Hyperlink"/>
            <w:noProof/>
          </w:rPr>
          <w:t>PRELIMINARY SCRUTINY OF THE PETITIONS:</w:t>
        </w:r>
        <w:r w:rsidR="00D72448" w:rsidRPr="00942C19">
          <w:rPr>
            <w:noProof/>
            <w:webHidden/>
          </w:rPr>
          <w:tab/>
        </w:r>
        <w:r w:rsidRPr="00942C19">
          <w:rPr>
            <w:noProof/>
            <w:webHidden/>
          </w:rPr>
          <w:fldChar w:fldCharType="begin"/>
        </w:r>
        <w:r w:rsidR="00D72448" w:rsidRPr="00942C19">
          <w:rPr>
            <w:noProof/>
            <w:webHidden/>
          </w:rPr>
          <w:instrText xml:space="preserve"> PAGEREF _Toc357714351 \h </w:instrText>
        </w:r>
        <w:r w:rsidRPr="00942C19">
          <w:rPr>
            <w:noProof/>
            <w:webHidden/>
          </w:rPr>
        </w:r>
        <w:r w:rsidRPr="00942C19">
          <w:rPr>
            <w:noProof/>
            <w:webHidden/>
          </w:rPr>
          <w:fldChar w:fldCharType="separate"/>
        </w:r>
        <w:r w:rsidR="008E7C6A">
          <w:rPr>
            <w:noProof/>
            <w:webHidden/>
          </w:rPr>
          <w:t>13</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2" w:history="1">
        <w:r w:rsidR="00D72448" w:rsidRPr="00942C19">
          <w:rPr>
            <w:rStyle w:val="Hyperlink"/>
            <w:noProof/>
          </w:rPr>
          <w:t>2.3</w:t>
        </w:r>
        <w:r w:rsidR="00D72448" w:rsidRPr="00942C19">
          <w:rPr>
            <w:rFonts w:eastAsiaTheme="minorEastAsia" w:cstheme="minorBidi"/>
            <w:smallCaps w:val="0"/>
            <w:noProof/>
            <w:sz w:val="22"/>
            <w:szCs w:val="22"/>
            <w:lang w:val="en-IN" w:eastAsia="en-IN"/>
          </w:rPr>
          <w:tab/>
        </w:r>
        <w:r w:rsidR="00D72448" w:rsidRPr="00942C19">
          <w:rPr>
            <w:rStyle w:val="Hyperlink"/>
            <w:noProof/>
          </w:rPr>
          <w:t>PUBLICITY OF THE PETITION</w:t>
        </w:r>
        <w:r w:rsidR="00D72448" w:rsidRPr="00942C19">
          <w:rPr>
            <w:noProof/>
            <w:webHidden/>
          </w:rPr>
          <w:tab/>
        </w:r>
        <w:r w:rsidRPr="00942C19">
          <w:rPr>
            <w:noProof/>
            <w:webHidden/>
          </w:rPr>
          <w:fldChar w:fldCharType="begin"/>
        </w:r>
        <w:r w:rsidR="00D72448" w:rsidRPr="00942C19">
          <w:rPr>
            <w:noProof/>
            <w:webHidden/>
          </w:rPr>
          <w:instrText xml:space="preserve"> PAGEREF _Toc357714352 \h </w:instrText>
        </w:r>
        <w:r w:rsidRPr="00942C19">
          <w:rPr>
            <w:noProof/>
            <w:webHidden/>
          </w:rPr>
        </w:r>
        <w:r w:rsidRPr="00942C19">
          <w:rPr>
            <w:noProof/>
            <w:webHidden/>
          </w:rPr>
          <w:fldChar w:fldCharType="separate"/>
        </w:r>
        <w:r w:rsidR="008E7C6A">
          <w:rPr>
            <w:noProof/>
            <w:webHidden/>
          </w:rPr>
          <w:t>17</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353" w:history="1">
        <w:r w:rsidR="00D72448" w:rsidRPr="00942C19">
          <w:rPr>
            <w:rStyle w:val="Hyperlink"/>
            <w:noProof/>
          </w:rPr>
          <w:t>3.</w:t>
        </w:r>
        <w:r w:rsidR="00D72448" w:rsidRPr="00942C19">
          <w:rPr>
            <w:rFonts w:eastAsiaTheme="minorEastAsia" w:cstheme="minorBidi"/>
            <w:bCs w:val="0"/>
            <w:caps w:val="0"/>
            <w:noProof/>
            <w:sz w:val="22"/>
            <w:szCs w:val="22"/>
            <w:lang w:val="en-IN" w:eastAsia="en-IN"/>
          </w:rPr>
          <w:tab/>
        </w:r>
        <w:r w:rsidR="00D72448" w:rsidRPr="00942C19">
          <w:rPr>
            <w:rStyle w:val="Hyperlink"/>
            <w:noProof/>
          </w:rPr>
          <w:t>PUBLIC HEARING PROCESS</w:t>
        </w:r>
        <w:r w:rsidR="00D72448" w:rsidRPr="00942C19">
          <w:rPr>
            <w:noProof/>
            <w:webHidden/>
          </w:rPr>
          <w:tab/>
        </w:r>
        <w:r w:rsidRPr="00942C19">
          <w:rPr>
            <w:noProof/>
            <w:webHidden/>
          </w:rPr>
          <w:fldChar w:fldCharType="begin"/>
        </w:r>
        <w:r w:rsidR="00D72448" w:rsidRPr="00942C19">
          <w:rPr>
            <w:noProof/>
            <w:webHidden/>
          </w:rPr>
          <w:instrText xml:space="preserve"> PAGEREF _Toc357714353 \h </w:instrText>
        </w:r>
        <w:r w:rsidRPr="00942C19">
          <w:rPr>
            <w:noProof/>
            <w:webHidden/>
          </w:rPr>
        </w:r>
        <w:r w:rsidRPr="00942C19">
          <w:rPr>
            <w:noProof/>
            <w:webHidden/>
          </w:rPr>
          <w:fldChar w:fldCharType="separate"/>
        </w:r>
        <w:r w:rsidR="008E7C6A">
          <w:rPr>
            <w:noProof/>
            <w:webHidden/>
          </w:rPr>
          <w:t>18</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4" w:history="1">
        <w:r w:rsidR="00D72448" w:rsidRPr="00942C19">
          <w:rPr>
            <w:rStyle w:val="Hyperlink"/>
            <w:noProof/>
          </w:rPr>
          <w:t>3.1</w:t>
        </w:r>
        <w:r w:rsidR="00D72448" w:rsidRPr="00942C19">
          <w:rPr>
            <w:rFonts w:eastAsiaTheme="minorEastAsia" w:cstheme="minorBidi"/>
            <w:smallCaps w:val="0"/>
            <w:noProof/>
            <w:sz w:val="22"/>
            <w:szCs w:val="22"/>
            <w:lang w:val="en-IN" w:eastAsia="en-IN"/>
          </w:rPr>
          <w:tab/>
        </w:r>
        <w:r w:rsidR="00D72448" w:rsidRPr="00942C19">
          <w:rPr>
            <w:rStyle w:val="Hyperlink"/>
            <w:noProof/>
          </w:rPr>
          <w:t>OBJECTIVE</w:t>
        </w:r>
        <w:r w:rsidR="00D72448" w:rsidRPr="00942C19">
          <w:rPr>
            <w:noProof/>
            <w:webHidden/>
          </w:rPr>
          <w:tab/>
        </w:r>
        <w:r w:rsidRPr="00942C19">
          <w:rPr>
            <w:noProof/>
            <w:webHidden/>
          </w:rPr>
          <w:fldChar w:fldCharType="begin"/>
        </w:r>
        <w:r w:rsidR="00D72448" w:rsidRPr="00942C19">
          <w:rPr>
            <w:noProof/>
            <w:webHidden/>
          </w:rPr>
          <w:instrText xml:space="preserve"> PAGEREF _Toc357714354 \h </w:instrText>
        </w:r>
        <w:r w:rsidRPr="00942C19">
          <w:rPr>
            <w:noProof/>
            <w:webHidden/>
          </w:rPr>
        </w:r>
        <w:r w:rsidRPr="00942C19">
          <w:rPr>
            <w:noProof/>
            <w:webHidden/>
          </w:rPr>
          <w:fldChar w:fldCharType="separate"/>
        </w:r>
        <w:r w:rsidR="008E7C6A">
          <w:rPr>
            <w:noProof/>
            <w:webHidden/>
          </w:rPr>
          <w:t>18</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5" w:history="1">
        <w:r w:rsidR="00D72448" w:rsidRPr="00942C19">
          <w:rPr>
            <w:rStyle w:val="Hyperlink"/>
            <w:noProof/>
          </w:rPr>
          <w:t>3.2</w:t>
        </w:r>
        <w:r w:rsidR="00D72448" w:rsidRPr="00942C19">
          <w:rPr>
            <w:rFonts w:eastAsiaTheme="minorEastAsia" w:cstheme="minorBidi"/>
            <w:smallCaps w:val="0"/>
            <w:noProof/>
            <w:sz w:val="22"/>
            <w:szCs w:val="22"/>
            <w:lang w:val="en-IN" w:eastAsia="en-IN"/>
          </w:rPr>
          <w:tab/>
        </w:r>
        <w:r w:rsidR="00D72448" w:rsidRPr="00942C19">
          <w:rPr>
            <w:rStyle w:val="Hyperlink"/>
            <w:noProof/>
          </w:rPr>
          <w:t>PUBLIC HEARING:</w:t>
        </w:r>
        <w:r w:rsidR="00D72448" w:rsidRPr="00942C19">
          <w:rPr>
            <w:noProof/>
            <w:webHidden/>
          </w:rPr>
          <w:tab/>
        </w:r>
        <w:r w:rsidRPr="00942C19">
          <w:rPr>
            <w:noProof/>
            <w:webHidden/>
          </w:rPr>
          <w:fldChar w:fldCharType="begin"/>
        </w:r>
        <w:r w:rsidR="00D72448" w:rsidRPr="00942C19">
          <w:rPr>
            <w:noProof/>
            <w:webHidden/>
          </w:rPr>
          <w:instrText xml:space="preserve"> PAGEREF _Toc357714355 \h </w:instrText>
        </w:r>
        <w:r w:rsidRPr="00942C19">
          <w:rPr>
            <w:noProof/>
            <w:webHidden/>
          </w:rPr>
        </w:r>
        <w:r w:rsidRPr="00942C19">
          <w:rPr>
            <w:noProof/>
            <w:webHidden/>
          </w:rPr>
          <w:fldChar w:fldCharType="separate"/>
        </w:r>
        <w:r w:rsidR="008E7C6A">
          <w:rPr>
            <w:noProof/>
            <w:webHidden/>
          </w:rPr>
          <w:t>18</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6" w:history="1">
        <w:r w:rsidR="00D72448" w:rsidRPr="00942C19">
          <w:rPr>
            <w:rStyle w:val="Hyperlink"/>
            <w:noProof/>
          </w:rPr>
          <w:t>3.3</w:t>
        </w:r>
        <w:r w:rsidR="00D72448" w:rsidRPr="00942C19">
          <w:rPr>
            <w:rFonts w:eastAsiaTheme="minorEastAsia" w:cstheme="minorBidi"/>
            <w:smallCaps w:val="0"/>
            <w:noProof/>
            <w:sz w:val="22"/>
            <w:szCs w:val="22"/>
            <w:lang w:val="en-IN" w:eastAsia="en-IN"/>
          </w:rPr>
          <w:tab/>
        </w:r>
        <w:r w:rsidR="00D72448" w:rsidRPr="00942C19">
          <w:rPr>
            <w:rStyle w:val="Hyperlink"/>
            <w:noProof/>
          </w:rPr>
          <w:t>VIEWS / COMMENTS / SUGGESTIONS / OBJECTIONS / REPRESENTATIONS ON ARR / TARIFF</w:t>
        </w:r>
        <w:r w:rsidR="00D72448" w:rsidRPr="00942C19">
          <w:rPr>
            <w:noProof/>
            <w:webHidden/>
          </w:rPr>
          <w:tab/>
        </w:r>
        <w:r w:rsidRPr="00942C19">
          <w:rPr>
            <w:noProof/>
            <w:webHidden/>
          </w:rPr>
          <w:fldChar w:fldCharType="begin"/>
        </w:r>
        <w:r w:rsidR="00D72448" w:rsidRPr="00942C19">
          <w:rPr>
            <w:noProof/>
            <w:webHidden/>
          </w:rPr>
          <w:instrText xml:space="preserve"> PAGEREF _Toc357714356 \h </w:instrText>
        </w:r>
        <w:r w:rsidRPr="00942C19">
          <w:rPr>
            <w:noProof/>
            <w:webHidden/>
          </w:rPr>
        </w:r>
        <w:r w:rsidRPr="00942C19">
          <w:rPr>
            <w:noProof/>
            <w:webHidden/>
          </w:rPr>
          <w:fldChar w:fldCharType="separate"/>
        </w:r>
        <w:r w:rsidR="008E7C6A">
          <w:rPr>
            <w:noProof/>
            <w:webHidden/>
          </w:rPr>
          <w:t>19</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7" w:history="1">
        <w:r w:rsidR="00D72448" w:rsidRPr="00942C19">
          <w:rPr>
            <w:rStyle w:val="Hyperlink"/>
            <w:noProof/>
          </w:rPr>
          <w:t>3.4</w:t>
        </w:r>
        <w:r w:rsidR="00D72448" w:rsidRPr="00942C19">
          <w:rPr>
            <w:rFonts w:eastAsiaTheme="minorEastAsia" w:cstheme="minorBidi"/>
            <w:smallCaps w:val="0"/>
            <w:noProof/>
            <w:sz w:val="22"/>
            <w:szCs w:val="22"/>
            <w:lang w:val="en-IN" w:eastAsia="en-IN"/>
          </w:rPr>
          <w:tab/>
        </w:r>
        <w:r w:rsidR="00D72448" w:rsidRPr="00942C19">
          <w:rPr>
            <w:rStyle w:val="Hyperlink"/>
            <w:noProof/>
          </w:rPr>
          <w:t>SUO MOTU DETERMINATION OF TARIFF</w:t>
        </w:r>
        <w:r w:rsidR="00D72448" w:rsidRPr="00942C19">
          <w:rPr>
            <w:noProof/>
            <w:webHidden/>
          </w:rPr>
          <w:tab/>
        </w:r>
        <w:r w:rsidRPr="00942C19">
          <w:rPr>
            <w:noProof/>
            <w:webHidden/>
          </w:rPr>
          <w:fldChar w:fldCharType="begin"/>
        </w:r>
        <w:r w:rsidR="00D72448" w:rsidRPr="00942C19">
          <w:rPr>
            <w:noProof/>
            <w:webHidden/>
          </w:rPr>
          <w:instrText xml:space="preserve"> PAGEREF _Toc357714357 \h </w:instrText>
        </w:r>
        <w:r w:rsidRPr="00942C19">
          <w:rPr>
            <w:noProof/>
            <w:webHidden/>
          </w:rPr>
        </w:r>
        <w:r w:rsidRPr="00942C19">
          <w:rPr>
            <w:noProof/>
            <w:webHidden/>
          </w:rPr>
          <w:fldChar w:fldCharType="separate"/>
        </w:r>
        <w:r w:rsidR="008E7C6A">
          <w:rPr>
            <w:noProof/>
            <w:webHidden/>
          </w:rPr>
          <w:t>20</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8" w:history="1">
        <w:r w:rsidR="00D72448" w:rsidRPr="00942C19">
          <w:rPr>
            <w:rStyle w:val="Hyperlink"/>
            <w:noProof/>
          </w:rPr>
          <w:t>3.5</w:t>
        </w:r>
        <w:r w:rsidR="00D72448" w:rsidRPr="00942C19">
          <w:rPr>
            <w:rFonts w:eastAsiaTheme="minorEastAsia" w:cstheme="minorBidi"/>
            <w:smallCaps w:val="0"/>
            <w:noProof/>
            <w:sz w:val="22"/>
            <w:szCs w:val="22"/>
            <w:lang w:val="en-IN" w:eastAsia="en-IN"/>
          </w:rPr>
          <w:tab/>
        </w:r>
        <w:r w:rsidR="00D72448" w:rsidRPr="00942C19">
          <w:rPr>
            <w:rStyle w:val="Hyperlink"/>
            <w:noProof/>
          </w:rPr>
          <w:t>PROPOSAL FOR SUPPLY HOURS LINKED TARIFF FOR LMV-1 CONSUMERS</w:t>
        </w:r>
        <w:r w:rsidR="00D72448" w:rsidRPr="00942C19">
          <w:rPr>
            <w:noProof/>
            <w:webHidden/>
          </w:rPr>
          <w:tab/>
        </w:r>
        <w:r w:rsidRPr="00942C19">
          <w:rPr>
            <w:noProof/>
            <w:webHidden/>
          </w:rPr>
          <w:fldChar w:fldCharType="begin"/>
        </w:r>
        <w:r w:rsidR="00D72448" w:rsidRPr="00942C19">
          <w:rPr>
            <w:noProof/>
            <w:webHidden/>
          </w:rPr>
          <w:instrText xml:space="preserve"> PAGEREF _Toc357714358 \h </w:instrText>
        </w:r>
        <w:r w:rsidRPr="00942C19">
          <w:rPr>
            <w:noProof/>
            <w:webHidden/>
          </w:rPr>
        </w:r>
        <w:r w:rsidRPr="00942C19">
          <w:rPr>
            <w:noProof/>
            <w:webHidden/>
          </w:rPr>
          <w:fldChar w:fldCharType="separate"/>
        </w:r>
        <w:r w:rsidR="008E7C6A">
          <w:rPr>
            <w:noProof/>
            <w:webHidden/>
          </w:rPr>
          <w:t>24</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59" w:history="1">
        <w:r w:rsidR="00D72448" w:rsidRPr="00942C19">
          <w:rPr>
            <w:rStyle w:val="Hyperlink"/>
            <w:noProof/>
          </w:rPr>
          <w:t>3.6</w:t>
        </w:r>
        <w:r w:rsidR="00D72448" w:rsidRPr="00942C19">
          <w:rPr>
            <w:rFonts w:eastAsiaTheme="minorEastAsia" w:cstheme="minorBidi"/>
            <w:smallCaps w:val="0"/>
            <w:noProof/>
            <w:sz w:val="22"/>
            <w:szCs w:val="22"/>
            <w:lang w:val="en-IN" w:eastAsia="en-IN"/>
          </w:rPr>
          <w:tab/>
        </w:r>
        <w:r w:rsidR="00D72448" w:rsidRPr="00942C19">
          <w:rPr>
            <w:rStyle w:val="Hyperlink"/>
            <w:noProof/>
          </w:rPr>
          <w:t>SUPPLY RELATED ISSUES</w:t>
        </w:r>
        <w:r w:rsidR="00D72448" w:rsidRPr="00942C19">
          <w:rPr>
            <w:noProof/>
            <w:webHidden/>
          </w:rPr>
          <w:tab/>
        </w:r>
        <w:r w:rsidRPr="00942C19">
          <w:rPr>
            <w:noProof/>
            <w:webHidden/>
          </w:rPr>
          <w:fldChar w:fldCharType="begin"/>
        </w:r>
        <w:r w:rsidR="00D72448" w:rsidRPr="00942C19">
          <w:rPr>
            <w:noProof/>
            <w:webHidden/>
          </w:rPr>
          <w:instrText xml:space="preserve"> PAGEREF _Toc357714359 \h </w:instrText>
        </w:r>
        <w:r w:rsidRPr="00942C19">
          <w:rPr>
            <w:noProof/>
            <w:webHidden/>
          </w:rPr>
        </w:r>
        <w:r w:rsidRPr="00942C19">
          <w:rPr>
            <w:noProof/>
            <w:webHidden/>
          </w:rPr>
          <w:fldChar w:fldCharType="separate"/>
        </w:r>
        <w:r w:rsidR="008E7C6A">
          <w:rPr>
            <w:noProof/>
            <w:webHidden/>
          </w:rPr>
          <w:t>27</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60" w:history="1">
        <w:r w:rsidR="00D72448" w:rsidRPr="00942C19">
          <w:rPr>
            <w:rStyle w:val="Hyperlink"/>
            <w:noProof/>
          </w:rPr>
          <w:t>3.7</w:t>
        </w:r>
        <w:r w:rsidR="00D72448" w:rsidRPr="00942C19">
          <w:rPr>
            <w:rFonts w:eastAsiaTheme="minorEastAsia" w:cstheme="minorBidi"/>
            <w:smallCaps w:val="0"/>
            <w:noProof/>
            <w:sz w:val="22"/>
            <w:szCs w:val="22"/>
            <w:lang w:val="en-IN" w:eastAsia="en-IN"/>
          </w:rPr>
          <w:tab/>
        </w:r>
        <w:r w:rsidR="00D72448" w:rsidRPr="00942C19">
          <w:rPr>
            <w:rStyle w:val="Hyperlink"/>
            <w:noProof/>
          </w:rPr>
          <w:t>TRANSMISSION &amp; DISTRIBUTION LOSSES</w:t>
        </w:r>
        <w:r w:rsidR="00D72448" w:rsidRPr="00942C19">
          <w:rPr>
            <w:noProof/>
            <w:webHidden/>
          </w:rPr>
          <w:tab/>
        </w:r>
        <w:r w:rsidRPr="00942C19">
          <w:rPr>
            <w:noProof/>
            <w:webHidden/>
          </w:rPr>
          <w:fldChar w:fldCharType="begin"/>
        </w:r>
        <w:r w:rsidR="00D72448" w:rsidRPr="00942C19">
          <w:rPr>
            <w:noProof/>
            <w:webHidden/>
          </w:rPr>
          <w:instrText xml:space="preserve"> PAGEREF _Toc357714360 \h </w:instrText>
        </w:r>
        <w:r w:rsidRPr="00942C19">
          <w:rPr>
            <w:noProof/>
            <w:webHidden/>
          </w:rPr>
        </w:r>
        <w:r w:rsidRPr="00942C19">
          <w:rPr>
            <w:noProof/>
            <w:webHidden/>
          </w:rPr>
          <w:fldChar w:fldCharType="separate"/>
        </w:r>
        <w:r w:rsidR="008E7C6A">
          <w:rPr>
            <w:noProof/>
            <w:webHidden/>
          </w:rPr>
          <w:t>28</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61" w:history="1">
        <w:r w:rsidR="00D72448" w:rsidRPr="00942C19">
          <w:rPr>
            <w:rStyle w:val="Hyperlink"/>
            <w:noProof/>
          </w:rPr>
          <w:t>3.8</w:t>
        </w:r>
        <w:r w:rsidR="00D72448" w:rsidRPr="00942C19">
          <w:rPr>
            <w:rFonts w:eastAsiaTheme="minorEastAsia" w:cstheme="minorBidi"/>
            <w:smallCaps w:val="0"/>
            <w:noProof/>
            <w:sz w:val="22"/>
            <w:szCs w:val="22"/>
            <w:lang w:val="en-IN" w:eastAsia="en-IN"/>
          </w:rPr>
          <w:tab/>
        </w:r>
        <w:r w:rsidR="00D72448" w:rsidRPr="00942C19">
          <w:rPr>
            <w:rStyle w:val="Hyperlink"/>
            <w:noProof/>
          </w:rPr>
          <w:t>NON-AVAILABILITY OF AUDITED FIGURES AND ORDER ON TRUE-UP PETITIONS</w:t>
        </w:r>
        <w:r w:rsidR="00D72448" w:rsidRPr="00942C19">
          <w:rPr>
            <w:noProof/>
            <w:webHidden/>
          </w:rPr>
          <w:tab/>
        </w:r>
        <w:r w:rsidRPr="00942C19">
          <w:rPr>
            <w:noProof/>
            <w:webHidden/>
          </w:rPr>
          <w:fldChar w:fldCharType="begin"/>
        </w:r>
        <w:r w:rsidR="00D72448" w:rsidRPr="00942C19">
          <w:rPr>
            <w:noProof/>
            <w:webHidden/>
          </w:rPr>
          <w:instrText xml:space="preserve"> PAGEREF _Toc357714361 \h </w:instrText>
        </w:r>
        <w:r w:rsidRPr="00942C19">
          <w:rPr>
            <w:noProof/>
            <w:webHidden/>
          </w:rPr>
        </w:r>
        <w:r w:rsidRPr="00942C19">
          <w:rPr>
            <w:noProof/>
            <w:webHidden/>
          </w:rPr>
          <w:fldChar w:fldCharType="separate"/>
        </w:r>
        <w:r w:rsidR="008E7C6A">
          <w:rPr>
            <w:noProof/>
            <w:webHidden/>
          </w:rPr>
          <w:t>30</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62" w:history="1">
        <w:r w:rsidR="00D72448" w:rsidRPr="00942C19">
          <w:rPr>
            <w:rStyle w:val="Hyperlink"/>
            <w:noProof/>
          </w:rPr>
          <w:t>3.9</w:t>
        </w:r>
        <w:r w:rsidR="00D72448" w:rsidRPr="00942C19">
          <w:rPr>
            <w:rFonts w:eastAsiaTheme="minorEastAsia" w:cstheme="minorBidi"/>
            <w:smallCaps w:val="0"/>
            <w:noProof/>
            <w:sz w:val="22"/>
            <w:szCs w:val="22"/>
            <w:lang w:val="en-IN" w:eastAsia="en-IN"/>
          </w:rPr>
          <w:tab/>
        </w:r>
        <w:r w:rsidR="00D72448" w:rsidRPr="00942C19">
          <w:rPr>
            <w:rStyle w:val="Hyperlink"/>
            <w:noProof/>
          </w:rPr>
          <w:t>POWER PROCUREMENT COST</w:t>
        </w:r>
        <w:r w:rsidR="00D72448" w:rsidRPr="00942C19">
          <w:rPr>
            <w:noProof/>
            <w:webHidden/>
          </w:rPr>
          <w:tab/>
        </w:r>
        <w:r w:rsidRPr="00942C19">
          <w:rPr>
            <w:noProof/>
            <w:webHidden/>
          </w:rPr>
          <w:fldChar w:fldCharType="begin"/>
        </w:r>
        <w:r w:rsidR="00D72448" w:rsidRPr="00942C19">
          <w:rPr>
            <w:noProof/>
            <w:webHidden/>
          </w:rPr>
          <w:instrText xml:space="preserve"> PAGEREF _Toc357714362 \h </w:instrText>
        </w:r>
        <w:r w:rsidRPr="00942C19">
          <w:rPr>
            <w:noProof/>
            <w:webHidden/>
          </w:rPr>
        </w:r>
        <w:r w:rsidRPr="00942C19">
          <w:rPr>
            <w:noProof/>
            <w:webHidden/>
          </w:rPr>
          <w:fldChar w:fldCharType="separate"/>
        </w:r>
        <w:r w:rsidR="008E7C6A">
          <w:rPr>
            <w:noProof/>
            <w:webHidden/>
          </w:rPr>
          <w:t>35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63" w:history="1">
        <w:r w:rsidR="00D72448" w:rsidRPr="00942C19">
          <w:rPr>
            <w:rStyle w:val="Hyperlink"/>
            <w:noProof/>
          </w:rPr>
          <w:t>3.10</w:t>
        </w:r>
        <w:r w:rsidR="00D72448" w:rsidRPr="00942C19">
          <w:rPr>
            <w:rFonts w:eastAsiaTheme="minorEastAsia" w:cstheme="minorBidi"/>
            <w:smallCaps w:val="0"/>
            <w:noProof/>
            <w:sz w:val="22"/>
            <w:szCs w:val="22"/>
            <w:lang w:val="en-IN" w:eastAsia="en-IN"/>
          </w:rPr>
          <w:tab/>
        </w:r>
        <w:r w:rsidR="00D72448" w:rsidRPr="00942C19">
          <w:rPr>
            <w:rStyle w:val="Hyperlink"/>
            <w:noProof/>
          </w:rPr>
          <w:t>OTHER INCOMES / REVENUE ASSESSMENT</w:t>
        </w:r>
        <w:r w:rsidR="00D72448" w:rsidRPr="00942C19">
          <w:rPr>
            <w:noProof/>
            <w:webHidden/>
          </w:rPr>
          <w:tab/>
        </w:r>
        <w:r w:rsidRPr="00942C19">
          <w:rPr>
            <w:noProof/>
            <w:webHidden/>
          </w:rPr>
          <w:fldChar w:fldCharType="begin"/>
        </w:r>
        <w:r w:rsidR="00D72448" w:rsidRPr="00942C19">
          <w:rPr>
            <w:noProof/>
            <w:webHidden/>
          </w:rPr>
          <w:instrText xml:space="preserve"> PAGEREF _Toc357714363 \h </w:instrText>
        </w:r>
        <w:r w:rsidRPr="00942C19">
          <w:rPr>
            <w:noProof/>
            <w:webHidden/>
          </w:rPr>
        </w:r>
        <w:r w:rsidRPr="00942C19">
          <w:rPr>
            <w:noProof/>
            <w:webHidden/>
          </w:rPr>
          <w:fldChar w:fldCharType="separate"/>
        </w:r>
        <w:r w:rsidR="008E7C6A">
          <w:rPr>
            <w:noProof/>
            <w:webHidden/>
          </w:rPr>
          <w:t>35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64" w:history="1">
        <w:r w:rsidR="00D72448" w:rsidRPr="00942C19">
          <w:rPr>
            <w:rStyle w:val="Hyperlink"/>
            <w:noProof/>
          </w:rPr>
          <w:t>3.11</w:t>
        </w:r>
        <w:r w:rsidR="00D72448" w:rsidRPr="00942C19">
          <w:rPr>
            <w:rFonts w:eastAsiaTheme="minorEastAsia" w:cstheme="minorBidi"/>
            <w:smallCaps w:val="0"/>
            <w:noProof/>
            <w:sz w:val="22"/>
            <w:szCs w:val="22"/>
            <w:lang w:val="en-IN" w:eastAsia="en-IN"/>
          </w:rPr>
          <w:tab/>
        </w:r>
        <w:r w:rsidR="00D72448" w:rsidRPr="00942C19">
          <w:rPr>
            <w:rStyle w:val="Hyperlink"/>
            <w:noProof/>
          </w:rPr>
          <w:t>UNIFORM DISTRIBUTION TARIFF ACROSS THE STATE</w:t>
        </w:r>
        <w:r w:rsidR="00D72448" w:rsidRPr="00942C19">
          <w:rPr>
            <w:noProof/>
            <w:webHidden/>
          </w:rPr>
          <w:tab/>
        </w:r>
        <w:r w:rsidRPr="00942C19">
          <w:rPr>
            <w:noProof/>
            <w:webHidden/>
          </w:rPr>
          <w:fldChar w:fldCharType="begin"/>
        </w:r>
        <w:r w:rsidR="00D72448" w:rsidRPr="00942C19">
          <w:rPr>
            <w:noProof/>
            <w:webHidden/>
          </w:rPr>
          <w:instrText xml:space="preserve"> PAGEREF _Toc357714364 \h </w:instrText>
        </w:r>
        <w:r w:rsidRPr="00942C19">
          <w:rPr>
            <w:noProof/>
            <w:webHidden/>
          </w:rPr>
        </w:r>
        <w:r w:rsidRPr="00942C19">
          <w:rPr>
            <w:noProof/>
            <w:webHidden/>
          </w:rPr>
          <w:fldChar w:fldCharType="separate"/>
        </w:r>
        <w:r w:rsidR="008E7C6A">
          <w:rPr>
            <w:noProof/>
            <w:webHidden/>
          </w:rPr>
          <w:t>36</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65" w:history="1">
        <w:r w:rsidR="00D72448" w:rsidRPr="00942C19">
          <w:rPr>
            <w:rStyle w:val="Hyperlink"/>
            <w:noProof/>
          </w:rPr>
          <w:t>3.12</w:t>
        </w:r>
        <w:r w:rsidR="00D72448" w:rsidRPr="00942C19">
          <w:rPr>
            <w:rFonts w:eastAsiaTheme="minorEastAsia" w:cstheme="minorBidi"/>
            <w:smallCaps w:val="0"/>
            <w:noProof/>
            <w:sz w:val="22"/>
            <w:szCs w:val="22"/>
            <w:lang w:val="en-IN" w:eastAsia="en-IN"/>
          </w:rPr>
          <w:tab/>
        </w:r>
        <w:r w:rsidR="00D72448" w:rsidRPr="00942C19">
          <w:rPr>
            <w:rStyle w:val="Hyperlink"/>
            <w:noProof/>
          </w:rPr>
          <w:t>CAPITAL EXPENDITURE</w:t>
        </w:r>
        <w:r w:rsidR="00D72448" w:rsidRPr="00942C19">
          <w:rPr>
            <w:noProof/>
            <w:webHidden/>
          </w:rPr>
          <w:tab/>
        </w:r>
        <w:r w:rsidRPr="00942C19">
          <w:rPr>
            <w:noProof/>
            <w:webHidden/>
          </w:rPr>
          <w:fldChar w:fldCharType="begin"/>
        </w:r>
        <w:r w:rsidR="00D72448" w:rsidRPr="00942C19">
          <w:rPr>
            <w:noProof/>
            <w:webHidden/>
          </w:rPr>
          <w:instrText xml:space="preserve"> PAGEREF _Toc357714365 \h </w:instrText>
        </w:r>
        <w:r w:rsidRPr="00942C19">
          <w:rPr>
            <w:noProof/>
            <w:webHidden/>
          </w:rPr>
        </w:r>
        <w:r w:rsidRPr="00942C19">
          <w:rPr>
            <w:noProof/>
            <w:webHidden/>
          </w:rPr>
          <w:fldChar w:fldCharType="separate"/>
        </w:r>
        <w:r w:rsidR="008E7C6A">
          <w:rPr>
            <w:noProof/>
            <w:webHidden/>
          </w:rPr>
          <w:t>37</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66" w:history="1">
        <w:r w:rsidR="00D72448" w:rsidRPr="00942C19">
          <w:rPr>
            <w:rStyle w:val="Hyperlink"/>
            <w:noProof/>
          </w:rPr>
          <w:t>3.13</w:t>
        </w:r>
        <w:r w:rsidR="00D72448" w:rsidRPr="00942C19">
          <w:rPr>
            <w:rFonts w:eastAsiaTheme="minorEastAsia" w:cstheme="minorBidi"/>
            <w:smallCaps w:val="0"/>
            <w:noProof/>
            <w:sz w:val="22"/>
            <w:szCs w:val="22"/>
            <w:lang w:val="en-IN" w:eastAsia="en-IN"/>
          </w:rPr>
          <w:tab/>
        </w:r>
        <w:r w:rsidR="00D72448" w:rsidRPr="00942C19">
          <w:rPr>
            <w:rStyle w:val="Hyperlink"/>
            <w:noProof/>
          </w:rPr>
          <w:t>TARIFF FOR TELECOM TOWERS</w:t>
        </w:r>
        <w:r w:rsidR="00D72448" w:rsidRPr="00942C19">
          <w:rPr>
            <w:noProof/>
            <w:webHidden/>
          </w:rPr>
          <w:tab/>
        </w:r>
        <w:r w:rsidRPr="00942C19">
          <w:rPr>
            <w:noProof/>
            <w:webHidden/>
          </w:rPr>
          <w:fldChar w:fldCharType="begin"/>
        </w:r>
        <w:r w:rsidR="00D72448" w:rsidRPr="00942C19">
          <w:rPr>
            <w:noProof/>
            <w:webHidden/>
          </w:rPr>
          <w:instrText xml:space="preserve"> PAGEREF _Toc357714366 \h </w:instrText>
        </w:r>
        <w:r w:rsidRPr="00942C19">
          <w:rPr>
            <w:noProof/>
            <w:webHidden/>
          </w:rPr>
        </w:r>
        <w:r w:rsidRPr="00942C19">
          <w:rPr>
            <w:noProof/>
            <w:webHidden/>
          </w:rPr>
          <w:fldChar w:fldCharType="separate"/>
        </w:r>
        <w:r w:rsidR="008E7C6A">
          <w:rPr>
            <w:noProof/>
            <w:webHidden/>
          </w:rPr>
          <w:t>39</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67" w:history="1">
        <w:r w:rsidR="00D72448" w:rsidRPr="00942C19">
          <w:rPr>
            <w:rStyle w:val="Hyperlink"/>
            <w:noProof/>
          </w:rPr>
          <w:t>3.14</w:t>
        </w:r>
        <w:r w:rsidR="00D72448" w:rsidRPr="00942C19">
          <w:rPr>
            <w:rFonts w:eastAsiaTheme="minorEastAsia" w:cstheme="minorBidi"/>
            <w:smallCaps w:val="0"/>
            <w:noProof/>
            <w:sz w:val="22"/>
            <w:szCs w:val="22"/>
            <w:lang w:val="en-IN" w:eastAsia="en-IN"/>
          </w:rPr>
          <w:tab/>
        </w:r>
        <w:r w:rsidR="00D72448" w:rsidRPr="00942C19">
          <w:rPr>
            <w:rStyle w:val="Hyperlink"/>
            <w:noProof/>
          </w:rPr>
          <w:t>ACCOUNTING FOR FIXED ASSETS</w:t>
        </w:r>
        <w:r w:rsidR="00D72448" w:rsidRPr="00942C19">
          <w:rPr>
            <w:noProof/>
            <w:webHidden/>
          </w:rPr>
          <w:tab/>
        </w:r>
        <w:r w:rsidRPr="00942C19">
          <w:rPr>
            <w:noProof/>
            <w:webHidden/>
          </w:rPr>
          <w:fldChar w:fldCharType="begin"/>
        </w:r>
        <w:r w:rsidR="00D72448" w:rsidRPr="00942C19">
          <w:rPr>
            <w:noProof/>
            <w:webHidden/>
          </w:rPr>
          <w:instrText xml:space="preserve"> PAGEREF _Toc357714367 \h </w:instrText>
        </w:r>
        <w:r w:rsidRPr="00942C19">
          <w:rPr>
            <w:noProof/>
            <w:webHidden/>
          </w:rPr>
        </w:r>
        <w:r w:rsidRPr="00942C19">
          <w:rPr>
            <w:noProof/>
            <w:webHidden/>
          </w:rPr>
          <w:fldChar w:fldCharType="separate"/>
        </w:r>
        <w:r w:rsidR="008E7C6A">
          <w:rPr>
            <w:noProof/>
            <w:webHidden/>
          </w:rPr>
          <w:t>40</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68" w:history="1">
        <w:r w:rsidR="00D72448" w:rsidRPr="00942C19">
          <w:rPr>
            <w:rStyle w:val="Hyperlink"/>
            <w:noProof/>
          </w:rPr>
          <w:t>3.15</w:t>
        </w:r>
        <w:r w:rsidR="00D72448" w:rsidRPr="00942C19">
          <w:rPr>
            <w:rFonts w:eastAsiaTheme="minorEastAsia" w:cstheme="minorBidi"/>
            <w:smallCaps w:val="0"/>
            <w:noProof/>
            <w:sz w:val="22"/>
            <w:szCs w:val="22"/>
            <w:lang w:val="en-IN" w:eastAsia="en-IN"/>
          </w:rPr>
          <w:tab/>
        </w:r>
        <w:r w:rsidR="00D72448" w:rsidRPr="00942C19">
          <w:rPr>
            <w:rStyle w:val="Hyperlink"/>
            <w:noProof/>
          </w:rPr>
          <w:t>CONSUMPTION OF UNMETERED CATEGORY CONSUMERS</w:t>
        </w:r>
        <w:r w:rsidR="00D72448" w:rsidRPr="00942C19">
          <w:rPr>
            <w:noProof/>
            <w:webHidden/>
          </w:rPr>
          <w:tab/>
        </w:r>
        <w:r w:rsidRPr="00942C19">
          <w:rPr>
            <w:noProof/>
            <w:webHidden/>
          </w:rPr>
          <w:fldChar w:fldCharType="begin"/>
        </w:r>
        <w:r w:rsidR="00D72448" w:rsidRPr="00942C19">
          <w:rPr>
            <w:noProof/>
            <w:webHidden/>
          </w:rPr>
          <w:instrText xml:space="preserve"> PAGEREF _Toc357714368 \h </w:instrText>
        </w:r>
        <w:r w:rsidRPr="00942C19">
          <w:rPr>
            <w:noProof/>
            <w:webHidden/>
          </w:rPr>
        </w:r>
        <w:r w:rsidRPr="00942C19">
          <w:rPr>
            <w:noProof/>
            <w:webHidden/>
          </w:rPr>
          <w:fldChar w:fldCharType="separate"/>
        </w:r>
        <w:r w:rsidR="008E7C6A">
          <w:rPr>
            <w:noProof/>
            <w:webHidden/>
          </w:rPr>
          <w:t>42</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69" w:history="1">
        <w:r w:rsidR="00D72448" w:rsidRPr="00942C19">
          <w:rPr>
            <w:rStyle w:val="Hyperlink"/>
            <w:noProof/>
          </w:rPr>
          <w:t>3.16</w:t>
        </w:r>
        <w:r w:rsidR="00D72448" w:rsidRPr="00942C19">
          <w:rPr>
            <w:rFonts w:eastAsiaTheme="minorEastAsia" w:cstheme="minorBidi"/>
            <w:smallCaps w:val="0"/>
            <w:noProof/>
            <w:sz w:val="22"/>
            <w:szCs w:val="22"/>
            <w:lang w:val="en-IN" w:eastAsia="en-IN"/>
          </w:rPr>
          <w:tab/>
        </w:r>
        <w:r w:rsidR="00D72448" w:rsidRPr="00942C19">
          <w:rPr>
            <w:rStyle w:val="Hyperlink"/>
            <w:noProof/>
          </w:rPr>
          <w:t>REGULATORY ASSETS</w:t>
        </w:r>
        <w:r w:rsidR="00D72448" w:rsidRPr="00942C19">
          <w:rPr>
            <w:noProof/>
            <w:webHidden/>
          </w:rPr>
          <w:tab/>
        </w:r>
        <w:r w:rsidRPr="00942C19">
          <w:rPr>
            <w:noProof/>
            <w:webHidden/>
          </w:rPr>
          <w:fldChar w:fldCharType="begin"/>
        </w:r>
        <w:r w:rsidR="00D72448" w:rsidRPr="00942C19">
          <w:rPr>
            <w:noProof/>
            <w:webHidden/>
          </w:rPr>
          <w:instrText xml:space="preserve"> PAGEREF _Toc357714369 \h </w:instrText>
        </w:r>
        <w:r w:rsidRPr="00942C19">
          <w:rPr>
            <w:noProof/>
            <w:webHidden/>
          </w:rPr>
        </w:r>
        <w:r w:rsidRPr="00942C19">
          <w:rPr>
            <w:noProof/>
            <w:webHidden/>
          </w:rPr>
          <w:fldChar w:fldCharType="separate"/>
        </w:r>
        <w:r w:rsidR="008E7C6A">
          <w:rPr>
            <w:noProof/>
            <w:webHidden/>
          </w:rPr>
          <w:t>43</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0" w:history="1">
        <w:r w:rsidR="00D72448" w:rsidRPr="00942C19">
          <w:rPr>
            <w:rStyle w:val="Hyperlink"/>
            <w:noProof/>
          </w:rPr>
          <w:t>3.17</w:t>
        </w:r>
        <w:r w:rsidR="00D72448" w:rsidRPr="00942C19">
          <w:rPr>
            <w:rFonts w:eastAsiaTheme="minorEastAsia" w:cstheme="minorBidi"/>
            <w:smallCaps w:val="0"/>
            <w:noProof/>
            <w:sz w:val="22"/>
            <w:szCs w:val="22"/>
            <w:lang w:val="en-IN" w:eastAsia="en-IN"/>
          </w:rPr>
          <w:tab/>
        </w:r>
        <w:r w:rsidR="00D72448" w:rsidRPr="00942C19">
          <w:rPr>
            <w:rStyle w:val="Hyperlink"/>
            <w:noProof/>
          </w:rPr>
          <w:t>INTEREST AND FINANCE CHARGES</w:t>
        </w:r>
        <w:r w:rsidR="00D72448" w:rsidRPr="00942C19">
          <w:rPr>
            <w:noProof/>
            <w:webHidden/>
          </w:rPr>
          <w:tab/>
        </w:r>
        <w:r w:rsidRPr="00942C19">
          <w:rPr>
            <w:noProof/>
            <w:webHidden/>
          </w:rPr>
          <w:fldChar w:fldCharType="begin"/>
        </w:r>
        <w:r w:rsidR="00D72448" w:rsidRPr="00942C19">
          <w:rPr>
            <w:noProof/>
            <w:webHidden/>
          </w:rPr>
          <w:instrText xml:space="preserve"> PAGEREF _Toc357714370 \h </w:instrText>
        </w:r>
        <w:r w:rsidRPr="00942C19">
          <w:rPr>
            <w:noProof/>
            <w:webHidden/>
          </w:rPr>
        </w:r>
        <w:r w:rsidRPr="00942C19">
          <w:rPr>
            <w:noProof/>
            <w:webHidden/>
          </w:rPr>
          <w:fldChar w:fldCharType="separate"/>
        </w:r>
        <w:r w:rsidR="008E7C6A">
          <w:rPr>
            <w:noProof/>
            <w:webHidden/>
          </w:rPr>
          <w:t>44</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1" w:history="1">
        <w:r w:rsidR="00D72448" w:rsidRPr="00942C19">
          <w:rPr>
            <w:rStyle w:val="Hyperlink"/>
            <w:noProof/>
          </w:rPr>
          <w:t>3.18</w:t>
        </w:r>
        <w:r w:rsidR="00D72448" w:rsidRPr="00942C19">
          <w:rPr>
            <w:rFonts w:eastAsiaTheme="minorEastAsia" w:cstheme="minorBidi"/>
            <w:smallCaps w:val="0"/>
            <w:noProof/>
            <w:sz w:val="22"/>
            <w:szCs w:val="22"/>
            <w:lang w:val="en-IN" w:eastAsia="en-IN"/>
          </w:rPr>
          <w:tab/>
        </w:r>
        <w:r w:rsidR="00D72448" w:rsidRPr="00942C19">
          <w:rPr>
            <w:rStyle w:val="Hyperlink"/>
            <w:noProof/>
          </w:rPr>
          <w:t>SYSTEM LOADING CHARGES</w:t>
        </w:r>
        <w:r w:rsidR="00D72448" w:rsidRPr="00942C19">
          <w:rPr>
            <w:noProof/>
            <w:webHidden/>
          </w:rPr>
          <w:tab/>
        </w:r>
        <w:r w:rsidRPr="00942C19">
          <w:rPr>
            <w:noProof/>
            <w:webHidden/>
          </w:rPr>
          <w:fldChar w:fldCharType="begin"/>
        </w:r>
        <w:r w:rsidR="00D72448" w:rsidRPr="00942C19">
          <w:rPr>
            <w:noProof/>
            <w:webHidden/>
          </w:rPr>
          <w:instrText xml:space="preserve"> PAGEREF _Toc357714371 \h </w:instrText>
        </w:r>
        <w:r w:rsidRPr="00942C19">
          <w:rPr>
            <w:noProof/>
            <w:webHidden/>
          </w:rPr>
        </w:r>
        <w:r w:rsidRPr="00942C19">
          <w:rPr>
            <w:noProof/>
            <w:webHidden/>
          </w:rPr>
          <w:fldChar w:fldCharType="separate"/>
        </w:r>
        <w:r w:rsidR="008E7C6A">
          <w:rPr>
            <w:noProof/>
            <w:webHidden/>
          </w:rPr>
          <w:t>45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2" w:history="1">
        <w:r w:rsidR="00D72448" w:rsidRPr="00942C19">
          <w:rPr>
            <w:rStyle w:val="Hyperlink"/>
            <w:noProof/>
          </w:rPr>
          <w:t>3.19</w:t>
        </w:r>
        <w:r w:rsidR="00D72448" w:rsidRPr="00942C19">
          <w:rPr>
            <w:rFonts w:eastAsiaTheme="minorEastAsia" w:cstheme="minorBidi"/>
            <w:smallCaps w:val="0"/>
            <w:noProof/>
            <w:sz w:val="22"/>
            <w:szCs w:val="22"/>
            <w:lang w:val="en-IN" w:eastAsia="en-IN"/>
          </w:rPr>
          <w:tab/>
        </w:r>
        <w:r w:rsidR="00D72448" w:rsidRPr="00942C19">
          <w:rPr>
            <w:rStyle w:val="Hyperlink"/>
            <w:noProof/>
          </w:rPr>
          <w:t>BAD AND DOUBTFUL DEBTS</w:t>
        </w:r>
        <w:r w:rsidR="00D72448" w:rsidRPr="00942C19">
          <w:rPr>
            <w:noProof/>
            <w:webHidden/>
          </w:rPr>
          <w:tab/>
        </w:r>
        <w:r w:rsidRPr="00942C19">
          <w:rPr>
            <w:noProof/>
            <w:webHidden/>
          </w:rPr>
          <w:fldChar w:fldCharType="begin"/>
        </w:r>
        <w:r w:rsidR="00D72448" w:rsidRPr="00942C19">
          <w:rPr>
            <w:noProof/>
            <w:webHidden/>
          </w:rPr>
          <w:instrText xml:space="preserve"> PAGEREF _Toc357714372 \h </w:instrText>
        </w:r>
        <w:r w:rsidRPr="00942C19">
          <w:rPr>
            <w:noProof/>
            <w:webHidden/>
          </w:rPr>
        </w:r>
        <w:r w:rsidRPr="00942C19">
          <w:rPr>
            <w:noProof/>
            <w:webHidden/>
          </w:rPr>
          <w:fldChar w:fldCharType="separate"/>
        </w:r>
        <w:r w:rsidR="008E7C6A">
          <w:rPr>
            <w:noProof/>
            <w:webHidden/>
          </w:rPr>
          <w:t>46</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3" w:history="1">
        <w:r w:rsidR="00D72448" w:rsidRPr="00942C19">
          <w:rPr>
            <w:rStyle w:val="Hyperlink"/>
            <w:noProof/>
          </w:rPr>
          <w:t>3.20</w:t>
        </w:r>
        <w:r w:rsidR="00D72448" w:rsidRPr="00942C19">
          <w:rPr>
            <w:rFonts w:eastAsiaTheme="minorEastAsia" w:cstheme="minorBidi"/>
            <w:smallCaps w:val="0"/>
            <w:noProof/>
            <w:sz w:val="22"/>
            <w:szCs w:val="22"/>
            <w:lang w:val="en-IN" w:eastAsia="en-IN"/>
          </w:rPr>
          <w:tab/>
        </w:r>
        <w:r w:rsidR="00D72448" w:rsidRPr="00942C19">
          <w:rPr>
            <w:rStyle w:val="Hyperlink"/>
            <w:noProof/>
          </w:rPr>
          <w:t>INTER UNIT ADJUSTMENTS</w:t>
        </w:r>
        <w:r w:rsidR="00D72448" w:rsidRPr="00942C19">
          <w:rPr>
            <w:noProof/>
            <w:webHidden/>
          </w:rPr>
          <w:tab/>
        </w:r>
        <w:r w:rsidRPr="00942C19">
          <w:rPr>
            <w:noProof/>
            <w:webHidden/>
          </w:rPr>
          <w:fldChar w:fldCharType="begin"/>
        </w:r>
        <w:r w:rsidR="00D72448" w:rsidRPr="00942C19">
          <w:rPr>
            <w:noProof/>
            <w:webHidden/>
          </w:rPr>
          <w:instrText xml:space="preserve"> PAGEREF _Toc357714373 \h </w:instrText>
        </w:r>
        <w:r w:rsidRPr="00942C19">
          <w:rPr>
            <w:noProof/>
            <w:webHidden/>
          </w:rPr>
        </w:r>
        <w:r w:rsidRPr="00942C19">
          <w:rPr>
            <w:noProof/>
            <w:webHidden/>
          </w:rPr>
          <w:fldChar w:fldCharType="separate"/>
        </w:r>
        <w:r w:rsidR="008E7C6A">
          <w:rPr>
            <w:noProof/>
            <w:webHidden/>
          </w:rPr>
          <w:t>47</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4" w:history="1">
        <w:r w:rsidR="00D72448" w:rsidRPr="00942C19">
          <w:rPr>
            <w:rStyle w:val="Hyperlink"/>
            <w:noProof/>
          </w:rPr>
          <w:t>3.21</w:t>
        </w:r>
        <w:r w:rsidR="00D72448" w:rsidRPr="00942C19">
          <w:rPr>
            <w:rFonts w:eastAsiaTheme="minorEastAsia" w:cstheme="minorBidi"/>
            <w:smallCaps w:val="0"/>
            <w:noProof/>
            <w:sz w:val="22"/>
            <w:szCs w:val="22"/>
            <w:lang w:val="en-IN" w:eastAsia="en-IN"/>
          </w:rPr>
          <w:tab/>
        </w:r>
        <w:r w:rsidR="00D72448" w:rsidRPr="00942C19">
          <w:rPr>
            <w:rStyle w:val="Hyperlink"/>
            <w:noProof/>
          </w:rPr>
          <w:t>REQUEST FOR SPECIAL TARIFF FOR COLD STORAGE</w:t>
        </w:r>
        <w:r w:rsidR="00D72448" w:rsidRPr="00942C19">
          <w:rPr>
            <w:noProof/>
            <w:webHidden/>
          </w:rPr>
          <w:tab/>
        </w:r>
        <w:r w:rsidRPr="00942C19">
          <w:rPr>
            <w:noProof/>
            <w:webHidden/>
          </w:rPr>
          <w:fldChar w:fldCharType="begin"/>
        </w:r>
        <w:r w:rsidR="00D72448" w:rsidRPr="00942C19">
          <w:rPr>
            <w:noProof/>
            <w:webHidden/>
          </w:rPr>
          <w:instrText xml:space="preserve"> PAGEREF _Toc357714374 \h </w:instrText>
        </w:r>
        <w:r w:rsidRPr="00942C19">
          <w:rPr>
            <w:noProof/>
            <w:webHidden/>
          </w:rPr>
        </w:r>
        <w:r w:rsidRPr="00942C19">
          <w:rPr>
            <w:noProof/>
            <w:webHidden/>
          </w:rPr>
          <w:fldChar w:fldCharType="separate"/>
        </w:r>
        <w:r w:rsidR="008E7C6A">
          <w:rPr>
            <w:noProof/>
            <w:webHidden/>
          </w:rPr>
          <w:t>48</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5" w:history="1">
        <w:r w:rsidR="00D72448" w:rsidRPr="00942C19">
          <w:rPr>
            <w:rStyle w:val="Hyperlink"/>
            <w:noProof/>
          </w:rPr>
          <w:t>3.22</w:t>
        </w:r>
        <w:r w:rsidR="00D72448" w:rsidRPr="00942C19">
          <w:rPr>
            <w:rFonts w:eastAsiaTheme="minorEastAsia" w:cstheme="minorBidi"/>
            <w:smallCaps w:val="0"/>
            <w:noProof/>
            <w:sz w:val="22"/>
            <w:szCs w:val="22"/>
            <w:lang w:val="en-IN" w:eastAsia="en-IN"/>
          </w:rPr>
          <w:tab/>
        </w:r>
        <w:r w:rsidR="00D72448" w:rsidRPr="00942C19">
          <w:rPr>
            <w:rStyle w:val="Hyperlink"/>
            <w:noProof/>
          </w:rPr>
          <w:t>RECOVERY OF ARREARS</w:t>
        </w:r>
        <w:r w:rsidR="00D72448" w:rsidRPr="00942C19">
          <w:rPr>
            <w:noProof/>
            <w:webHidden/>
          </w:rPr>
          <w:tab/>
        </w:r>
        <w:r w:rsidRPr="00942C19">
          <w:rPr>
            <w:noProof/>
            <w:webHidden/>
          </w:rPr>
          <w:fldChar w:fldCharType="begin"/>
        </w:r>
        <w:r w:rsidR="00D72448" w:rsidRPr="00942C19">
          <w:rPr>
            <w:noProof/>
            <w:webHidden/>
          </w:rPr>
          <w:instrText xml:space="preserve"> PAGEREF _Toc357714375 \h </w:instrText>
        </w:r>
        <w:r w:rsidRPr="00942C19">
          <w:rPr>
            <w:noProof/>
            <w:webHidden/>
          </w:rPr>
        </w:r>
        <w:r w:rsidRPr="00942C19">
          <w:rPr>
            <w:noProof/>
            <w:webHidden/>
          </w:rPr>
          <w:fldChar w:fldCharType="separate"/>
        </w:r>
        <w:r w:rsidR="008E7C6A">
          <w:rPr>
            <w:noProof/>
            <w:webHidden/>
          </w:rPr>
          <w:t>49</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6" w:history="1">
        <w:r w:rsidR="00D72448" w:rsidRPr="00942C19">
          <w:rPr>
            <w:rStyle w:val="Hyperlink"/>
            <w:noProof/>
          </w:rPr>
          <w:t>3.23</w:t>
        </w:r>
        <w:r w:rsidR="00D72448" w:rsidRPr="00942C19">
          <w:rPr>
            <w:rFonts w:eastAsiaTheme="minorEastAsia" w:cstheme="minorBidi"/>
            <w:smallCaps w:val="0"/>
            <w:noProof/>
            <w:sz w:val="22"/>
            <w:szCs w:val="22"/>
            <w:lang w:val="en-IN" w:eastAsia="en-IN"/>
          </w:rPr>
          <w:tab/>
        </w:r>
        <w:r w:rsidR="00D72448" w:rsidRPr="00942C19">
          <w:rPr>
            <w:rStyle w:val="Hyperlink"/>
            <w:noProof/>
          </w:rPr>
          <w:t>INTEREST ON CONSUMER SECURITY DEPOSIT</w:t>
        </w:r>
        <w:r w:rsidR="00D72448" w:rsidRPr="00942C19">
          <w:rPr>
            <w:noProof/>
            <w:webHidden/>
          </w:rPr>
          <w:tab/>
        </w:r>
        <w:r w:rsidRPr="00942C19">
          <w:rPr>
            <w:noProof/>
            <w:webHidden/>
          </w:rPr>
          <w:fldChar w:fldCharType="begin"/>
        </w:r>
        <w:r w:rsidR="00D72448" w:rsidRPr="00942C19">
          <w:rPr>
            <w:noProof/>
            <w:webHidden/>
          </w:rPr>
          <w:instrText xml:space="preserve"> PAGEREF _Toc357714376 \h </w:instrText>
        </w:r>
        <w:r w:rsidRPr="00942C19">
          <w:rPr>
            <w:noProof/>
            <w:webHidden/>
          </w:rPr>
        </w:r>
        <w:r w:rsidRPr="00942C19">
          <w:rPr>
            <w:noProof/>
            <w:webHidden/>
          </w:rPr>
          <w:fldChar w:fldCharType="separate"/>
        </w:r>
        <w:r w:rsidR="008E7C6A">
          <w:rPr>
            <w:noProof/>
            <w:webHidden/>
          </w:rPr>
          <w:t>51</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7" w:history="1">
        <w:r w:rsidR="00D72448" w:rsidRPr="00942C19">
          <w:rPr>
            <w:rStyle w:val="Hyperlink"/>
            <w:noProof/>
          </w:rPr>
          <w:t>3.24</w:t>
        </w:r>
        <w:r w:rsidR="00D72448" w:rsidRPr="00942C19">
          <w:rPr>
            <w:rFonts w:eastAsiaTheme="minorEastAsia" w:cstheme="minorBidi"/>
            <w:smallCaps w:val="0"/>
            <w:noProof/>
            <w:sz w:val="22"/>
            <w:szCs w:val="22"/>
            <w:lang w:val="en-IN" w:eastAsia="en-IN"/>
          </w:rPr>
          <w:tab/>
        </w:r>
        <w:r w:rsidR="00D72448" w:rsidRPr="00942C19">
          <w:rPr>
            <w:rStyle w:val="Hyperlink"/>
            <w:noProof/>
          </w:rPr>
          <w:t>RELATIONSHIP BETWEEN HOLDING COMPANY UPPCL AND ITS SUBSIDIARY DISTRIBUTION COMPANIES</w:t>
        </w:r>
        <w:r w:rsidR="00D72448" w:rsidRPr="00942C19">
          <w:rPr>
            <w:noProof/>
            <w:webHidden/>
          </w:rPr>
          <w:tab/>
        </w:r>
        <w:r w:rsidRPr="00942C19">
          <w:rPr>
            <w:noProof/>
            <w:webHidden/>
          </w:rPr>
          <w:fldChar w:fldCharType="begin"/>
        </w:r>
        <w:r w:rsidR="00D72448" w:rsidRPr="00942C19">
          <w:rPr>
            <w:noProof/>
            <w:webHidden/>
          </w:rPr>
          <w:instrText xml:space="preserve"> PAGEREF _Toc357714377 \h </w:instrText>
        </w:r>
        <w:r w:rsidRPr="00942C19">
          <w:rPr>
            <w:noProof/>
            <w:webHidden/>
          </w:rPr>
        </w:r>
        <w:r w:rsidRPr="00942C19">
          <w:rPr>
            <w:noProof/>
            <w:webHidden/>
          </w:rPr>
          <w:fldChar w:fldCharType="separate"/>
        </w:r>
        <w:r w:rsidR="008E7C6A">
          <w:rPr>
            <w:noProof/>
            <w:webHidden/>
          </w:rPr>
          <w:t>52</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8" w:history="1">
        <w:r w:rsidR="00D72448" w:rsidRPr="00942C19">
          <w:rPr>
            <w:rStyle w:val="Hyperlink"/>
            <w:noProof/>
          </w:rPr>
          <w:t>3.25</w:t>
        </w:r>
        <w:r w:rsidR="00D72448" w:rsidRPr="00942C19">
          <w:rPr>
            <w:rFonts w:eastAsiaTheme="minorEastAsia" w:cstheme="minorBidi"/>
            <w:smallCaps w:val="0"/>
            <w:noProof/>
            <w:sz w:val="22"/>
            <w:szCs w:val="22"/>
            <w:lang w:val="en-IN" w:eastAsia="en-IN"/>
          </w:rPr>
          <w:tab/>
        </w:r>
        <w:r w:rsidR="00D72448" w:rsidRPr="00942C19">
          <w:rPr>
            <w:rStyle w:val="Hyperlink"/>
            <w:noProof/>
          </w:rPr>
          <w:t>INCENTIVE TO CONSUMERS IN LOW LOSS AREAS</w:t>
        </w:r>
        <w:r w:rsidR="00D72448" w:rsidRPr="00942C19">
          <w:rPr>
            <w:noProof/>
            <w:webHidden/>
          </w:rPr>
          <w:tab/>
        </w:r>
        <w:r w:rsidRPr="00942C19">
          <w:rPr>
            <w:noProof/>
            <w:webHidden/>
          </w:rPr>
          <w:fldChar w:fldCharType="begin"/>
        </w:r>
        <w:r w:rsidR="00D72448" w:rsidRPr="00942C19">
          <w:rPr>
            <w:noProof/>
            <w:webHidden/>
          </w:rPr>
          <w:instrText xml:space="preserve"> PAGEREF _Toc357714378 \h </w:instrText>
        </w:r>
        <w:r w:rsidRPr="00942C19">
          <w:rPr>
            <w:noProof/>
            <w:webHidden/>
          </w:rPr>
        </w:r>
        <w:r w:rsidRPr="00942C19">
          <w:rPr>
            <w:noProof/>
            <w:webHidden/>
          </w:rPr>
          <w:fldChar w:fldCharType="separate"/>
        </w:r>
        <w:r w:rsidR="008E7C6A">
          <w:rPr>
            <w:noProof/>
            <w:webHidden/>
          </w:rPr>
          <w:t>53</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79" w:history="1">
        <w:r w:rsidR="00D72448" w:rsidRPr="00942C19">
          <w:rPr>
            <w:rStyle w:val="Hyperlink"/>
            <w:noProof/>
          </w:rPr>
          <w:t>3.26</w:t>
        </w:r>
        <w:r w:rsidR="00D72448" w:rsidRPr="00942C19">
          <w:rPr>
            <w:rFonts w:eastAsiaTheme="minorEastAsia" w:cstheme="minorBidi"/>
            <w:smallCaps w:val="0"/>
            <w:noProof/>
            <w:sz w:val="22"/>
            <w:szCs w:val="22"/>
            <w:lang w:val="en-IN" w:eastAsia="en-IN"/>
          </w:rPr>
          <w:tab/>
        </w:r>
        <w:r w:rsidR="00D72448" w:rsidRPr="00942C19">
          <w:rPr>
            <w:rStyle w:val="Hyperlink"/>
            <w:noProof/>
          </w:rPr>
          <w:t>IMPOSITION OF CHARGES FOR USE OF INDUCTION HEATER / COOKING HEATER</w:t>
        </w:r>
        <w:r w:rsidR="00D72448" w:rsidRPr="00942C19">
          <w:rPr>
            <w:noProof/>
            <w:webHidden/>
          </w:rPr>
          <w:tab/>
        </w:r>
        <w:r w:rsidRPr="00942C19">
          <w:rPr>
            <w:noProof/>
            <w:webHidden/>
          </w:rPr>
          <w:fldChar w:fldCharType="begin"/>
        </w:r>
        <w:r w:rsidR="00D72448" w:rsidRPr="00942C19">
          <w:rPr>
            <w:noProof/>
            <w:webHidden/>
          </w:rPr>
          <w:instrText xml:space="preserve"> PAGEREF _Toc357714379 \h </w:instrText>
        </w:r>
        <w:r w:rsidRPr="00942C19">
          <w:rPr>
            <w:noProof/>
            <w:webHidden/>
          </w:rPr>
        </w:r>
        <w:r w:rsidRPr="00942C19">
          <w:rPr>
            <w:noProof/>
            <w:webHidden/>
          </w:rPr>
          <w:fldChar w:fldCharType="separate"/>
        </w:r>
        <w:r w:rsidR="008E7C6A">
          <w:rPr>
            <w:noProof/>
            <w:webHidden/>
          </w:rPr>
          <w:t>54</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0" w:history="1">
        <w:r w:rsidR="00D72448" w:rsidRPr="00942C19">
          <w:rPr>
            <w:rStyle w:val="Hyperlink"/>
            <w:noProof/>
          </w:rPr>
          <w:t>3.27</w:t>
        </w:r>
        <w:r w:rsidR="00D72448" w:rsidRPr="00942C19">
          <w:rPr>
            <w:rFonts w:eastAsiaTheme="minorEastAsia" w:cstheme="minorBidi"/>
            <w:smallCaps w:val="0"/>
            <w:noProof/>
            <w:sz w:val="22"/>
            <w:szCs w:val="22"/>
            <w:lang w:val="en-IN" w:eastAsia="en-IN"/>
          </w:rPr>
          <w:tab/>
        </w:r>
        <w:r w:rsidR="00D72448" w:rsidRPr="00942C19">
          <w:rPr>
            <w:rStyle w:val="Hyperlink"/>
            <w:noProof/>
          </w:rPr>
          <w:t>TARIFF REVISION OF LMV &amp; HV CONSUMERS AND MINIMUM CONSUMPTION CHARGES</w:t>
        </w:r>
        <w:r w:rsidR="00D72448" w:rsidRPr="00942C19">
          <w:rPr>
            <w:noProof/>
            <w:webHidden/>
          </w:rPr>
          <w:tab/>
        </w:r>
        <w:r w:rsidRPr="00942C19">
          <w:rPr>
            <w:noProof/>
            <w:webHidden/>
          </w:rPr>
          <w:fldChar w:fldCharType="begin"/>
        </w:r>
        <w:r w:rsidR="00D72448" w:rsidRPr="00942C19">
          <w:rPr>
            <w:noProof/>
            <w:webHidden/>
          </w:rPr>
          <w:instrText xml:space="preserve"> PAGEREF _Toc357714380 \h </w:instrText>
        </w:r>
        <w:r w:rsidRPr="00942C19">
          <w:rPr>
            <w:noProof/>
            <w:webHidden/>
          </w:rPr>
        </w:r>
        <w:r w:rsidRPr="00942C19">
          <w:rPr>
            <w:noProof/>
            <w:webHidden/>
          </w:rPr>
          <w:fldChar w:fldCharType="separate"/>
        </w:r>
        <w:r w:rsidR="008E7C6A">
          <w:rPr>
            <w:noProof/>
            <w:webHidden/>
          </w:rPr>
          <w:t>55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1" w:history="1">
        <w:r w:rsidR="00D72448" w:rsidRPr="00942C19">
          <w:rPr>
            <w:rStyle w:val="Hyperlink"/>
            <w:noProof/>
          </w:rPr>
          <w:t>3.28</w:t>
        </w:r>
        <w:r w:rsidR="00D72448" w:rsidRPr="00942C19">
          <w:rPr>
            <w:rFonts w:eastAsiaTheme="minorEastAsia" w:cstheme="minorBidi"/>
            <w:smallCaps w:val="0"/>
            <w:noProof/>
            <w:sz w:val="22"/>
            <w:szCs w:val="22"/>
            <w:lang w:val="en-IN" w:eastAsia="en-IN"/>
          </w:rPr>
          <w:tab/>
        </w:r>
        <w:r w:rsidR="00D72448" w:rsidRPr="00942C19">
          <w:rPr>
            <w:rStyle w:val="Hyperlink"/>
            <w:noProof/>
          </w:rPr>
          <w:t>TOD TARIFF</w:t>
        </w:r>
        <w:r w:rsidR="00D72448" w:rsidRPr="00942C19">
          <w:rPr>
            <w:noProof/>
            <w:webHidden/>
          </w:rPr>
          <w:tab/>
        </w:r>
        <w:r w:rsidRPr="00942C19">
          <w:rPr>
            <w:noProof/>
            <w:webHidden/>
          </w:rPr>
          <w:fldChar w:fldCharType="begin"/>
        </w:r>
        <w:r w:rsidR="00D72448" w:rsidRPr="00942C19">
          <w:rPr>
            <w:noProof/>
            <w:webHidden/>
          </w:rPr>
          <w:instrText xml:space="preserve"> PAGEREF _Toc357714381 \h </w:instrText>
        </w:r>
        <w:r w:rsidRPr="00942C19">
          <w:rPr>
            <w:noProof/>
            <w:webHidden/>
          </w:rPr>
        </w:r>
        <w:r w:rsidRPr="00942C19">
          <w:rPr>
            <w:noProof/>
            <w:webHidden/>
          </w:rPr>
          <w:fldChar w:fldCharType="separate"/>
        </w:r>
        <w:r w:rsidR="008E7C6A">
          <w:rPr>
            <w:noProof/>
            <w:webHidden/>
          </w:rPr>
          <w:t>60</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2" w:history="1">
        <w:r w:rsidR="00D72448" w:rsidRPr="00942C19">
          <w:rPr>
            <w:rStyle w:val="Hyperlink"/>
            <w:noProof/>
          </w:rPr>
          <w:t>3.29</w:t>
        </w:r>
        <w:r w:rsidR="00D72448" w:rsidRPr="00942C19">
          <w:rPr>
            <w:rFonts w:eastAsiaTheme="minorEastAsia" w:cstheme="minorBidi"/>
            <w:smallCaps w:val="0"/>
            <w:noProof/>
            <w:sz w:val="22"/>
            <w:szCs w:val="22"/>
            <w:lang w:val="en-IN" w:eastAsia="en-IN"/>
          </w:rPr>
          <w:tab/>
        </w:r>
        <w:r w:rsidR="00D72448" w:rsidRPr="00942C19">
          <w:rPr>
            <w:rStyle w:val="Hyperlink"/>
            <w:noProof/>
          </w:rPr>
          <w:t>CROSS-SUBSIDIZATION OF TARIFF AND TARIFF SUBSIDY</w:t>
        </w:r>
        <w:r w:rsidR="00D72448" w:rsidRPr="00942C19">
          <w:rPr>
            <w:noProof/>
            <w:webHidden/>
          </w:rPr>
          <w:tab/>
        </w:r>
        <w:r w:rsidRPr="00942C19">
          <w:rPr>
            <w:noProof/>
            <w:webHidden/>
          </w:rPr>
          <w:fldChar w:fldCharType="begin"/>
        </w:r>
        <w:r w:rsidR="00D72448" w:rsidRPr="00942C19">
          <w:rPr>
            <w:noProof/>
            <w:webHidden/>
          </w:rPr>
          <w:instrText xml:space="preserve"> PAGEREF _Toc357714382 \h </w:instrText>
        </w:r>
        <w:r w:rsidRPr="00942C19">
          <w:rPr>
            <w:noProof/>
            <w:webHidden/>
          </w:rPr>
        </w:r>
        <w:r w:rsidRPr="00942C19">
          <w:rPr>
            <w:noProof/>
            <w:webHidden/>
          </w:rPr>
          <w:fldChar w:fldCharType="separate"/>
        </w:r>
        <w:r w:rsidR="008E7C6A">
          <w:rPr>
            <w:noProof/>
            <w:webHidden/>
          </w:rPr>
          <w:t>61</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3" w:history="1">
        <w:r w:rsidR="00D72448" w:rsidRPr="00942C19">
          <w:rPr>
            <w:rStyle w:val="Hyperlink"/>
            <w:noProof/>
          </w:rPr>
          <w:t>3.30</w:t>
        </w:r>
        <w:r w:rsidR="00D72448" w:rsidRPr="00942C19">
          <w:rPr>
            <w:rFonts w:eastAsiaTheme="minorEastAsia" w:cstheme="minorBidi"/>
            <w:smallCaps w:val="0"/>
            <w:noProof/>
            <w:sz w:val="22"/>
            <w:szCs w:val="22"/>
            <w:lang w:val="en-IN" w:eastAsia="en-IN"/>
          </w:rPr>
          <w:tab/>
        </w:r>
        <w:r w:rsidR="00D72448" w:rsidRPr="00942C19">
          <w:rPr>
            <w:rStyle w:val="Hyperlink"/>
            <w:noProof/>
          </w:rPr>
          <w:t>TARIFF FOR PRIVATE TUBE WELL CONSUMERS, LIFE LINE CONSUMERS AND RURAL CONSUMERS</w:t>
        </w:r>
        <w:r w:rsidR="00D72448" w:rsidRPr="00942C19">
          <w:rPr>
            <w:noProof/>
            <w:webHidden/>
          </w:rPr>
          <w:tab/>
        </w:r>
        <w:r w:rsidR="004E2AB9">
          <w:rPr>
            <w:noProof/>
            <w:webHidden/>
          </w:rPr>
          <w:tab/>
        </w:r>
        <w:r w:rsidR="004E2AB9">
          <w:rPr>
            <w:noProof/>
            <w:webHidden/>
          </w:rPr>
          <w:tab/>
        </w:r>
        <w:r w:rsidRPr="00942C19">
          <w:rPr>
            <w:noProof/>
            <w:webHidden/>
          </w:rPr>
          <w:fldChar w:fldCharType="begin"/>
        </w:r>
        <w:r w:rsidR="00D72448" w:rsidRPr="00942C19">
          <w:rPr>
            <w:noProof/>
            <w:webHidden/>
          </w:rPr>
          <w:instrText xml:space="preserve"> PAGEREF _Toc357714383 \h </w:instrText>
        </w:r>
        <w:r w:rsidRPr="00942C19">
          <w:rPr>
            <w:noProof/>
            <w:webHidden/>
          </w:rPr>
        </w:r>
        <w:r w:rsidRPr="00942C19">
          <w:rPr>
            <w:noProof/>
            <w:webHidden/>
          </w:rPr>
          <w:fldChar w:fldCharType="separate"/>
        </w:r>
        <w:r w:rsidR="008E7C6A">
          <w:rPr>
            <w:noProof/>
            <w:webHidden/>
          </w:rPr>
          <w:t>65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4" w:history="1">
        <w:r w:rsidR="00D72448" w:rsidRPr="00942C19">
          <w:rPr>
            <w:rStyle w:val="Hyperlink"/>
            <w:noProof/>
          </w:rPr>
          <w:t>3.31</w:t>
        </w:r>
        <w:r w:rsidR="00D72448" w:rsidRPr="00942C19">
          <w:rPr>
            <w:rFonts w:eastAsiaTheme="minorEastAsia" w:cstheme="minorBidi"/>
            <w:smallCaps w:val="0"/>
            <w:noProof/>
            <w:sz w:val="22"/>
            <w:szCs w:val="22"/>
            <w:lang w:val="en-IN" w:eastAsia="en-IN"/>
          </w:rPr>
          <w:tab/>
        </w:r>
        <w:r w:rsidR="00D72448" w:rsidRPr="00942C19">
          <w:rPr>
            <w:rStyle w:val="Hyperlink"/>
            <w:noProof/>
          </w:rPr>
          <w:t>GENERAL ISSUES AND COMMENTS:</w:t>
        </w:r>
        <w:r w:rsidR="00D72448" w:rsidRPr="00942C19">
          <w:rPr>
            <w:noProof/>
            <w:webHidden/>
          </w:rPr>
          <w:tab/>
        </w:r>
        <w:r w:rsidRPr="00942C19">
          <w:rPr>
            <w:noProof/>
            <w:webHidden/>
          </w:rPr>
          <w:fldChar w:fldCharType="begin"/>
        </w:r>
        <w:r w:rsidR="00D72448" w:rsidRPr="00942C19">
          <w:rPr>
            <w:noProof/>
            <w:webHidden/>
          </w:rPr>
          <w:instrText xml:space="preserve"> PAGEREF _Toc357714384 \h </w:instrText>
        </w:r>
        <w:r w:rsidRPr="00942C19">
          <w:rPr>
            <w:noProof/>
            <w:webHidden/>
          </w:rPr>
        </w:r>
        <w:r w:rsidRPr="00942C19">
          <w:rPr>
            <w:noProof/>
            <w:webHidden/>
          </w:rPr>
          <w:fldChar w:fldCharType="separate"/>
        </w:r>
        <w:r w:rsidR="008E7C6A">
          <w:rPr>
            <w:noProof/>
            <w:webHidden/>
          </w:rPr>
          <w:t>66</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5" w:history="1">
        <w:r w:rsidR="00D72448" w:rsidRPr="00942C19">
          <w:rPr>
            <w:rStyle w:val="Hyperlink"/>
            <w:noProof/>
          </w:rPr>
          <w:t>3.32</w:t>
        </w:r>
        <w:r w:rsidR="00D72448" w:rsidRPr="00942C19">
          <w:rPr>
            <w:rFonts w:eastAsiaTheme="minorEastAsia" w:cstheme="minorBidi"/>
            <w:smallCaps w:val="0"/>
            <w:noProof/>
            <w:sz w:val="22"/>
            <w:szCs w:val="22"/>
            <w:lang w:val="en-IN" w:eastAsia="en-IN"/>
          </w:rPr>
          <w:tab/>
        </w:r>
        <w:r w:rsidR="00D72448" w:rsidRPr="00942C19">
          <w:rPr>
            <w:rStyle w:val="Hyperlink"/>
            <w:noProof/>
          </w:rPr>
          <w:t>BILLING AND COLLECTION</w:t>
        </w:r>
        <w:r w:rsidR="00D72448" w:rsidRPr="00942C19">
          <w:rPr>
            <w:noProof/>
            <w:webHidden/>
          </w:rPr>
          <w:tab/>
        </w:r>
        <w:r w:rsidRPr="00942C19">
          <w:rPr>
            <w:noProof/>
            <w:webHidden/>
          </w:rPr>
          <w:fldChar w:fldCharType="begin"/>
        </w:r>
        <w:r w:rsidR="00D72448" w:rsidRPr="00942C19">
          <w:rPr>
            <w:noProof/>
            <w:webHidden/>
          </w:rPr>
          <w:instrText xml:space="preserve"> PAGEREF _Toc357714385 \h </w:instrText>
        </w:r>
        <w:r w:rsidRPr="00942C19">
          <w:rPr>
            <w:noProof/>
            <w:webHidden/>
          </w:rPr>
        </w:r>
        <w:r w:rsidRPr="00942C19">
          <w:rPr>
            <w:noProof/>
            <w:webHidden/>
          </w:rPr>
          <w:fldChar w:fldCharType="separate"/>
        </w:r>
        <w:r w:rsidR="008E7C6A">
          <w:rPr>
            <w:noProof/>
            <w:webHidden/>
          </w:rPr>
          <w:t>70</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6" w:history="1">
        <w:r w:rsidR="00D72448" w:rsidRPr="00942C19">
          <w:rPr>
            <w:rStyle w:val="Hyperlink"/>
            <w:noProof/>
          </w:rPr>
          <w:t>3.33</w:t>
        </w:r>
        <w:r w:rsidR="00D72448" w:rsidRPr="00942C19">
          <w:rPr>
            <w:rFonts w:eastAsiaTheme="minorEastAsia" w:cstheme="minorBidi"/>
            <w:smallCaps w:val="0"/>
            <w:noProof/>
            <w:sz w:val="22"/>
            <w:szCs w:val="22"/>
            <w:lang w:val="en-IN" w:eastAsia="en-IN"/>
          </w:rPr>
          <w:tab/>
        </w:r>
        <w:r w:rsidR="00D72448" w:rsidRPr="00942C19">
          <w:rPr>
            <w:rStyle w:val="Hyperlink"/>
            <w:noProof/>
          </w:rPr>
          <w:t>OBJECTIONS RELATED TO DISTRIBUTION FRANCHISEE</w:t>
        </w:r>
        <w:r w:rsidR="00D72448" w:rsidRPr="00942C19">
          <w:rPr>
            <w:noProof/>
            <w:webHidden/>
          </w:rPr>
          <w:tab/>
        </w:r>
        <w:r w:rsidRPr="00942C19">
          <w:rPr>
            <w:noProof/>
            <w:webHidden/>
          </w:rPr>
          <w:fldChar w:fldCharType="begin"/>
        </w:r>
        <w:r w:rsidR="00D72448" w:rsidRPr="00942C19">
          <w:rPr>
            <w:noProof/>
            <w:webHidden/>
          </w:rPr>
          <w:instrText xml:space="preserve"> PAGEREF _Toc357714386 \h </w:instrText>
        </w:r>
        <w:r w:rsidRPr="00942C19">
          <w:rPr>
            <w:noProof/>
            <w:webHidden/>
          </w:rPr>
        </w:r>
        <w:r w:rsidRPr="00942C19">
          <w:rPr>
            <w:noProof/>
            <w:webHidden/>
          </w:rPr>
          <w:fldChar w:fldCharType="separate"/>
        </w:r>
        <w:r w:rsidR="008E7C6A">
          <w:rPr>
            <w:noProof/>
            <w:webHidden/>
          </w:rPr>
          <w:t>73</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7" w:history="1">
        <w:r w:rsidR="00D72448" w:rsidRPr="00942C19">
          <w:rPr>
            <w:rStyle w:val="Hyperlink"/>
            <w:noProof/>
          </w:rPr>
          <w:t>3.34</w:t>
        </w:r>
        <w:r w:rsidR="00D72448" w:rsidRPr="00942C19">
          <w:rPr>
            <w:rFonts w:eastAsiaTheme="minorEastAsia" w:cstheme="minorBidi"/>
            <w:smallCaps w:val="0"/>
            <w:noProof/>
            <w:sz w:val="22"/>
            <w:szCs w:val="22"/>
            <w:lang w:val="en-IN" w:eastAsia="en-IN"/>
          </w:rPr>
          <w:tab/>
        </w:r>
        <w:r w:rsidR="00D72448" w:rsidRPr="00942C19">
          <w:rPr>
            <w:rStyle w:val="Hyperlink"/>
            <w:noProof/>
          </w:rPr>
          <w:t>PROTECTIVE LOAD</w:t>
        </w:r>
        <w:r w:rsidR="00D72448" w:rsidRPr="00942C19">
          <w:rPr>
            <w:noProof/>
            <w:webHidden/>
          </w:rPr>
          <w:tab/>
        </w:r>
        <w:r w:rsidRPr="00942C19">
          <w:rPr>
            <w:noProof/>
            <w:webHidden/>
          </w:rPr>
          <w:fldChar w:fldCharType="begin"/>
        </w:r>
        <w:r w:rsidR="00D72448" w:rsidRPr="00942C19">
          <w:rPr>
            <w:noProof/>
            <w:webHidden/>
          </w:rPr>
          <w:instrText xml:space="preserve"> PAGEREF _Toc357714387 \h </w:instrText>
        </w:r>
        <w:r w:rsidRPr="00942C19">
          <w:rPr>
            <w:noProof/>
            <w:webHidden/>
          </w:rPr>
        </w:r>
        <w:r w:rsidRPr="00942C19">
          <w:rPr>
            <w:noProof/>
            <w:webHidden/>
          </w:rPr>
          <w:fldChar w:fldCharType="separate"/>
        </w:r>
        <w:r w:rsidR="008E7C6A">
          <w:rPr>
            <w:noProof/>
            <w:webHidden/>
          </w:rPr>
          <w:t>75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8" w:history="1">
        <w:r w:rsidR="00D72448" w:rsidRPr="00942C19">
          <w:rPr>
            <w:rStyle w:val="Hyperlink"/>
            <w:noProof/>
          </w:rPr>
          <w:t>3.35</w:t>
        </w:r>
        <w:r w:rsidR="00D72448" w:rsidRPr="00942C19">
          <w:rPr>
            <w:rFonts w:eastAsiaTheme="minorEastAsia" w:cstheme="minorBidi"/>
            <w:smallCaps w:val="0"/>
            <w:noProof/>
            <w:sz w:val="22"/>
            <w:szCs w:val="22"/>
            <w:lang w:val="en-IN" w:eastAsia="en-IN"/>
          </w:rPr>
          <w:tab/>
        </w:r>
        <w:r w:rsidR="00D72448" w:rsidRPr="00942C19">
          <w:rPr>
            <w:rStyle w:val="Hyperlink"/>
            <w:noProof/>
          </w:rPr>
          <w:t>LOAD FACTOR REBATE AND POWER FACTOR REBATE</w:t>
        </w:r>
        <w:r w:rsidR="00D72448" w:rsidRPr="00942C19">
          <w:rPr>
            <w:noProof/>
            <w:webHidden/>
          </w:rPr>
          <w:tab/>
        </w:r>
        <w:r w:rsidRPr="00942C19">
          <w:rPr>
            <w:noProof/>
            <w:webHidden/>
          </w:rPr>
          <w:fldChar w:fldCharType="begin"/>
        </w:r>
        <w:r w:rsidR="00D72448" w:rsidRPr="00942C19">
          <w:rPr>
            <w:noProof/>
            <w:webHidden/>
          </w:rPr>
          <w:instrText xml:space="preserve"> PAGEREF _Toc357714388 \h </w:instrText>
        </w:r>
        <w:r w:rsidRPr="00942C19">
          <w:rPr>
            <w:noProof/>
            <w:webHidden/>
          </w:rPr>
        </w:r>
        <w:r w:rsidRPr="00942C19">
          <w:rPr>
            <w:noProof/>
            <w:webHidden/>
          </w:rPr>
          <w:fldChar w:fldCharType="separate"/>
        </w:r>
        <w:r w:rsidR="008E7C6A">
          <w:rPr>
            <w:noProof/>
            <w:webHidden/>
          </w:rPr>
          <w:t>75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89" w:history="1">
        <w:r w:rsidR="00D72448" w:rsidRPr="00942C19">
          <w:rPr>
            <w:rStyle w:val="Hyperlink"/>
            <w:noProof/>
          </w:rPr>
          <w:t>3.36</w:t>
        </w:r>
        <w:r w:rsidR="00D72448" w:rsidRPr="00942C19">
          <w:rPr>
            <w:rFonts w:eastAsiaTheme="minorEastAsia" w:cstheme="minorBidi"/>
            <w:smallCaps w:val="0"/>
            <w:noProof/>
            <w:sz w:val="22"/>
            <w:szCs w:val="22"/>
            <w:lang w:val="en-IN" w:eastAsia="en-IN"/>
          </w:rPr>
          <w:tab/>
        </w:r>
        <w:r w:rsidR="00D72448" w:rsidRPr="00942C19">
          <w:rPr>
            <w:rStyle w:val="Hyperlink"/>
            <w:noProof/>
          </w:rPr>
          <w:t>TARIFF FOR RAILWAYS / ELECTRIC TRACTION / METRO</w:t>
        </w:r>
        <w:r w:rsidR="00D72448" w:rsidRPr="00942C19">
          <w:rPr>
            <w:noProof/>
            <w:webHidden/>
          </w:rPr>
          <w:tab/>
        </w:r>
        <w:r w:rsidRPr="00942C19">
          <w:rPr>
            <w:noProof/>
            <w:webHidden/>
          </w:rPr>
          <w:fldChar w:fldCharType="begin"/>
        </w:r>
        <w:r w:rsidR="00D72448" w:rsidRPr="00942C19">
          <w:rPr>
            <w:noProof/>
            <w:webHidden/>
          </w:rPr>
          <w:instrText xml:space="preserve"> PAGEREF _Toc357714389 \h </w:instrText>
        </w:r>
        <w:r w:rsidRPr="00942C19">
          <w:rPr>
            <w:noProof/>
            <w:webHidden/>
          </w:rPr>
        </w:r>
        <w:r w:rsidRPr="00942C19">
          <w:rPr>
            <w:noProof/>
            <w:webHidden/>
          </w:rPr>
          <w:fldChar w:fldCharType="separate"/>
        </w:r>
        <w:r w:rsidR="008E7C6A">
          <w:rPr>
            <w:noProof/>
            <w:webHidden/>
          </w:rPr>
          <w:t>77</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390" w:history="1">
        <w:r w:rsidR="00D72448" w:rsidRPr="00942C19">
          <w:rPr>
            <w:rStyle w:val="Hyperlink"/>
            <w:noProof/>
          </w:rPr>
          <w:t>3.37</w:t>
        </w:r>
        <w:r w:rsidR="00D72448" w:rsidRPr="00942C19">
          <w:rPr>
            <w:rFonts w:eastAsiaTheme="minorEastAsia" w:cstheme="minorBidi"/>
            <w:smallCaps w:val="0"/>
            <w:noProof/>
            <w:sz w:val="22"/>
            <w:szCs w:val="22"/>
            <w:lang w:val="en-IN" w:eastAsia="en-IN"/>
          </w:rPr>
          <w:tab/>
        </w:r>
        <w:r w:rsidR="00D72448" w:rsidRPr="00942C19">
          <w:rPr>
            <w:rStyle w:val="Hyperlink"/>
            <w:noProof/>
          </w:rPr>
          <w:t>TARIFF FOR DEPARTMENTAL EMPLOYEES</w:t>
        </w:r>
        <w:r w:rsidR="00D72448" w:rsidRPr="00942C19">
          <w:rPr>
            <w:noProof/>
            <w:webHidden/>
          </w:rPr>
          <w:tab/>
        </w:r>
        <w:r w:rsidRPr="00942C19">
          <w:rPr>
            <w:noProof/>
            <w:webHidden/>
          </w:rPr>
          <w:fldChar w:fldCharType="begin"/>
        </w:r>
        <w:r w:rsidR="00D72448" w:rsidRPr="00942C19">
          <w:rPr>
            <w:noProof/>
            <w:webHidden/>
          </w:rPr>
          <w:instrText xml:space="preserve"> PAGEREF _Toc357714390 \h </w:instrText>
        </w:r>
        <w:r w:rsidRPr="00942C19">
          <w:rPr>
            <w:noProof/>
            <w:webHidden/>
          </w:rPr>
        </w:r>
        <w:r w:rsidRPr="00942C19">
          <w:rPr>
            <w:noProof/>
            <w:webHidden/>
          </w:rPr>
          <w:fldChar w:fldCharType="separate"/>
        </w:r>
        <w:r w:rsidR="008E7C6A">
          <w:rPr>
            <w:noProof/>
            <w:webHidden/>
          </w:rPr>
          <w:t>78</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391" w:history="1">
        <w:r w:rsidR="00D72448" w:rsidRPr="00942C19">
          <w:rPr>
            <w:rStyle w:val="Hyperlink"/>
            <w:noProof/>
          </w:rPr>
          <w:t>4</w:t>
        </w:r>
        <w:r w:rsidR="00D72448" w:rsidRPr="00942C19">
          <w:rPr>
            <w:rFonts w:eastAsiaTheme="minorEastAsia" w:cstheme="minorBidi"/>
            <w:bCs w:val="0"/>
            <w:caps w:val="0"/>
            <w:noProof/>
            <w:sz w:val="22"/>
            <w:szCs w:val="22"/>
            <w:lang w:val="en-IN" w:eastAsia="en-IN"/>
          </w:rPr>
          <w:tab/>
        </w:r>
        <w:r w:rsidR="00D72448" w:rsidRPr="00942C19">
          <w:rPr>
            <w:rStyle w:val="Hyperlink"/>
            <w:noProof/>
          </w:rPr>
          <w:t>ANALYSIS OF ARR FOR FY 2013-14</w:t>
        </w:r>
        <w:r w:rsidR="00D72448" w:rsidRPr="00942C19">
          <w:rPr>
            <w:noProof/>
            <w:webHidden/>
          </w:rPr>
          <w:tab/>
        </w:r>
        <w:r w:rsidRPr="00942C19">
          <w:rPr>
            <w:noProof/>
            <w:webHidden/>
          </w:rPr>
          <w:fldChar w:fldCharType="begin"/>
        </w:r>
        <w:r w:rsidR="00D72448" w:rsidRPr="00942C19">
          <w:rPr>
            <w:noProof/>
            <w:webHidden/>
          </w:rPr>
          <w:instrText xml:space="preserve"> PAGEREF _Toc357714391 \h </w:instrText>
        </w:r>
        <w:r w:rsidRPr="00942C19">
          <w:rPr>
            <w:noProof/>
            <w:webHidden/>
          </w:rPr>
        </w:r>
        <w:r w:rsidRPr="00942C19">
          <w:rPr>
            <w:noProof/>
            <w:webHidden/>
          </w:rPr>
          <w:fldChar w:fldCharType="separate"/>
        </w:r>
        <w:r w:rsidR="008E7C6A">
          <w:rPr>
            <w:noProof/>
            <w:webHidden/>
          </w:rPr>
          <w:t>80</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2" w:history="1">
        <w:r w:rsidR="00D72448" w:rsidRPr="00942C19">
          <w:rPr>
            <w:rStyle w:val="Hyperlink"/>
            <w:noProof/>
          </w:rPr>
          <w:t>4.1</w:t>
        </w:r>
        <w:r w:rsidR="00D72448" w:rsidRPr="00942C19">
          <w:rPr>
            <w:rFonts w:eastAsiaTheme="minorEastAsia" w:cstheme="minorBidi"/>
            <w:smallCaps w:val="0"/>
            <w:noProof/>
            <w:sz w:val="22"/>
            <w:szCs w:val="22"/>
            <w:lang w:val="en-IN" w:eastAsia="en-IN"/>
          </w:rPr>
          <w:tab/>
        </w:r>
        <w:r w:rsidR="00D72448" w:rsidRPr="00942C19">
          <w:rPr>
            <w:rStyle w:val="Hyperlink"/>
            <w:noProof/>
          </w:rPr>
          <w:t>CONSUMPTION PARAMETERS:</w:t>
        </w:r>
        <w:r w:rsidR="00D72448" w:rsidRPr="00942C19">
          <w:rPr>
            <w:noProof/>
            <w:webHidden/>
          </w:rPr>
          <w:tab/>
        </w:r>
        <w:r w:rsidRPr="00942C19">
          <w:rPr>
            <w:noProof/>
            <w:webHidden/>
          </w:rPr>
          <w:fldChar w:fldCharType="begin"/>
        </w:r>
        <w:r w:rsidR="00D72448" w:rsidRPr="00942C19">
          <w:rPr>
            <w:noProof/>
            <w:webHidden/>
          </w:rPr>
          <w:instrText xml:space="preserve"> PAGEREF _Toc357714392 \h </w:instrText>
        </w:r>
        <w:r w:rsidRPr="00942C19">
          <w:rPr>
            <w:noProof/>
            <w:webHidden/>
          </w:rPr>
        </w:r>
        <w:r w:rsidRPr="00942C19">
          <w:rPr>
            <w:noProof/>
            <w:webHidden/>
          </w:rPr>
          <w:fldChar w:fldCharType="separate"/>
        </w:r>
        <w:r w:rsidR="008E7C6A">
          <w:rPr>
            <w:noProof/>
            <w:webHidden/>
          </w:rPr>
          <w:t>80</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3" w:history="1">
        <w:r w:rsidR="00D72448" w:rsidRPr="00942C19">
          <w:rPr>
            <w:rStyle w:val="Hyperlink"/>
            <w:noProof/>
          </w:rPr>
          <w:t>4.2</w:t>
        </w:r>
        <w:r w:rsidR="00D72448" w:rsidRPr="00942C19">
          <w:rPr>
            <w:rFonts w:eastAsiaTheme="minorEastAsia" w:cstheme="minorBidi"/>
            <w:smallCaps w:val="0"/>
            <w:noProof/>
            <w:sz w:val="22"/>
            <w:szCs w:val="22"/>
            <w:lang w:val="en-IN" w:eastAsia="en-IN"/>
          </w:rPr>
          <w:tab/>
        </w:r>
        <w:r w:rsidR="00D72448" w:rsidRPr="00942C19">
          <w:rPr>
            <w:rStyle w:val="Hyperlink"/>
            <w:noProof/>
          </w:rPr>
          <w:t>DISTRIBUTION LOSSES AND ENERGY BALANCE</w:t>
        </w:r>
        <w:r w:rsidR="00D72448" w:rsidRPr="00942C19">
          <w:rPr>
            <w:noProof/>
            <w:webHidden/>
          </w:rPr>
          <w:tab/>
        </w:r>
        <w:r w:rsidRPr="00942C19">
          <w:rPr>
            <w:noProof/>
            <w:webHidden/>
          </w:rPr>
          <w:fldChar w:fldCharType="begin"/>
        </w:r>
        <w:r w:rsidR="00D72448" w:rsidRPr="00942C19">
          <w:rPr>
            <w:noProof/>
            <w:webHidden/>
          </w:rPr>
          <w:instrText xml:space="preserve"> PAGEREF _Toc357714393 \h </w:instrText>
        </w:r>
        <w:r w:rsidRPr="00942C19">
          <w:rPr>
            <w:noProof/>
            <w:webHidden/>
          </w:rPr>
        </w:r>
        <w:r w:rsidRPr="00942C19">
          <w:rPr>
            <w:noProof/>
            <w:webHidden/>
          </w:rPr>
          <w:fldChar w:fldCharType="separate"/>
        </w:r>
        <w:r w:rsidR="008E7C6A">
          <w:rPr>
            <w:noProof/>
            <w:webHidden/>
          </w:rPr>
          <w:t>87</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4" w:history="1">
        <w:r w:rsidR="00D72448" w:rsidRPr="00942C19">
          <w:rPr>
            <w:rStyle w:val="Hyperlink"/>
            <w:noProof/>
          </w:rPr>
          <w:t>4.3</w:t>
        </w:r>
        <w:r w:rsidR="00D72448" w:rsidRPr="00942C19">
          <w:rPr>
            <w:rFonts w:eastAsiaTheme="minorEastAsia" w:cstheme="minorBidi"/>
            <w:smallCaps w:val="0"/>
            <w:noProof/>
            <w:sz w:val="22"/>
            <w:szCs w:val="22"/>
            <w:lang w:val="en-IN" w:eastAsia="en-IN"/>
          </w:rPr>
          <w:tab/>
        </w:r>
        <w:r w:rsidR="00D72448" w:rsidRPr="00942C19">
          <w:rPr>
            <w:rStyle w:val="Hyperlink"/>
            <w:noProof/>
          </w:rPr>
          <w:t>ENERGY AVAILABILITY</w:t>
        </w:r>
        <w:r w:rsidR="00D72448" w:rsidRPr="00942C19">
          <w:rPr>
            <w:noProof/>
            <w:webHidden/>
          </w:rPr>
          <w:tab/>
        </w:r>
        <w:r w:rsidRPr="00942C19">
          <w:rPr>
            <w:noProof/>
            <w:webHidden/>
          </w:rPr>
          <w:fldChar w:fldCharType="begin"/>
        </w:r>
        <w:r w:rsidR="00D72448" w:rsidRPr="00942C19">
          <w:rPr>
            <w:noProof/>
            <w:webHidden/>
          </w:rPr>
          <w:instrText xml:space="preserve"> PAGEREF _Toc357714394 \h </w:instrText>
        </w:r>
        <w:r w:rsidRPr="00942C19">
          <w:rPr>
            <w:noProof/>
            <w:webHidden/>
          </w:rPr>
        </w:r>
        <w:r w:rsidRPr="00942C19">
          <w:rPr>
            <w:noProof/>
            <w:webHidden/>
          </w:rPr>
          <w:fldChar w:fldCharType="separate"/>
        </w:r>
        <w:r w:rsidR="008E7C6A">
          <w:rPr>
            <w:noProof/>
            <w:webHidden/>
          </w:rPr>
          <w:t>88</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5" w:history="1">
        <w:r w:rsidR="00D72448" w:rsidRPr="00942C19">
          <w:rPr>
            <w:rStyle w:val="Hyperlink"/>
            <w:noProof/>
          </w:rPr>
          <w:t>4.4</w:t>
        </w:r>
        <w:r w:rsidR="00D72448" w:rsidRPr="00942C19">
          <w:rPr>
            <w:rFonts w:eastAsiaTheme="minorEastAsia" w:cstheme="minorBidi"/>
            <w:smallCaps w:val="0"/>
            <w:noProof/>
            <w:sz w:val="22"/>
            <w:szCs w:val="22"/>
            <w:lang w:val="en-IN" w:eastAsia="en-IN"/>
          </w:rPr>
          <w:tab/>
        </w:r>
        <w:r w:rsidR="00D72448" w:rsidRPr="00942C19">
          <w:rPr>
            <w:rStyle w:val="Hyperlink"/>
            <w:noProof/>
          </w:rPr>
          <w:t>POWER PROCUREMENT FROM STATE GENERATING STATIONS</w:t>
        </w:r>
        <w:r w:rsidR="00D72448" w:rsidRPr="00942C19">
          <w:rPr>
            <w:noProof/>
            <w:webHidden/>
          </w:rPr>
          <w:tab/>
        </w:r>
        <w:r w:rsidRPr="00942C19">
          <w:rPr>
            <w:noProof/>
            <w:webHidden/>
          </w:rPr>
          <w:fldChar w:fldCharType="begin"/>
        </w:r>
        <w:r w:rsidR="00D72448" w:rsidRPr="00942C19">
          <w:rPr>
            <w:noProof/>
            <w:webHidden/>
          </w:rPr>
          <w:instrText xml:space="preserve"> PAGEREF _Toc357714395 \h </w:instrText>
        </w:r>
        <w:r w:rsidRPr="00942C19">
          <w:rPr>
            <w:noProof/>
            <w:webHidden/>
          </w:rPr>
        </w:r>
        <w:r w:rsidRPr="00942C19">
          <w:rPr>
            <w:noProof/>
            <w:webHidden/>
          </w:rPr>
          <w:fldChar w:fldCharType="separate"/>
        </w:r>
        <w:r w:rsidR="008E7C6A">
          <w:rPr>
            <w:noProof/>
            <w:webHidden/>
          </w:rPr>
          <w:t>89</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6" w:history="1">
        <w:r w:rsidR="00D72448" w:rsidRPr="00942C19">
          <w:rPr>
            <w:rStyle w:val="Hyperlink"/>
            <w:noProof/>
          </w:rPr>
          <w:t>4.5</w:t>
        </w:r>
        <w:r w:rsidR="00D72448" w:rsidRPr="00942C19">
          <w:rPr>
            <w:rFonts w:eastAsiaTheme="minorEastAsia" w:cstheme="minorBidi"/>
            <w:smallCaps w:val="0"/>
            <w:noProof/>
            <w:sz w:val="22"/>
            <w:szCs w:val="22"/>
            <w:lang w:val="en-IN" w:eastAsia="en-IN"/>
          </w:rPr>
          <w:tab/>
        </w:r>
        <w:r w:rsidR="00D72448" w:rsidRPr="00942C19">
          <w:rPr>
            <w:rStyle w:val="Hyperlink"/>
            <w:noProof/>
          </w:rPr>
          <w:t>CAPACITY ALLOCATION FROM CENTRAL GENERATING STATIONS &amp; OTHER STATIONS</w:t>
        </w:r>
        <w:r w:rsidR="00D72448" w:rsidRPr="00942C19">
          <w:rPr>
            <w:noProof/>
            <w:webHidden/>
          </w:rPr>
          <w:tab/>
        </w:r>
        <w:r w:rsidRPr="00942C19">
          <w:rPr>
            <w:noProof/>
            <w:webHidden/>
          </w:rPr>
          <w:fldChar w:fldCharType="begin"/>
        </w:r>
        <w:r w:rsidR="00D72448" w:rsidRPr="00942C19">
          <w:rPr>
            <w:noProof/>
            <w:webHidden/>
          </w:rPr>
          <w:instrText xml:space="preserve"> PAGEREF _Toc357714396 \h </w:instrText>
        </w:r>
        <w:r w:rsidRPr="00942C19">
          <w:rPr>
            <w:noProof/>
            <w:webHidden/>
          </w:rPr>
        </w:r>
        <w:r w:rsidRPr="00942C19">
          <w:rPr>
            <w:noProof/>
            <w:webHidden/>
          </w:rPr>
          <w:fldChar w:fldCharType="separate"/>
        </w:r>
        <w:r w:rsidR="008E7C6A">
          <w:rPr>
            <w:noProof/>
            <w:webHidden/>
          </w:rPr>
          <w:t>93</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7" w:history="1">
        <w:r w:rsidR="00D72448" w:rsidRPr="00942C19">
          <w:rPr>
            <w:rStyle w:val="Hyperlink"/>
            <w:noProof/>
          </w:rPr>
          <w:t>4.6</w:t>
        </w:r>
        <w:r w:rsidR="00D72448" w:rsidRPr="00942C19">
          <w:rPr>
            <w:rFonts w:eastAsiaTheme="minorEastAsia" w:cstheme="minorBidi"/>
            <w:smallCaps w:val="0"/>
            <w:noProof/>
            <w:sz w:val="22"/>
            <w:szCs w:val="22"/>
            <w:lang w:val="en-IN" w:eastAsia="en-IN"/>
          </w:rPr>
          <w:tab/>
        </w:r>
        <w:r w:rsidR="00D72448" w:rsidRPr="00942C19">
          <w:rPr>
            <w:rStyle w:val="Hyperlink"/>
            <w:noProof/>
          </w:rPr>
          <w:t>FUEL &amp; POWER PURCHASE COST ADJUSTMENT SURCHARGE</w:t>
        </w:r>
        <w:r w:rsidR="00D72448" w:rsidRPr="00942C19">
          <w:rPr>
            <w:noProof/>
            <w:webHidden/>
          </w:rPr>
          <w:tab/>
        </w:r>
        <w:r w:rsidRPr="00942C19">
          <w:rPr>
            <w:noProof/>
            <w:webHidden/>
          </w:rPr>
          <w:fldChar w:fldCharType="begin"/>
        </w:r>
        <w:r w:rsidR="00D72448" w:rsidRPr="00942C19">
          <w:rPr>
            <w:noProof/>
            <w:webHidden/>
          </w:rPr>
          <w:instrText xml:space="preserve"> PAGEREF _Toc357714397 \h </w:instrText>
        </w:r>
        <w:r w:rsidRPr="00942C19">
          <w:rPr>
            <w:noProof/>
            <w:webHidden/>
          </w:rPr>
        </w:r>
        <w:r w:rsidRPr="00942C19">
          <w:rPr>
            <w:noProof/>
            <w:webHidden/>
          </w:rPr>
          <w:fldChar w:fldCharType="separate"/>
        </w:r>
        <w:r w:rsidR="008E7C6A">
          <w:rPr>
            <w:noProof/>
            <w:webHidden/>
          </w:rPr>
          <w:t>105</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8" w:history="1">
        <w:r w:rsidR="00D72448" w:rsidRPr="00942C19">
          <w:rPr>
            <w:rStyle w:val="Hyperlink"/>
            <w:noProof/>
          </w:rPr>
          <w:t>4.7</w:t>
        </w:r>
        <w:r w:rsidR="00D72448" w:rsidRPr="00942C19">
          <w:rPr>
            <w:rFonts w:eastAsiaTheme="minorEastAsia" w:cstheme="minorBidi"/>
            <w:smallCaps w:val="0"/>
            <w:noProof/>
            <w:sz w:val="22"/>
            <w:szCs w:val="22"/>
            <w:lang w:val="en-IN" w:eastAsia="en-IN"/>
          </w:rPr>
          <w:tab/>
        </w:r>
        <w:r w:rsidR="00D72448" w:rsidRPr="00942C19">
          <w:rPr>
            <w:rStyle w:val="Hyperlink"/>
            <w:noProof/>
          </w:rPr>
          <w:t>SUMMARY OF POWER PURCHASE</w:t>
        </w:r>
        <w:r w:rsidR="00D72448" w:rsidRPr="00942C19">
          <w:rPr>
            <w:noProof/>
            <w:webHidden/>
          </w:rPr>
          <w:tab/>
        </w:r>
        <w:r w:rsidRPr="00942C19">
          <w:rPr>
            <w:noProof/>
            <w:webHidden/>
          </w:rPr>
          <w:fldChar w:fldCharType="begin"/>
        </w:r>
        <w:r w:rsidR="00D72448" w:rsidRPr="00942C19">
          <w:rPr>
            <w:noProof/>
            <w:webHidden/>
          </w:rPr>
          <w:instrText xml:space="preserve"> PAGEREF _Toc357714398 \h </w:instrText>
        </w:r>
        <w:r w:rsidRPr="00942C19">
          <w:rPr>
            <w:noProof/>
            <w:webHidden/>
          </w:rPr>
        </w:r>
        <w:r w:rsidRPr="00942C19">
          <w:rPr>
            <w:noProof/>
            <w:webHidden/>
          </w:rPr>
          <w:fldChar w:fldCharType="separate"/>
        </w:r>
        <w:r w:rsidR="008E7C6A">
          <w:rPr>
            <w:noProof/>
            <w:webHidden/>
          </w:rPr>
          <w:t>106</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399" w:history="1">
        <w:r w:rsidR="00D72448" w:rsidRPr="00942C19">
          <w:rPr>
            <w:rStyle w:val="Hyperlink"/>
            <w:noProof/>
          </w:rPr>
          <w:t>4.8</w:t>
        </w:r>
        <w:r w:rsidR="00D72448" w:rsidRPr="00942C19">
          <w:rPr>
            <w:rFonts w:eastAsiaTheme="minorEastAsia" w:cstheme="minorBidi"/>
            <w:smallCaps w:val="0"/>
            <w:noProof/>
            <w:sz w:val="22"/>
            <w:szCs w:val="22"/>
            <w:lang w:val="en-IN" w:eastAsia="en-IN"/>
          </w:rPr>
          <w:tab/>
        </w:r>
        <w:r w:rsidR="00D72448" w:rsidRPr="00942C19">
          <w:rPr>
            <w:rStyle w:val="Hyperlink"/>
            <w:noProof/>
          </w:rPr>
          <w:t>APPROVED MERIT ORDER DISPATCH</w:t>
        </w:r>
        <w:r w:rsidR="00D72448" w:rsidRPr="00942C19">
          <w:rPr>
            <w:noProof/>
            <w:webHidden/>
          </w:rPr>
          <w:tab/>
        </w:r>
        <w:r w:rsidRPr="00942C19">
          <w:rPr>
            <w:noProof/>
            <w:webHidden/>
          </w:rPr>
          <w:fldChar w:fldCharType="begin"/>
        </w:r>
        <w:r w:rsidR="00D72448" w:rsidRPr="00942C19">
          <w:rPr>
            <w:noProof/>
            <w:webHidden/>
          </w:rPr>
          <w:instrText xml:space="preserve"> PAGEREF _Toc357714399 \h </w:instrText>
        </w:r>
        <w:r w:rsidRPr="00942C19">
          <w:rPr>
            <w:noProof/>
            <w:webHidden/>
          </w:rPr>
        </w:r>
        <w:r w:rsidRPr="00942C19">
          <w:rPr>
            <w:noProof/>
            <w:webHidden/>
          </w:rPr>
          <w:fldChar w:fldCharType="separate"/>
        </w:r>
        <w:r w:rsidR="008E7C6A">
          <w:rPr>
            <w:noProof/>
            <w:webHidden/>
          </w:rPr>
          <w:t>112</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00" w:history="1">
        <w:r w:rsidR="00D72448" w:rsidRPr="00942C19">
          <w:rPr>
            <w:rStyle w:val="Hyperlink"/>
            <w:noProof/>
          </w:rPr>
          <w:t>4.9</w:t>
        </w:r>
        <w:r w:rsidR="00D72448" w:rsidRPr="00942C19">
          <w:rPr>
            <w:rFonts w:eastAsiaTheme="minorEastAsia" w:cstheme="minorBidi"/>
            <w:smallCaps w:val="0"/>
            <w:noProof/>
            <w:sz w:val="22"/>
            <w:szCs w:val="22"/>
            <w:lang w:val="en-IN" w:eastAsia="en-IN"/>
          </w:rPr>
          <w:tab/>
        </w:r>
        <w:r w:rsidR="00D72448" w:rsidRPr="00942C19">
          <w:rPr>
            <w:rStyle w:val="Hyperlink"/>
            <w:noProof/>
          </w:rPr>
          <w:t>ANNUAL REVENUE REQUIREMENT FOR FY 2013-14</w:t>
        </w:r>
        <w:r w:rsidR="00D72448" w:rsidRPr="00942C19">
          <w:rPr>
            <w:noProof/>
            <w:webHidden/>
          </w:rPr>
          <w:tab/>
        </w:r>
        <w:r w:rsidRPr="00942C19">
          <w:rPr>
            <w:noProof/>
            <w:webHidden/>
          </w:rPr>
          <w:fldChar w:fldCharType="begin"/>
        </w:r>
        <w:r w:rsidR="00D72448" w:rsidRPr="00942C19">
          <w:rPr>
            <w:noProof/>
            <w:webHidden/>
          </w:rPr>
          <w:instrText xml:space="preserve"> PAGEREF _Toc357714400 \h </w:instrText>
        </w:r>
        <w:r w:rsidRPr="00942C19">
          <w:rPr>
            <w:noProof/>
            <w:webHidden/>
          </w:rPr>
        </w:r>
        <w:r w:rsidRPr="00942C19">
          <w:rPr>
            <w:noProof/>
            <w:webHidden/>
          </w:rPr>
          <w:fldChar w:fldCharType="separate"/>
        </w:r>
        <w:r w:rsidR="008E7C6A">
          <w:rPr>
            <w:noProof/>
            <w:webHidden/>
          </w:rPr>
          <w:t>116</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1" w:history="1">
        <w:r w:rsidR="00D72448" w:rsidRPr="00942C19">
          <w:rPr>
            <w:rStyle w:val="Hyperlink"/>
            <w:noProof/>
          </w:rPr>
          <w:t>4.10</w:t>
        </w:r>
        <w:r w:rsidR="00D72448" w:rsidRPr="00942C19">
          <w:rPr>
            <w:rFonts w:eastAsiaTheme="minorEastAsia" w:cstheme="minorBidi"/>
            <w:smallCaps w:val="0"/>
            <w:noProof/>
            <w:sz w:val="22"/>
            <w:szCs w:val="22"/>
            <w:lang w:val="en-IN" w:eastAsia="en-IN"/>
          </w:rPr>
          <w:tab/>
        </w:r>
        <w:r w:rsidR="00D72448" w:rsidRPr="00942C19">
          <w:rPr>
            <w:rStyle w:val="Hyperlink"/>
            <w:noProof/>
          </w:rPr>
          <w:t>ESCALATION INDEX</w:t>
        </w:r>
        <w:r w:rsidR="00D72448" w:rsidRPr="00942C19">
          <w:rPr>
            <w:noProof/>
            <w:webHidden/>
          </w:rPr>
          <w:tab/>
        </w:r>
        <w:r w:rsidRPr="00942C19">
          <w:rPr>
            <w:noProof/>
            <w:webHidden/>
          </w:rPr>
          <w:fldChar w:fldCharType="begin"/>
        </w:r>
        <w:r w:rsidR="00D72448" w:rsidRPr="00942C19">
          <w:rPr>
            <w:noProof/>
            <w:webHidden/>
          </w:rPr>
          <w:instrText xml:space="preserve"> PAGEREF _Toc357714401 \h </w:instrText>
        </w:r>
        <w:r w:rsidRPr="00942C19">
          <w:rPr>
            <w:noProof/>
            <w:webHidden/>
          </w:rPr>
        </w:r>
        <w:r w:rsidRPr="00942C19">
          <w:rPr>
            <w:noProof/>
            <w:webHidden/>
          </w:rPr>
          <w:fldChar w:fldCharType="separate"/>
        </w:r>
        <w:r w:rsidR="008E7C6A">
          <w:rPr>
            <w:noProof/>
            <w:webHidden/>
          </w:rPr>
          <w:t>116</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2" w:history="1">
        <w:r w:rsidR="00D72448" w:rsidRPr="00942C19">
          <w:rPr>
            <w:rStyle w:val="Hyperlink"/>
            <w:noProof/>
          </w:rPr>
          <w:t>4.11</w:t>
        </w:r>
        <w:r w:rsidR="00D72448" w:rsidRPr="00942C19">
          <w:rPr>
            <w:rFonts w:eastAsiaTheme="minorEastAsia" w:cstheme="minorBidi"/>
            <w:smallCaps w:val="0"/>
            <w:noProof/>
            <w:sz w:val="22"/>
            <w:szCs w:val="22"/>
            <w:lang w:val="en-IN" w:eastAsia="en-IN"/>
          </w:rPr>
          <w:tab/>
        </w:r>
        <w:r w:rsidR="00D72448" w:rsidRPr="00942C19">
          <w:rPr>
            <w:rStyle w:val="Hyperlink"/>
            <w:noProof/>
          </w:rPr>
          <w:t>POWER PROCUREMENT COST</w:t>
        </w:r>
        <w:r w:rsidR="00D72448" w:rsidRPr="00942C19">
          <w:rPr>
            <w:noProof/>
            <w:webHidden/>
          </w:rPr>
          <w:tab/>
        </w:r>
        <w:r w:rsidRPr="00942C19">
          <w:rPr>
            <w:noProof/>
            <w:webHidden/>
          </w:rPr>
          <w:fldChar w:fldCharType="begin"/>
        </w:r>
        <w:r w:rsidR="00D72448" w:rsidRPr="00942C19">
          <w:rPr>
            <w:noProof/>
            <w:webHidden/>
          </w:rPr>
          <w:instrText xml:space="preserve"> PAGEREF _Toc357714402 \h </w:instrText>
        </w:r>
        <w:r w:rsidRPr="00942C19">
          <w:rPr>
            <w:noProof/>
            <w:webHidden/>
          </w:rPr>
        </w:r>
        <w:r w:rsidRPr="00942C19">
          <w:rPr>
            <w:noProof/>
            <w:webHidden/>
          </w:rPr>
          <w:fldChar w:fldCharType="separate"/>
        </w:r>
        <w:r w:rsidR="008E7C6A">
          <w:rPr>
            <w:noProof/>
            <w:webHidden/>
          </w:rPr>
          <w:t>119</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3" w:history="1">
        <w:r w:rsidR="00D72448" w:rsidRPr="00942C19">
          <w:rPr>
            <w:rStyle w:val="Hyperlink"/>
            <w:noProof/>
          </w:rPr>
          <w:t>4.12</w:t>
        </w:r>
        <w:r w:rsidR="00D72448" w:rsidRPr="00942C19">
          <w:rPr>
            <w:rFonts w:eastAsiaTheme="minorEastAsia" w:cstheme="minorBidi"/>
            <w:smallCaps w:val="0"/>
            <w:noProof/>
            <w:sz w:val="22"/>
            <w:szCs w:val="22"/>
            <w:lang w:val="en-IN" w:eastAsia="en-IN"/>
          </w:rPr>
          <w:tab/>
        </w:r>
        <w:r w:rsidR="00D72448" w:rsidRPr="00942C19">
          <w:rPr>
            <w:rStyle w:val="Hyperlink"/>
            <w:noProof/>
          </w:rPr>
          <w:t>TRANSMISSION AND SLDC CHARGES</w:t>
        </w:r>
        <w:r w:rsidR="00D72448" w:rsidRPr="00942C19">
          <w:rPr>
            <w:noProof/>
            <w:webHidden/>
          </w:rPr>
          <w:tab/>
        </w:r>
        <w:r w:rsidRPr="00942C19">
          <w:rPr>
            <w:noProof/>
            <w:webHidden/>
          </w:rPr>
          <w:fldChar w:fldCharType="begin"/>
        </w:r>
        <w:r w:rsidR="00D72448" w:rsidRPr="00942C19">
          <w:rPr>
            <w:noProof/>
            <w:webHidden/>
          </w:rPr>
          <w:instrText xml:space="preserve"> PAGEREF _Toc357714403 \h </w:instrText>
        </w:r>
        <w:r w:rsidRPr="00942C19">
          <w:rPr>
            <w:noProof/>
            <w:webHidden/>
          </w:rPr>
        </w:r>
        <w:r w:rsidRPr="00942C19">
          <w:rPr>
            <w:noProof/>
            <w:webHidden/>
          </w:rPr>
          <w:fldChar w:fldCharType="separate"/>
        </w:r>
        <w:r w:rsidR="008E7C6A">
          <w:rPr>
            <w:noProof/>
            <w:webHidden/>
          </w:rPr>
          <w:t>120</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4" w:history="1">
        <w:r w:rsidR="00D72448" w:rsidRPr="00942C19">
          <w:rPr>
            <w:rStyle w:val="Hyperlink"/>
            <w:noProof/>
          </w:rPr>
          <w:t>4.13</w:t>
        </w:r>
        <w:r w:rsidR="00D72448" w:rsidRPr="00942C19">
          <w:rPr>
            <w:rFonts w:eastAsiaTheme="minorEastAsia" w:cstheme="minorBidi"/>
            <w:smallCaps w:val="0"/>
            <w:noProof/>
            <w:sz w:val="22"/>
            <w:szCs w:val="22"/>
            <w:lang w:val="en-IN" w:eastAsia="en-IN"/>
          </w:rPr>
          <w:tab/>
        </w:r>
        <w:r w:rsidR="00D72448" w:rsidRPr="00942C19">
          <w:rPr>
            <w:rStyle w:val="Hyperlink"/>
            <w:noProof/>
          </w:rPr>
          <w:t>O&amp;M EXPENSES</w:t>
        </w:r>
        <w:r w:rsidR="00D72448" w:rsidRPr="00942C19">
          <w:rPr>
            <w:noProof/>
            <w:webHidden/>
          </w:rPr>
          <w:tab/>
        </w:r>
        <w:r w:rsidRPr="00942C19">
          <w:rPr>
            <w:noProof/>
            <w:webHidden/>
          </w:rPr>
          <w:fldChar w:fldCharType="begin"/>
        </w:r>
        <w:r w:rsidR="00D72448" w:rsidRPr="00942C19">
          <w:rPr>
            <w:noProof/>
            <w:webHidden/>
          </w:rPr>
          <w:instrText xml:space="preserve"> PAGEREF _Toc357714404 \h </w:instrText>
        </w:r>
        <w:r w:rsidRPr="00942C19">
          <w:rPr>
            <w:noProof/>
            <w:webHidden/>
          </w:rPr>
        </w:r>
        <w:r w:rsidRPr="00942C19">
          <w:rPr>
            <w:noProof/>
            <w:webHidden/>
          </w:rPr>
          <w:fldChar w:fldCharType="separate"/>
        </w:r>
        <w:r w:rsidR="008E7C6A">
          <w:rPr>
            <w:noProof/>
            <w:webHidden/>
          </w:rPr>
          <w:t>121</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5" w:history="1">
        <w:r w:rsidR="00D72448" w:rsidRPr="00942C19">
          <w:rPr>
            <w:rStyle w:val="Hyperlink"/>
            <w:noProof/>
          </w:rPr>
          <w:t>4.14</w:t>
        </w:r>
        <w:r w:rsidR="00D72448" w:rsidRPr="00942C19">
          <w:rPr>
            <w:rFonts w:eastAsiaTheme="minorEastAsia" w:cstheme="minorBidi"/>
            <w:smallCaps w:val="0"/>
            <w:noProof/>
            <w:sz w:val="22"/>
            <w:szCs w:val="22"/>
            <w:lang w:val="en-IN" w:eastAsia="en-IN"/>
          </w:rPr>
          <w:tab/>
        </w:r>
        <w:r w:rsidR="00D72448" w:rsidRPr="00942C19">
          <w:rPr>
            <w:rStyle w:val="Hyperlink"/>
            <w:noProof/>
          </w:rPr>
          <w:t>GFA BALANCES AND CAPITAL FORMATION ASSUMPTIONS</w:t>
        </w:r>
        <w:r w:rsidR="00D72448" w:rsidRPr="00942C19">
          <w:rPr>
            <w:noProof/>
            <w:webHidden/>
          </w:rPr>
          <w:tab/>
        </w:r>
        <w:r w:rsidRPr="00942C19">
          <w:rPr>
            <w:noProof/>
            <w:webHidden/>
          </w:rPr>
          <w:fldChar w:fldCharType="begin"/>
        </w:r>
        <w:r w:rsidR="00D72448" w:rsidRPr="00942C19">
          <w:rPr>
            <w:noProof/>
            <w:webHidden/>
          </w:rPr>
          <w:instrText xml:space="preserve"> PAGEREF _Toc357714405 \h </w:instrText>
        </w:r>
        <w:r w:rsidRPr="00942C19">
          <w:rPr>
            <w:noProof/>
            <w:webHidden/>
          </w:rPr>
        </w:r>
        <w:r w:rsidRPr="00942C19">
          <w:rPr>
            <w:noProof/>
            <w:webHidden/>
          </w:rPr>
          <w:fldChar w:fldCharType="separate"/>
        </w:r>
        <w:r w:rsidR="008E7C6A">
          <w:rPr>
            <w:noProof/>
            <w:webHidden/>
          </w:rPr>
          <w:t>125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6" w:history="1">
        <w:r w:rsidR="00D72448" w:rsidRPr="00942C19">
          <w:rPr>
            <w:rStyle w:val="Hyperlink"/>
            <w:noProof/>
          </w:rPr>
          <w:t>4.15</w:t>
        </w:r>
        <w:r w:rsidR="00D72448" w:rsidRPr="00942C19">
          <w:rPr>
            <w:rFonts w:eastAsiaTheme="minorEastAsia" w:cstheme="minorBidi"/>
            <w:smallCaps w:val="0"/>
            <w:noProof/>
            <w:sz w:val="22"/>
            <w:szCs w:val="22"/>
            <w:lang w:val="en-IN" w:eastAsia="en-IN"/>
          </w:rPr>
          <w:tab/>
        </w:r>
        <w:r w:rsidR="00D72448" w:rsidRPr="00942C19">
          <w:rPr>
            <w:rStyle w:val="Hyperlink"/>
            <w:noProof/>
          </w:rPr>
          <w:t>FINANCING OF THE CAPITAL INVESTMENT</w:t>
        </w:r>
        <w:r w:rsidR="00D72448" w:rsidRPr="00942C19">
          <w:rPr>
            <w:noProof/>
            <w:webHidden/>
          </w:rPr>
          <w:tab/>
        </w:r>
        <w:r w:rsidRPr="00942C19">
          <w:rPr>
            <w:noProof/>
            <w:webHidden/>
          </w:rPr>
          <w:fldChar w:fldCharType="begin"/>
        </w:r>
        <w:r w:rsidR="00D72448" w:rsidRPr="00942C19">
          <w:rPr>
            <w:noProof/>
            <w:webHidden/>
          </w:rPr>
          <w:instrText xml:space="preserve"> PAGEREF _Toc357714406 \h </w:instrText>
        </w:r>
        <w:r w:rsidRPr="00942C19">
          <w:rPr>
            <w:noProof/>
            <w:webHidden/>
          </w:rPr>
        </w:r>
        <w:r w:rsidRPr="00942C19">
          <w:rPr>
            <w:noProof/>
            <w:webHidden/>
          </w:rPr>
          <w:fldChar w:fldCharType="separate"/>
        </w:r>
        <w:r w:rsidR="008E7C6A">
          <w:rPr>
            <w:noProof/>
            <w:webHidden/>
          </w:rPr>
          <w:t>127</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7" w:history="1">
        <w:r w:rsidR="00D72448" w:rsidRPr="00942C19">
          <w:rPr>
            <w:rStyle w:val="Hyperlink"/>
            <w:noProof/>
          </w:rPr>
          <w:t>4.16</w:t>
        </w:r>
        <w:r w:rsidR="00D72448" w:rsidRPr="00942C19">
          <w:rPr>
            <w:rFonts w:eastAsiaTheme="minorEastAsia" w:cstheme="minorBidi"/>
            <w:smallCaps w:val="0"/>
            <w:noProof/>
            <w:sz w:val="22"/>
            <w:szCs w:val="22"/>
            <w:lang w:val="en-IN" w:eastAsia="en-IN"/>
          </w:rPr>
          <w:tab/>
        </w:r>
        <w:r w:rsidR="00D72448" w:rsidRPr="00942C19">
          <w:rPr>
            <w:rStyle w:val="Hyperlink"/>
            <w:noProof/>
          </w:rPr>
          <w:t>DEPRECIATION EXPENSE</w:t>
        </w:r>
        <w:r w:rsidR="00D72448" w:rsidRPr="00942C19">
          <w:rPr>
            <w:noProof/>
            <w:webHidden/>
          </w:rPr>
          <w:tab/>
        </w:r>
        <w:r w:rsidRPr="00942C19">
          <w:rPr>
            <w:noProof/>
            <w:webHidden/>
          </w:rPr>
          <w:fldChar w:fldCharType="begin"/>
        </w:r>
        <w:r w:rsidR="00D72448" w:rsidRPr="00942C19">
          <w:rPr>
            <w:noProof/>
            <w:webHidden/>
          </w:rPr>
          <w:instrText xml:space="preserve"> PAGEREF _Toc357714407 \h </w:instrText>
        </w:r>
        <w:r w:rsidRPr="00942C19">
          <w:rPr>
            <w:noProof/>
            <w:webHidden/>
          </w:rPr>
        </w:r>
        <w:r w:rsidRPr="00942C19">
          <w:rPr>
            <w:noProof/>
            <w:webHidden/>
          </w:rPr>
          <w:fldChar w:fldCharType="separate"/>
        </w:r>
        <w:r w:rsidR="008E7C6A">
          <w:rPr>
            <w:noProof/>
            <w:webHidden/>
          </w:rPr>
          <w:t>129</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8" w:history="1">
        <w:r w:rsidR="00D72448" w:rsidRPr="00942C19">
          <w:rPr>
            <w:rStyle w:val="Hyperlink"/>
            <w:noProof/>
          </w:rPr>
          <w:t>4.17</w:t>
        </w:r>
        <w:r w:rsidR="00D72448" w:rsidRPr="00942C19">
          <w:rPr>
            <w:rFonts w:eastAsiaTheme="minorEastAsia" w:cstheme="minorBidi"/>
            <w:smallCaps w:val="0"/>
            <w:noProof/>
            <w:sz w:val="22"/>
            <w:szCs w:val="22"/>
            <w:lang w:val="en-IN" w:eastAsia="en-IN"/>
          </w:rPr>
          <w:tab/>
        </w:r>
        <w:r w:rsidR="00D72448" w:rsidRPr="00942C19">
          <w:rPr>
            <w:rStyle w:val="Hyperlink"/>
            <w:noProof/>
          </w:rPr>
          <w:t>INTEREST AND FINANCING COST</w:t>
        </w:r>
        <w:r w:rsidR="00D72448" w:rsidRPr="00942C19">
          <w:rPr>
            <w:noProof/>
            <w:webHidden/>
          </w:rPr>
          <w:tab/>
        </w:r>
        <w:r w:rsidRPr="00942C19">
          <w:rPr>
            <w:noProof/>
            <w:webHidden/>
          </w:rPr>
          <w:fldChar w:fldCharType="begin"/>
        </w:r>
        <w:r w:rsidR="00D72448" w:rsidRPr="00942C19">
          <w:rPr>
            <w:noProof/>
            <w:webHidden/>
          </w:rPr>
          <w:instrText xml:space="preserve"> PAGEREF _Toc357714408 \h </w:instrText>
        </w:r>
        <w:r w:rsidRPr="00942C19">
          <w:rPr>
            <w:noProof/>
            <w:webHidden/>
          </w:rPr>
        </w:r>
        <w:r w:rsidRPr="00942C19">
          <w:rPr>
            <w:noProof/>
            <w:webHidden/>
          </w:rPr>
          <w:fldChar w:fldCharType="separate"/>
        </w:r>
        <w:r w:rsidR="008E7C6A">
          <w:rPr>
            <w:noProof/>
            <w:webHidden/>
          </w:rPr>
          <w:t>131</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09" w:history="1">
        <w:r w:rsidR="00D72448" w:rsidRPr="00942C19">
          <w:rPr>
            <w:rStyle w:val="Hyperlink"/>
            <w:noProof/>
          </w:rPr>
          <w:t>4.18</w:t>
        </w:r>
        <w:r w:rsidR="00D72448" w:rsidRPr="00942C19">
          <w:rPr>
            <w:rFonts w:eastAsiaTheme="minorEastAsia" w:cstheme="minorBidi"/>
            <w:smallCaps w:val="0"/>
            <w:noProof/>
            <w:sz w:val="22"/>
            <w:szCs w:val="22"/>
            <w:lang w:val="en-IN" w:eastAsia="en-IN"/>
          </w:rPr>
          <w:tab/>
        </w:r>
        <w:r w:rsidR="00D72448" w:rsidRPr="00942C19">
          <w:rPr>
            <w:rStyle w:val="Hyperlink"/>
            <w:noProof/>
          </w:rPr>
          <w:t>PROVISION FOR BAD AND DOUBTFUL DEBTS</w:t>
        </w:r>
        <w:r w:rsidR="00D72448" w:rsidRPr="00942C19">
          <w:rPr>
            <w:noProof/>
            <w:webHidden/>
          </w:rPr>
          <w:tab/>
        </w:r>
        <w:r w:rsidRPr="00942C19">
          <w:rPr>
            <w:noProof/>
            <w:webHidden/>
          </w:rPr>
          <w:fldChar w:fldCharType="begin"/>
        </w:r>
        <w:r w:rsidR="00D72448" w:rsidRPr="00942C19">
          <w:rPr>
            <w:noProof/>
            <w:webHidden/>
          </w:rPr>
          <w:instrText xml:space="preserve"> PAGEREF _Toc357714409 \h </w:instrText>
        </w:r>
        <w:r w:rsidRPr="00942C19">
          <w:rPr>
            <w:noProof/>
            <w:webHidden/>
          </w:rPr>
        </w:r>
        <w:r w:rsidRPr="00942C19">
          <w:rPr>
            <w:noProof/>
            <w:webHidden/>
          </w:rPr>
          <w:fldChar w:fldCharType="separate"/>
        </w:r>
        <w:r w:rsidR="008E7C6A">
          <w:rPr>
            <w:noProof/>
            <w:webHidden/>
          </w:rPr>
          <w:t>135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10" w:history="1">
        <w:r w:rsidR="00D72448" w:rsidRPr="00942C19">
          <w:rPr>
            <w:rStyle w:val="Hyperlink"/>
            <w:noProof/>
          </w:rPr>
          <w:t>4.19</w:t>
        </w:r>
        <w:r w:rsidR="00D72448" w:rsidRPr="00942C19">
          <w:rPr>
            <w:rFonts w:eastAsiaTheme="minorEastAsia" w:cstheme="minorBidi"/>
            <w:smallCaps w:val="0"/>
            <w:noProof/>
            <w:sz w:val="22"/>
            <w:szCs w:val="22"/>
            <w:lang w:val="en-IN" w:eastAsia="en-IN"/>
          </w:rPr>
          <w:tab/>
        </w:r>
        <w:r w:rsidR="00D72448" w:rsidRPr="00942C19">
          <w:rPr>
            <w:rStyle w:val="Hyperlink"/>
            <w:noProof/>
          </w:rPr>
          <w:t>OTHER INCOME</w:t>
        </w:r>
        <w:r w:rsidR="00D72448" w:rsidRPr="00942C19">
          <w:rPr>
            <w:noProof/>
            <w:webHidden/>
          </w:rPr>
          <w:tab/>
        </w:r>
        <w:r w:rsidRPr="00942C19">
          <w:rPr>
            <w:noProof/>
            <w:webHidden/>
          </w:rPr>
          <w:fldChar w:fldCharType="begin"/>
        </w:r>
        <w:r w:rsidR="00D72448" w:rsidRPr="00942C19">
          <w:rPr>
            <w:noProof/>
            <w:webHidden/>
          </w:rPr>
          <w:instrText xml:space="preserve"> PAGEREF _Toc357714410 \h </w:instrText>
        </w:r>
        <w:r w:rsidRPr="00942C19">
          <w:rPr>
            <w:noProof/>
            <w:webHidden/>
          </w:rPr>
        </w:r>
        <w:r w:rsidRPr="00942C19">
          <w:rPr>
            <w:noProof/>
            <w:webHidden/>
          </w:rPr>
          <w:fldChar w:fldCharType="separate"/>
        </w:r>
        <w:r w:rsidR="008E7C6A">
          <w:rPr>
            <w:noProof/>
            <w:webHidden/>
          </w:rPr>
          <w:t>135</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11" w:history="1">
        <w:r w:rsidR="00D72448" w:rsidRPr="00942C19">
          <w:rPr>
            <w:rStyle w:val="Hyperlink"/>
            <w:noProof/>
          </w:rPr>
          <w:t>4.20</w:t>
        </w:r>
        <w:r w:rsidR="00D72448" w:rsidRPr="00942C19">
          <w:rPr>
            <w:rFonts w:eastAsiaTheme="minorEastAsia" w:cstheme="minorBidi"/>
            <w:smallCaps w:val="0"/>
            <w:noProof/>
            <w:sz w:val="22"/>
            <w:szCs w:val="22"/>
            <w:lang w:val="en-IN" w:eastAsia="en-IN"/>
          </w:rPr>
          <w:tab/>
        </w:r>
        <w:r w:rsidR="00D72448" w:rsidRPr="00942C19">
          <w:rPr>
            <w:rStyle w:val="Hyperlink"/>
            <w:noProof/>
          </w:rPr>
          <w:t xml:space="preserve">GoUP </w:t>
        </w:r>
        <w:r w:rsidR="00D72448" w:rsidRPr="00942C19">
          <w:rPr>
            <w:rStyle w:val="Hyperlink"/>
            <w:caps/>
            <w:noProof/>
          </w:rPr>
          <w:t>Subsidy</w:t>
        </w:r>
        <w:r w:rsidR="00D72448" w:rsidRPr="00942C19">
          <w:rPr>
            <w:noProof/>
            <w:webHidden/>
          </w:rPr>
          <w:tab/>
        </w:r>
        <w:r w:rsidRPr="00942C19">
          <w:rPr>
            <w:noProof/>
            <w:webHidden/>
          </w:rPr>
          <w:fldChar w:fldCharType="begin"/>
        </w:r>
        <w:r w:rsidR="00D72448" w:rsidRPr="00942C19">
          <w:rPr>
            <w:noProof/>
            <w:webHidden/>
          </w:rPr>
          <w:instrText xml:space="preserve"> PAGEREF _Toc357714411 \h </w:instrText>
        </w:r>
        <w:r w:rsidRPr="00942C19">
          <w:rPr>
            <w:noProof/>
            <w:webHidden/>
          </w:rPr>
        </w:r>
        <w:r w:rsidRPr="00942C19">
          <w:rPr>
            <w:noProof/>
            <w:webHidden/>
          </w:rPr>
          <w:fldChar w:fldCharType="separate"/>
        </w:r>
        <w:r w:rsidR="008E7C6A">
          <w:rPr>
            <w:noProof/>
            <w:webHidden/>
          </w:rPr>
          <w:t>136</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12" w:history="1">
        <w:r w:rsidR="00D72448" w:rsidRPr="00942C19">
          <w:rPr>
            <w:rStyle w:val="Hyperlink"/>
            <w:noProof/>
          </w:rPr>
          <w:t>4.21</w:t>
        </w:r>
        <w:r w:rsidR="00D72448" w:rsidRPr="00942C19">
          <w:rPr>
            <w:rFonts w:eastAsiaTheme="minorEastAsia" w:cstheme="minorBidi"/>
            <w:smallCaps w:val="0"/>
            <w:noProof/>
            <w:sz w:val="22"/>
            <w:szCs w:val="22"/>
            <w:lang w:val="en-IN" w:eastAsia="en-IN"/>
          </w:rPr>
          <w:tab/>
        </w:r>
        <w:r w:rsidR="00D72448" w:rsidRPr="00942C19">
          <w:rPr>
            <w:rStyle w:val="Hyperlink"/>
            <w:noProof/>
          </w:rPr>
          <w:t xml:space="preserve">ADDITIONAL </w:t>
        </w:r>
        <w:r w:rsidR="00D72448" w:rsidRPr="00942C19">
          <w:rPr>
            <w:rStyle w:val="Hyperlink"/>
            <w:caps/>
            <w:noProof/>
          </w:rPr>
          <w:t>Subsidy REQUIREMENT FROM GoUP</w:t>
        </w:r>
        <w:r w:rsidR="00D72448" w:rsidRPr="00942C19">
          <w:rPr>
            <w:noProof/>
            <w:webHidden/>
          </w:rPr>
          <w:tab/>
        </w:r>
        <w:r w:rsidRPr="00942C19">
          <w:rPr>
            <w:noProof/>
            <w:webHidden/>
          </w:rPr>
          <w:fldChar w:fldCharType="begin"/>
        </w:r>
        <w:r w:rsidR="00D72448" w:rsidRPr="00942C19">
          <w:rPr>
            <w:noProof/>
            <w:webHidden/>
          </w:rPr>
          <w:instrText xml:space="preserve"> PAGEREF _Toc357714412 \h </w:instrText>
        </w:r>
        <w:r w:rsidRPr="00942C19">
          <w:rPr>
            <w:noProof/>
            <w:webHidden/>
          </w:rPr>
        </w:r>
        <w:r w:rsidRPr="00942C19">
          <w:rPr>
            <w:noProof/>
            <w:webHidden/>
          </w:rPr>
          <w:fldChar w:fldCharType="separate"/>
        </w:r>
        <w:r w:rsidR="008E7C6A">
          <w:rPr>
            <w:noProof/>
            <w:webHidden/>
          </w:rPr>
          <w:t>137</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13" w:history="1">
        <w:r w:rsidR="00D72448" w:rsidRPr="00942C19">
          <w:rPr>
            <w:rStyle w:val="Hyperlink"/>
            <w:noProof/>
          </w:rPr>
          <w:t>4.22</w:t>
        </w:r>
        <w:r w:rsidR="00D72448" w:rsidRPr="00942C19">
          <w:rPr>
            <w:rFonts w:eastAsiaTheme="minorEastAsia" w:cstheme="minorBidi"/>
            <w:smallCaps w:val="0"/>
            <w:noProof/>
            <w:sz w:val="22"/>
            <w:szCs w:val="22"/>
            <w:lang w:val="en-IN" w:eastAsia="en-IN"/>
          </w:rPr>
          <w:tab/>
        </w:r>
        <w:r w:rsidR="00D72448" w:rsidRPr="00942C19">
          <w:rPr>
            <w:rStyle w:val="Hyperlink"/>
            <w:noProof/>
          </w:rPr>
          <w:t>RETURN ON EQUITY</w:t>
        </w:r>
        <w:r w:rsidR="00D72448" w:rsidRPr="00942C19">
          <w:rPr>
            <w:noProof/>
            <w:webHidden/>
          </w:rPr>
          <w:tab/>
        </w:r>
        <w:r w:rsidRPr="00942C19">
          <w:rPr>
            <w:noProof/>
            <w:webHidden/>
          </w:rPr>
          <w:fldChar w:fldCharType="begin"/>
        </w:r>
        <w:r w:rsidR="00D72448" w:rsidRPr="00942C19">
          <w:rPr>
            <w:noProof/>
            <w:webHidden/>
          </w:rPr>
          <w:instrText xml:space="preserve"> PAGEREF _Toc357714413 \h </w:instrText>
        </w:r>
        <w:r w:rsidRPr="00942C19">
          <w:rPr>
            <w:noProof/>
            <w:webHidden/>
          </w:rPr>
        </w:r>
        <w:r w:rsidRPr="00942C19">
          <w:rPr>
            <w:noProof/>
            <w:webHidden/>
          </w:rPr>
          <w:fldChar w:fldCharType="separate"/>
        </w:r>
        <w:r w:rsidR="008E7C6A">
          <w:rPr>
            <w:noProof/>
            <w:webHidden/>
          </w:rPr>
          <w:t>138</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14" w:history="1">
        <w:r w:rsidR="00D72448" w:rsidRPr="00942C19">
          <w:rPr>
            <w:rStyle w:val="Hyperlink"/>
            <w:noProof/>
          </w:rPr>
          <w:t>4.23</w:t>
        </w:r>
        <w:r w:rsidR="00D72448" w:rsidRPr="00942C19">
          <w:rPr>
            <w:rFonts w:eastAsiaTheme="minorEastAsia" w:cstheme="minorBidi"/>
            <w:smallCaps w:val="0"/>
            <w:noProof/>
            <w:sz w:val="22"/>
            <w:szCs w:val="22"/>
            <w:lang w:val="en-IN" w:eastAsia="en-IN"/>
          </w:rPr>
          <w:tab/>
        </w:r>
        <w:r w:rsidR="00D72448" w:rsidRPr="00942C19">
          <w:rPr>
            <w:rStyle w:val="Hyperlink"/>
            <w:noProof/>
          </w:rPr>
          <w:t>CONTRIBUTION TO CONTINGENCY RESERVE</w:t>
        </w:r>
        <w:r w:rsidR="00D72448" w:rsidRPr="00942C19">
          <w:rPr>
            <w:noProof/>
            <w:webHidden/>
          </w:rPr>
          <w:tab/>
        </w:r>
        <w:r w:rsidRPr="00942C19">
          <w:rPr>
            <w:noProof/>
            <w:webHidden/>
          </w:rPr>
          <w:fldChar w:fldCharType="begin"/>
        </w:r>
        <w:r w:rsidR="00D72448" w:rsidRPr="00942C19">
          <w:rPr>
            <w:noProof/>
            <w:webHidden/>
          </w:rPr>
          <w:instrText xml:space="preserve"> PAGEREF _Toc357714414 \h </w:instrText>
        </w:r>
        <w:r w:rsidRPr="00942C19">
          <w:rPr>
            <w:noProof/>
            <w:webHidden/>
          </w:rPr>
        </w:r>
        <w:r w:rsidRPr="00942C19">
          <w:rPr>
            <w:noProof/>
            <w:webHidden/>
          </w:rPr>
          <w:fldChar w:fldCharType="separate"/>
        </w:r>
        <w:r w:rsidR="008E7C6A">
          <w:rPr>
            <w:noProof/>
            <w:webHidden/>
          </w:rPr>
          <w:t>138</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15" w:history="1">
        <w:r w:rsidR="00D72448" w:rsidRPr="00942C19">
          <w:rPr>
            <w:rStyle w:val="Hyperlink"/>
            <w:noProof/>
          </w:rPr>
          <w:t>4.24</w:t>
        </w:r>
        <w:r w:rsidR="00D72448" w:rsidRPr="00942C19">
          <w:rPr>
            <w:rFonts w:eastAsiaTheme="minorEastAsia" w:cstheme="minorBidi"/>
            <w:smallCaps w:val="0"/>
            <w:noProof/>
            <w:sz w:val="22"/>
            <w:szCs w:val="22"/>
            <w:lang w:val="en-IN" w:eastAsia="en-IN"/>
          </w:rPr>
          <w:tab/>
        </w:r>
        <w:r w:rsidR="00D72448" w:rsidRPr="00942C19">
          <w:rPr>
            <w:rStyle w:val="Hyperlink"/>
            <w:noProof/>
          </w:rPr>
          <w:t>REVENUE FROM SALE OF ELECTRICITY</w:t>
        </w:r>
        <w:r w:rsidR="00D72448" w:rsidRPr="00942C19">
          <w:rPr>
            <w:noProof/>
            <w:webHidden/>
          </w:rPr>
          <w:tab/>
        </w:r>
        <w:r w:rsidRPr="00942C19">
          <w:rPr>
            <w:noProof/>
            <w:webHidden/>
          </w:rPr>
          <w:fldChar w:fldCharType="begin"/>
        </w:r>
        <w:r w:rsidR="00D72448" w:rsidRPr="00942C19">
          <w:rPr>
            <w:noProof/>
            <w:webHidden/>
          </w:rPr>
          <w:instrText xml:space="preserve"> PAGEREF _Toc357714415 \h </w:instrText>
        </w:r>
        <w:r w:rsidRPr="00942C19">
          <w:rPr>
            <w:noProof/>
            <w:webHidden/>
          </w:rPr>
        </w:r>
        <w:r w:rsidRPr="00942C19">
          <w:rPr>
            <w:noProof/>
            <w:webHidden/>
          </w:rPr>
          <w:fldChar w:fldCharType="separate"/>
        </w:r>
        <w:r w:rsidR="008E7C6A">
          <w:rPr>
            <w:noProof/>
            <w:webHidden/>
          </w:rPr>
          <w:t>139</w:t>
        </w:r>
        <w:r w:rsidRPr="00942C19">
          <w:rPr>
            <w:noProof/>
            <w:webHidden/>
          </w:rPr>
          <w:fldChar w:fldCharType="end"/>
        </w:r>
      </w:hyperlink>
    </w:p>
    <w:p w:rsidR="00D72448" w:rsidRPr="00942C19" w:rsidRDefault="000C642E">
      <w:pPr>
        <w:pStyle w:val="TOC2"/>
        <w:tabs>
          <w:tab w:val="left" w:pos="960"/>
          <w:tab w:val="right" w:leader="dot" w:pos="8659"/>
        </w:tabs>
        <w:rPr>
          <w:rFonts w:eastAsiaTheme="minorEastAsia" w:cstheme="minorBidi"/>
          <w:smallCaps w:val="0"/>
          <w:noProof/>
          <w:sz w:val="22"/>
          <w:szCs w:val="22"/>
          <w:lang w:val="en-IN" w:eastAsia="en-IN"/>
        </w:rPr>
      </w:pPr>
      <w:hyperlink w:anchor="_Toc357714416" w:history="1">
        <w:r w:rsidR="00D72448" w:rsidRPr="00942C19">
          <w:rPr>
            <w:rStyle w:val="Hyperlink"/>
            <w:noProof/>
          </w:rPr>
          <w:t>4.25</w:t>
        </w:r>
        <w:r w:rsidR="00D72448" w:rsidRPr="00942C19">
          <w:rPr>
            <w:rFonts w:eastAsiaTheme="minorEastAsia" w:cstheme="minorBidi"/>
            <w:smallCaps w:val="0"/>
            <w:noProof/>
            <w:sz w:val="22"/>
            <w:szCs w:val="22"/>
            <w:lang w:val="en-IN" w:eastAsia="en-IN"/>
          </w:rPr>
          <w:tab/>
        </w:r>
        <w:r w:rsidR="00D72448" w:rsidRPr="00942C19">
          <w:rPr>
            <w:rStyle w:val="Hyperlink"/>
            <w:noProof/>
          </w:rPr>
          <w:t>APPROVED ARR SUMMARY, REVENUE FROM TARIFFS AND RESULTANT GAP</w:t>
        </w:r>
        <w:r w:rsidR="00D72448" w:rsidRPr="00942C19">
          <w:rPr>
            <w:noProof/>
            <w:webHidden/>
          </w:rPr>
          <w:tab/>
        </w:r>
        <w:r w:rsidRPr="00942C19">
          <w:rPr>
            <w:noProof/>
            <w:webHidden/>
          </w:rPr>
          <w:fldChar w:fldCharType="begin"/>
        </w:r>
        <w:r w:rsidR="00D72448" w:rsidRPr="00942C19">
          <w:rPr>
            <w:noProof/>
            <w:webHidden/>
          </w:rPr>
          <w:instrText xml:space="preserve"> PAGEREF _Toc357714416 \h </w:instrText>
        </w:r>
        <w:r w:rsidRPr="00942C19">
          <w:rPr>
            <w:noProof/>
            <w:webHidden/>
          </w:rPr>
        </w:r>
        <w:r w:rsidRPr="00942C19">
          <w:rPr>
            <w:noProof/>
            <w:webHidden/>
          </w:rPr>
          <w:fldChar w:fldCharType="separate"/>
        </w:r>
        <w:r w:rsidR="008E7C6A">
          <w:rPr>
            <w:noProof/>
            <w:webHidden/>
          </w:rPr>
          <w:t>140</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417" w:history="1">
        <w:r w:rsidR="00D72448" w:rsidRPr="00942C19">
          <w:rPr>
            <w:rStyle w:val="Hyperlink"/>
            <w:noProof/>
          </w:rPr>
          <w:t>5</w:t>
        </w:r>
        <w:r w:rsidR="00D72448" w:rsidRPr="00942C19">
          <w:rPr>
            <w:rFonts w:eastAsiaTheme="minorEastAsia" w:cstheme="minorBidi"/>
            <w:bCs w:val="0"/>
            <w:caps w:val="0"/>
            <w:noProof/>
            <w:sz w:val="22"/>
            <w:szCs w:val="22"/>
            <w:lang w:val="en-IN" w:eastAsia="en-IN"/>
          </w:rPr>
          <w:tab/>
        </w:r>
        <w:r w:rsidR="00D72448" w:rsidRPr="00942C19">
          <w:rPr>
            <w:rStyle w:val="Hyperlink"/>
            <w:noProof/>
          </w:rPr>
          <w:t>OPEN ACCESS CHARGES</w:t>
        </w:r>
        <w:r w:rsidR="00D72448" w:rsidRPr="00942C19">
          <w:rPr>
            <w:noProof/>
            <w:webHidden/>
          </w:rPr>
          <w:tab/>
        </w:r>
        <w:r w:rsidRPr="00942C19">
          <w:rPr>
            <w:noProof/>
            <w:webHidden/>
          </w:rPr>
          <w:fldChar w:fldCharType="begin"/>
        </w:r>
        <w:r w:rsidR="00D72448" w:rsidRPr="00942C19">
          <w:rPr>
            <w:noProof/>
            <w:webHidden/>
          </w:rPr>
          <w:instrText xml:space="preserve"> PAGEREF _Toc357714417 \h </w:instrText>
        </w:r>
        <w:r w:rsidRPr="00942C19">
          <w:rPr>
            <w:noProof/>
            <w:webHidden/>
          </w:rPr>
        </w:r>
        <w:r w:rsidRPr="00942C19">
          <w:rPr>
            <w:noProof/>
            <w:webHidden/>
          </w:rPr>
          <w:fldChar w:fldCharType="separate"/>
        </w:r>
        <w:r w:rsidR="008E7C6A">
          <w:rPr>
            <w:noProof/>
            <w:webHidden/>
          </w:rPr>
          <w:t>142</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18" w:history="1">
        <w:r w:rsidR="00D72448" w:rsidRPr="00942C19">
          <w:rPr>
            <w:rStyle w:val="Hyperlink"/>
            <w:noProof/>
          </w:rPr>
          <w:t>5.1</w:t>
        </w:r>
        <w:r w:rsidR="00D72448" w:rsidRPr="00942C19">
          <w:rPr>
            <w:rFonts w:eastAsiaTheme="minorEastAsia" w:cstheme="minorBidi"/>
            <w:smallCaps w:val="0"/>
            <w:noProof/>
            <w:sz w:val="22"/>
            <w:szCs w:val="22"/>
            <w:lang w:val="en-IN" w:eastAsia="en-IN"/>
          </w:rPr>
          <w:tab/>
        </w:r>
        <w:r w:rsidR="00D72448" w:rsidRPr="00942C19">
          <w:rPr>
            <w:rStyle w:val="Hyperlink"/>
            <w:noProof/>
          </w:rPr>
          <w:t>BACKGROUND:</w:t>
        </w:r>
        <w:r w:rsidR="00D72448" w:rsidRPr="00942C19">
          <w:rPr>
            <w:noProof/>
            <w:webHidden/>
          </w:rPr>
          <w:tab/>
        </w:r>
        <w:r w:rsidRPr="00942C19">
          <w:rPr>
            <w:noProof/>
            <w:webHidden/>
          </w:rPr>
          <w:fldChar w:fldCharType="begin"/>
        </w:r>
        <w:r w:rsidR="00D72448" w:rsidRPr="00942C19">
          <w:rPr>
            <w:noProof/>
            <w:webHidden/>
          </w:rPr>
          <w:instrText xml:space="preserve"> PAGEREF _Toc357714418 \h </w:instrText>
        </w:r>
        <w:r w:rsidRPr="00942C19">
          <w:rPr>
            <w:noProof/>
            <w:webHidden/>
          </w:rPr>
        </w:r>
        <w:r w:rsidRPr="00942C19">
          <w:rPr>
            <w:noProof/>
            <w:webHidden/>
          </w:rPr>
          <w:fldChar w:fldCharType="separate"/>
        </w:r>
        <w:r w:rsidR="008E7C6A">
          <w:rPr>
            <w:noProof/>
            <w:webHidden/>
          </w:rPr>
          <w:t>142</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19" w:history="1">
        <w:r w:rsidR="00D72448" w:rsidRPr="00942C19">
          <w:rPr>
            <w:rStyle w:val="Hyperlink"/>
            <w:noProof/>
          </w:rPr>
          <w:t>5.2</w:t>
        </w:r>
        <w:r w:rsidR="00D72448" w:rsidRPr="00942C19">
          <w:rPr>
            <w:rFonts w:eastAsiaTheme="minorEastAsia" w:cstheme="minorBidi"/>
            <w:smallCaps w:val="0"/>
            <w:noProof/>
            <w:sz w:val="22"/>
            <w:szCs w:val="22"/>
            <w:lang w:val="en-IN" w:eastAsia="en-IN"/>
          </w:rPr>
          <w:tab/>
        </w:r>
        <w:r w:rsidR="00D72448" w:rsidRPr="00942C19">
          <w:rPr>
            <w:rStyle w:val="Hyperlink"/>
            <w:noProof/>
          </w:rPr>
          <w:t>WHEELING CHARGES</w:t>
        </w:r>
        <w:r w:rsidR="00D72448" w:rsidRPr="00942C19">
          <w:rPr>
            <w:noProof/>
            <w:webHidden/>
          </w:rPr>
          <w:tab/>
        </w:r>
        <w:r w:rsidRPr="00942C19">
          <w:rPr>
            <w:noProof/>
            <w:webHidden/>
          </w:rPr>
          <w:fldChar w:fldCharType="begin"/>
        </w:r>
        <w:r w:rsidR="00D72448" w:rsidRPr="00942C19">
          <w:rPr>
            <w:noProof/>
            <w:webHidden/>
          </w:rPr>
          <w:instrText xml:space="preserve"> PAGEREF _Toc357714419 \h </w:instrText>
        </w:r>
        <w:r w:rsidRPr="00942C19">
          <w:rPr>
            <w:noProof/>
            <w:webHidden/>
          </w:rPr>
        </w:r>
        <w:r w:rsidRPr="00942C19">
          <w:rPr>
            <w:noProof/>
            <w:webHidden/>
          </w:rPr>
          <w:fldChar w:fldCharType="separate"/>
        </w:r>
        <w:r w:rsidR="008E7C6A">
          <w:rPr>
            <w:noProof/>
            <w:webHidden/>
          </w:rPr>
          <w:t>142</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20" w:history="1">
        <w:r w:rsidR="00D72448" w:rsidRPr="00942C19">
          <w:rPr>
            <w:rStyle w:val="Hyperlink"/>
            <w:noProof/>
          </w:rPr>
          <w:t>5.3</w:t>
        </w:r>
        <w:r w:rsidR="00D72448" w:rsidRPr="00942C19">
          <w:rPr>
            <w:rFonts w:eastAsiaTheme="minorEastAsia" w:cstheme="minorBidi"/>
            <w:smallCaps w:val="0"/>
            <w:noProof/>
            <w:sz w:val="22"/>
            <w:szCs w:val="22"/>
            <w:lang w:val="en-IN" w:eastAsia="en-IN"/>
          </w:rPr>
          <w:tab/>
        </w:r>
        <w:r w:rsidR="00D72448" w:rsidRPr="00942C19">
          <w:rPr>
            <w:rStyle w:val="Hyperlink"/>
            <w:noProof/>
          </w:rPr>
          <w:t>CROSS SUBSIDY SURCHARGE</w:t>
        </w:r>
        <w:r w:rsidR="00D72448" w:rsidRPr="00942C19">
          <w:rPr>
            <w:noProof/>
            <w:webHidden/>
          </w:rPr>
          <w:tab/>
        </w:r>
        <w:r w:rsidRPr="00942C19">
          <w:rPr>
            <w:noProof/>
            <w:webHidden/>
          </w:rPr>
          <w:fldChar w:fldCharType="begin"/>
        </w:r>
        <w:r w:rsidR="00D72448" w:rsidRPr="00942C19">
          <w:rPr>
            <w:noProof/>
            <w:webHidden/>
          </w:rPr>
          <w:instrText xml:space="preserve"> PAGEREF _Toc357714420 \h </w:instrText>
        </w:r>
        <w:r w:rsidRPr="00942C19">
          <w:rPr>
            <w:noProof/>
            <w:webHidden/>
          </w:rPr>
        </w:r>
        <w:r w:rsidRPr="00942C19">
          <w:rPr>
            <w:noProof/>
            <w:webHidden/>
          </w:rPr>
          <w:fldChar w:fldCharType="separate"/>
        </w:r>
        <w:r w:rsidR="008E7C6A">
          <w:rPr>
            <w:noProof/>
            <w:webHidden/>
          </w:rPr>
          <w:t>146</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21" w:history="1">
        <w:r w:rsidR="00D72448" w:rsidRPr="00942C19">
          <w:rPr>
            <w:rStyle w:val="Hyperlink"/>
            <w:noProof/>
          </w:rPr>
          <w:t>5.4</w:t>
        </w:r>
        <w:r w:rsidR="00D72448" w:rsidRPr="00942C19">
          <w:rPr>
            <w:rFonts w:eastAsiaTheme="minorEastAsia" w:cstheme="minorBidi"/>
            <w:smallCaps w:val="0"/>
            <w:noProof/>
            <w:sz w:val="22"/>
            <w:szCs w:val="22"/>
            <w:lang w:val="en-IN" w:eastAsia="en-IN"/>
          </w:rPr>
          <w:tab/>
        </w:r>
        <w:r w:rsidR="00D72448" w:rsidRPr="00942C19">
          <w:rPr>
            <w:rStyle w:val="Hyperlink"/>
            <w:noProof/>
          </w:rPr>
          <w:t>ADDITIONAL SURCHARGE</w:t>
        </w:r>
        <w:r w:rsidR="00D72448" w:rsidRPr="00942C19">
          <w:rPr>
            <w:noProof/>
            <w:webHidden/>
          </w:rPr>
          <w:tab/>
        </w:r>
        <w:r w:rsidRPr="00942C19">
          <w:rPr>
            <w:noProof/>
            <w:webHidden/>
          </w:rPr>
          <w:fldChar w:fldCharType="begin"/>
        </w:r>
        <w:r w:rsidR="00D72448" w:rsidRPr="00942C19">
          <w:rPr>
            <w:noProof/>
            <w:webHidden/>
          </w:rPr>
          <w:instrText xml:space="preserve"> PAGEREF _Toc357714421 \h </w:instrText>
        </w:r>
        <w:r w:rsidRPr="00942C19">
          <w:rPr>
            <w:noProof/>
            <w:webHidden/>
          </w:rPr>
        </w:r>
        <w:r w:rsidRPr="00942C19">
          <w:rPr>
            <w:noProof/>
            <w:webHidden/>
          </w:rPr>
          <w:fldChar w:fldCharType="separate"/>
        </w:r>
        <w:r w:rsidR="008E7C6A">
          <w:rPr>
            <w:noProof/>
            <w:webHidden/>
          </w:rPr>
          <w:t>147</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22" w:history="1">
        <w:r w:rsidR="00D72448" w:rsidRPr="00942C19">
          <w:rPr>
            <w:rStyle w:val="Hyperlink"/>
            <w:noProof/>
          </w:rPr>
          <w:t>5.5</w:t>
        </w:r>
        <w:r w:rsidR="00D72448" w:rsidRPr="00942C19">
          <w:rPr>
            <w:rFonts w:eastAsiaTheme="minorEastAsia" w:cstheme="minorBidi"/>
            <w:smallCaps w:val="0"/>
            <w:noProof/>
            <w:sz w:val="22"/>
            <w:szCs w:val="22"/>
            <w:lang w:val="en-IN" w:eastAsia="en-IN"/>
          </w:rPr>
          <w:tab/>
        </w:r>
        <w:r w:rsidR="00D72448" w:rsidRPr="00942C19">
          <w:rPr>
            <w:rStyle w:val="Hyperlink"/>
            <w:noProof/>
          </w:rPr>
          <w:t>OTHER CHARGES</w:t>
        </w:r>
        <w:r w:rsidR="00D72448" w:rsidRPr="00942C19">
          <w:rPr>
            <w:noProof/>
            <w:webHidden/>
          </w:rPr>
          <w:tab/>
        </w:r>
        <w:r w:rsidRPr="00942C19">
          <w:rPr>
            <w:noProof/>
            <w:webHidden/>
          </w:rPr>
          <w:fldChar w:fldCharType="begin"/>
        </w:r>
        <w:r w:rsidR="00D72448" w:rsidRPr="00942C19">
          <w:rPr>
            <w:noProof/>
            <w:webHidden/>
          </w:rPr>
          <w:instrText xml:space="preserve"> PAGEREF _Toc357714422 \h </w:instrText>
        </w:r>
        <w:r w:rsidRPr="00942C19">
          <w:rPr>
            <w:noProof/>
            <w:webHidden/>
          </w:rPr>
        </w:r>
        <w:r w:rsidRPr="00942C19">
          <w:rPr>
            <w:noProof/>
            <w:webHidden/>
          </w:rPr>
          <w:fldChar w:fldCharType="separate"/>
        </w:r>
        <w:r w:rsidR="008E7C6A">
          <w:rPr>
            <w:noProof/>
            <w:webHidden/>
          </w:rPr>
          <w:t>147</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423" w:history="1">
        <w:r w:rsidR="00D72448" w:rsidRPr="00942C19">
          <w:rPr>
            <w:rStyle w:val="Hyperlink"/>
            <w:noProof/>
          </w:rPr>
          <w:t>6</w:t>
        </w:r>
        <w:r w:rsidR="00D72448" w:rsidRPr="00942C19">
          <w:rPr>
            <w:rFonts w:eastAsiaTheme="minorEastAsia" w:cstheme="minorBidi"/>
            <w:bCs w:val="0"/>
            <w:caps w:val="0"/>
            <w:noProof/>
            <w:sz w:val="22"/>
            <w:szCs w:val="22"/>
            <w:lang w:val="en-IN" w:eastAsia="en-IN"/>
          </w:rPr>
          <w:tab/>
        </w:r>
        <w:r w:rsidR="00D72448" w:rsidRPr="00942C19">
          <w:rPr>
            <w:rStyle w:val="Hyperlink"/>
            <w:noProof/>
          </w:rPr>
          <w:t>TARIFF PHILOSPHY</w:t>
        </w:r>
        <w:r w:rsidR="00D72448" w:rsidRPr="00942C19">
          <w:rPr>
            <w:noProof/>
            <w:webHidden/>
          </w:rPr>
          <w:tab/>
        </w:r>
        <w:r w:rsidRPr="00942C19">
          <w:rPr>
            <w:noProof/>
            <w:webHidden/>
          </w:rPr>
          <w:fldChar w:fldCharType="begin"/>
        </w:r>
        <w:r w:rsidR="00D72448" w:rsidRPr="00942C19">
          <w:rPr>
            <w:noProof/>
            <w:webHidden/>
          </w:rPr>
          <w:instrText xml:space="preserve"> PAGEREF _Toc357714423 \h </w:instrText>
        </w:r>
        <w:r w:rsidRPr="00942C19">
          <w:rPr>
            <w:noProof/>
            <w:webHidden/>
          </w:rPr>
        </w:r>
        <w:r w:rsidRPr="00942C19">
          <w:rPr>
            <w:noProof/>
            <w:webHidden/>
          </w:rPr>
          <w:fldChar w:fldCharType="separate"/>
        </w:r>
        <w:r w:rsidR="008E7C6A">
          <w:rPr>
            <w:noProof/>
            <w:webHidden/>
          </w:rPr>
          <w:t>148</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24" w:history="1">
        <w:r w:rsidR="00D72448" w:rsidRPr="00942C19">
          <w:rPr>
            <w:rStyle w:val="Hyperlink"/>
            <w:noProof/>
          </w:rPr>
          <w:t>6.1</w:t>
        </w:r>
        <w:r w:rsidR="00D72448" w:rsidRPr="00942C19">
          <w:rPr>
            <w:rFonts w:eastAsiaTheme="minorEastAsia" w:cstheme="minorBidi"/>
            <w:smallCaps w:val="0"/>
            <w:noProof/>
            <w:sz w:val="22"/>
            <w:szCs w:val="22"/>
            <w:lang w:val="en-IN" w:eastAsia="en-IN"/>
          </w:rPr>
          <w:tab/>
        </w:r>
        <w:r w:rsidR="00D72448" w:rsidRPr="00942C19">
          <w:rPr>
            <w:rStyle w:val="Hyperlink"/>
            <w:noProof/>
          </w:rPr>
          <w:t>CONSIDERATIONS IN TARIFF DESIGN</w:t>
        </w:r>
        <w:r w:rsidR="00D72448" w:rsidRPr="00942C19">
          <w:rPr>
            <w:noProof/>
            <w:webHidden/>
          </w:rPr>
          <w:tab/>
        </w:r>
        <w:r w:rsidRPr="00942C19">
          <w:rPr>
            <w:noProof/>
            <w:webHidden/>
          </w:rPr>
          <w:fldChar w:fldCharType="begin"/>
        </w:r>
        <w:r w:rsidR="00D72448" w:rsidRPr="00942C19">
          <w:rPr>
            <w:noProof/>
            <w:webHidden/>
          </w:rPr>
          <w:instrText xml:space="preserve"> PAGEREF _Toc357714424 \h </w:instrText>
        </w:r>
        <w:r w:rsidRPr="00942C19">
          <w:rPr>
            <w:noProof/>
            <w:webHidden/>
          </w:rPr>
        </w:r>
        <w:r w:rsidRPr="00942C19">
          <w:rPr>
            <w:noProof/>
            <w:webHidden/>
          </w:rPr>
          <w:fldChar w:fldCharType="separate"/>
        </w:r>
        <w:r w:rsidR="008E7C6A">
          <w:rPr>
            <w:noProof/>
            <w:webHidden/>
          </w:rPr>
          <w:t>148</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425" w:history="1">
        <w:r w:rsidR="00D72448" w:rsidRPr="00942C19">
          <w:rPr>
            <w:rStyle w:val="Hyperlink"/>
            <w:noProof/>
          </w:rPr>
          <w:t>7</w:t>
        </w:r>
        <w:r w:rsidR="00D72448" w:rsidRPr="00942C19">
          <w:rPr>
            <w:rFonts w:eastAsiaTheme="minorEastAsia" w:cstheme="minorBidi"/>
            <w:bCs w:val="0"/>
            <w:caps w:val="0"/>
            <w:noProof/>
            <w:sz w:val="22"/>
            <w:szCs w:val="22"/>
            <w:lang w:val="en-IN" w:eastAsia="en-IN"/>
          </w:rPr>
          <w:tab/>
        </w:r>
        <w:r w:rsidR="00D72448" w:rsidRPr="00942C19">
          <w:rPr>
            <w:rStyle w:val="Hyperlink"/>
            <w:noProof/>
          </w:rPr>
          <w:t>REVENUE AT PROPOSED TARIFF AND REVENUE GAP:</w:t>
        </w:r>
        <w:r w:rsidR="00D72448" w:rsidRPr="00942C19">
          <w:rPr>
            <w:noProof/>
            <w:webHidden/>
          </w:rPr>
          <w:tab/>
        </w:r>
        <w:r w:rsidRPr="00942C19">
          <w:rPr>
            <w:noProof/>
            <w:webHidden/>
          </w:rPr>
          <w:fldChar w:fldCharType="begin"/>
        </w:r>
        <w:r w:rsidR="00D72448" w:rsidRPr="00942C19">
          <w:rPr>
            <w:noProof/>
            <w:webHidden/>
          </w:rPr>
          <w:instrText xml:space="preserve"> PAGEREF _Toc357714425 \h </w:instrText>
        </w:r>
        <w:r w:rsidRPr="00942C19">
          <w:rPr>
            <w:noProof/>
            <w:webHidden/>
          </w:rPr>
        </w:r>
        <w:r w:rsidRPr="00942C19">
          <w:rPr>
            <w:noProof/>
            <w:webHidden/>
          </w:rPr>
          <w:fldChar w:fldCharType="separate"/>
        </w:r>
        <w:r w:rsidR="008E7C6A">
          <w:rPr>
            <w:noProof/>
            <w:webHidden/>
          </w:rPr>
          <w:t>152</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26" w:history="1">
        <w:r w:rsidR="00D72448" w:rsidRPr="00942C19">
          <w:rPr>
            <w:rStyle w:val="Hyperlink"/>
            <w:noProof/>
          </w:rPr>
          <w:t>7.1</w:t>
        </w:r>
        <w:r w:rsidR="00D72448" w:rsidRPr="00942C19">
          <w:rPr>
            <w:rFonts w:eastAsiaTheme="minorEastAsia" w:cstheme="minorBidi"/>
            <w:smallCaps w:val="0"/>
            <w:noProof/>
            <w:sz w:val="22"/>
            <w:szCs w:val="22"/>
            <w:lang w:val="en-IN" w:eastAsia="en-IN"/>
          </w:rPr>
          <w:tab/>
        </w:r>
        <w:r w:rsidR="00D72448" w:rsidRPr="00942C19">
          <w:rPr>
            <w:rStyle w:val="Hyperlink"/>
            <w:noProof/>
          </w:rPr>
          <w:t>REVENUE FROM SALE OF POWER AT APPROVED TARIFF</w:t>
        </w:r>
        <w:r w:rsidR="00D72448" w:rsidRPr="00942C19">
          <w:rPr>
            <w:noProof/>
            <w:webHidden/>
          </w:rPr>
          <w:tab/>
        </w:r>
        <w:r w:rsidRPr="00942C19">
          <w:rPr>
            <w:noProof/>
            <w:webHidden/>
          </w:rPr>
          <w:fldChar w:fldCharType="begin"/>
        </w:r>
        <w:r w:rsidR="00D72448" w:rsidRPr="00942C19">
          <w:rPr>
            <w:noProof/>
            <w:webHidden/>
          </w:rPr>
          <w:instrText xml:space="preserve"> PAGEREF _Toc357714426 \h </w:instrText>
        </w:r>
        <w:r w:rsidRPr="00942C19">
          <w:rPr>
            <w:noProof/>
            <w:webHidden/>
          </w:rPr>
        </w:r>
        <w:r w:rsidRPr="00942C19">
          <w:rPr>
            <w:noProof/>
            <w:webHidden/>
          </w:rPr>
          <w:fldChar w:fldCharType="separate"/>
        </w:r>
        <w:r w:rsidR="008E7C6A">
          <w:rPr>
            <w:noProof/>
            <w:webHidden/>
          </w:rPr>
          <w:t>152</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27" w:history="1">
        <w:r w:rsidR="00D72448" w:rsidRPr="00942C19">
          <w:rPr>
            <w:rStyle w:val="Hyperlink"/>
            <w:noProof/>
          </w:rPr>
          <w:t>7.2</w:t>
        </w:r>
        <w:r w:rsidR="00D72448" w:rsidRPr="00942C19">
          <w:rPr>
            <w:rFonts w:eastAsiaTheme="minorEastAsia" w:cstheme="minorBidi"/>
            <w:smallCaps w:val="0"/>
            <w:noProof/>
            <w:sz w:val="22"/>
            <w:szCs w:val="22"/>
            <w:lang w:val="en-IN" w:eastAsia="en-IN"/>
          </w:rPr>
          <w:tab/>
        </w:r>
        <w:r w:rsidR="00D72448" w:rsidRPr="00942C19">
          <w:rPr>
            <w:rStyle w:val="Hyperlink"/>
            <w:noProof/>
          </w:rPr>
          <w:t>AVERAGE COST OF SUPPLY</w:t>
        </w:r>
        <w:r w:rsidR="00D72448" w:rsidRPr="00942C19">
          <w:rPr>
            <w:noProof/>
            <w:webHidden/>
          </w:rPr>
          <w:tab/>
        </w:r>
        <w:r w:rsidRPr="00942C19">
          <w:rPr>
            <w:noProof/>
            <w:webHidden/>
          </w:rPr>
          <w:fldChar w:fldCharType="begin"/>
        </w:r>
        <w:r w:rsidR="00D72448" w:rsidRPr="00942C19">
          <w:rPr>
            <w:noProof/>
            <w:webHidden/>
          </w:rPr>
          <w:instrText xml:space="preserve"> PAGEREF _Toc357714427 \h </w:instrText>
        </w:r>
        <w:r w:rsidRPr="00942C19">
          <w:rPr>
            <w:noProof/>
            <w:webHidden/>
          </w:rPr>
        </w:r>
        <w:r w:rsidRPr="00942C19">
          <w:rPr>
            <w:noProof/>
            <w:webHidden/>
          </w:rPr>
          <w:fldChar w:fldCharType="separate"/>
        </w:r>
        <w:r w:rsidR="008E7C6A">
          <w:rPr>
            <w:noProof/>
            <w:webHidden/>
          </w:rPr>
          <w:t>153</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28" w:history="1">
        <w:r w:rsidR="00D72448" w:rsidRPr="00942C19">
          <w:rPr>
            <w:rStyle w:val="Hyperlink"/>
            <w:noProof/>
          </w:rPr>
          <w:t>7.3</w:t>
        </w:r>
        <w:r w:rsidR="00D72448" w:rsidRPr="00942C19">
          <w:rPr>
            <w:rFonts w:eastAsiaTheme="minorEastAsia" w:cstheme="minorBidi"/>
            <w:smallCaps w:val="0"/>
            <w:noProof/>
            <w:sz w:val="22"/>
            <w:szCs w:val="22"/>
            <w:lang w:val="en-IN" w:eastAsia="en-IN"/>
          </w:rPr>
          <w:tab/>
        </w:r>
        <w:r w:rsidR="00D72448" w:rsidRPr="00942C19">
          <w:rPr>
            <w:rStyle w:val="Hyperlink"/>
            <w:noProof/>
          </w:rPr>
          <w:t>REGULATORY SURCHARGE</w:t>
        </w:r>
        <w:r w:rsidR="00D72448" w:rsidRPr="00942C19">
          <w:rPr>
            <w:noProof/>
            <w:webHidden/>
          </w:rPr>
          <w:tab/>
        </w:r>
        <w:r w:rsidRPr="00942C19">
          <w:rPr>
            <w:noProof/>
            <w:webHidden/>
          </w:rPr>
          <w:fldChar w:fldCharType="begin"/>
        </w:r>
        <w:r w:rsidR="00D72448" w:rsidRPr="00942C19">
          <w:rPr>
            <w:noProof/>
            <w:webHidden/>
          </w:rPr>
          <w:instrText xml:space="preserve"> PAGEREF _Toc357714428 \h </w:instrText>
        </w:r>
        <w:r w:rsidRPr="00942C19">
          <w:rPr>
            <w:noProof/>
            <w:webHidden/>
          </w:rPr>
        </w:r>
        <w:r w:rsidRPr="00942C19">
          <w:rPr>
            <w:noProof/>
            <w:webHidden/>
          </w:rPr>
          <w:fldChar w:fldCharType="separate"/>
        </w:r>
        <w:r w:rsidR="008E7C6A">
          <w:rPr>
            <w:noProof/>
            <w:webHidden/>
          </w:rPr>
          <w:t>154</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429" w:history="1">
        <w:r w:rsidR="00D72448" w:rsidRPr="00942C19">
          <w:rPr>
            <w:rStyle w:val="Hyperlink"/>
            <w:noProof/>
          </w:rPr>
          <w:t>8</w:t>
        </w:r>
        <w:r w:rsidR="00D72448" w:rsidRPr="00942C19">
          <w:rPr>
            <w:rFonts w:eastAsiaTheme="minorEastAsia" w:cstheme="minorBidi"/>
            <w:bCs w:val="0"/>
            <w:caps w:val="0"/>
            <w:noProof/>
            <w:sz w:val="22"/>
            <w:szCs w:val="22"/>
            <w:lang w:val="en-IN" w:eastAsia="en-IN"/>
          </w:rPr>
          <w:tab/>
        </w:r>
        <w:r w:rsidR="00D72448" w:rsidRPr="00942C19">
          <w:rPr>
            <w:rStyle w:val="Hyperlink"/>
            <w:noProof/>
          </w:rPr>
          <w:t>DIRECTIVES</w:t>
        </w:r>
        <w:r w:rsidR="00D72448" w:rsidRPr="00942C19">
          <w:rPr>
            <w:noProof/>
            <w:webHidden/>
          </w:rPr>
          <w:tab/>
        </w:r>
        <w:r w:rsidRPr="00942C19">
          <w:rPr>
            <w:noProof/>
            <w:webHidden/>
          </w:rPr>
          <w:fldChar w:fldCharType="begin"/>
        </w:r>
        <w:r w:rsidR="00D72448" w:rsidRPr="00942C19">
          <w:rPr>
            <w:noProof/>
            <w:webHidden/>
          </w:rPr>
          <w:instrText xml:space="preserve"> PAGEREF _Toc357714429 \h </w:instrText>
        </w:r>
        <w:r w:rsidRPr="00942C19">
          <w:rPr>
            <w:noProof/>
            <w:webHidden/>
          </w:rPr>
        </w:r>
        <w:r w:rsidRPr="00942C19">
          <w:rPr>
            <w:noProof/>
            <w:webHidden/>
          </w:rPr>
          <w:fldChar w:fldCharType="separate"/>
        </w:r>
        <w:r w:rsidR="008E7C6A">
          <w:rPr>
            <w:noProof/>
            <w:webHidden/>
          </w:rPr>
          <w:t>159</w:t>
        </w:r>
        <w:r w:rsidRPr="00942C19">
          <w:rPr>
            <w:noProof/>
            <w:webHidden/>
          </w:rPr>
          <w:fldChar w:fldCharType="end"/>
        </w:r>
      </w:hyperlink>
    </w:p>
    <w:p w:rsidR="00D72448" w:rsidRPr="00942C19" w:rsidRDefault="000C642E">
      <w:pPr>
        <w:pStyle w:val="TOC2"/>
        <w:tabs>
          <w:tab w:val="left" w:pos="720"/>
          <w:tab w:val="right" w:leader="dot" w:pos="8659"/>
        </w:tabs>
        <w:rPr>
          <w:rFonts w:eastAsiaTheme="minorEastAsia" w:cstheme="minorBidi"/>
          <w:smallCaps w:val="0"/>
          <w:noProof/>
          <w:sz w:val="22"/>
          <w:szCs w:val="22"/>
          <w:lang w:val="en-IN" w:eastAsia="en-IN"/>
        </w:rPr>
      </w:pPr>
      <w:hyperlink w:anchor="_Toc357714430" w:history="1">
        <w:r w:rsidR="00D72448" w:rsidRPr="00942C19">
          <w:rPr>
            <w:rStyle w:val="Hyperlink"/>
            <w:noProof/>
          </w:rPr>
          <w:t>8.1</w:t>
        </w:r>
        <w:r w:rsidR="00D72448" w:rsidRPr="00942C19">
          <w:rPr>
            <w:rFonts w:eastAsiaTheme="minorEastAsia" w:cstheme="minorBidi"/>
            <w:smallCaps w:val="0"/>
            <w:noProof/>
            <w:sz w:val="22"/>
            <w:szCs w:val="22"/>
            <w:lang w:val="en-IN" w:eastAsia="en-IN"/>
          </w:rPr>
          <w:tab/>
        </w:r>
        <w:r w:rsidR="00D72448" w:rsidRPr="00942C19">
          <w:rPr>
            <w:rStyle w:val="Hyperlink"/>
            <w:noProof/>
          </w:rPr>
          <w:t>DIRECTIVES PROVIDED BY COMMISSION AND THEIR COMPLIANCE BY LICENSEE</w:t>
        </w:r>
        <w:r w:rsidR="00D72448" w:rsidRPr="00942C19">
          <w:rPr>
            <w:noProof/>
            <w:webHidden/>
          </w:rPr>
          <w:tab/>
        </w:r>
        <w:r w:rsidRPr="00942C19">
          <w:rPr>
            <w:noProof/>
            <w:webHidden/>
          </w:rPr>
          <w:fldChar w:fldCharType="begin"/>
        </w:r>
        <w:r w:rsidR="00D72448" w:rsidRPr="00942C19">
          <w:rPr>
            <w:noProof/>
            <w:webHidden/>
          </w:rPr>
          <w:instrText xml:space="preserve"> PAGEREF _Toc357714430 \h </w:instrText>
        </w:r>
        <w:r w:rsidRPr="00942C19">
          <w:rPr>
            <w:noProof/>
            <w:webHidden/>
          </w:rPr>
        </w:r>
        <w:r w:rsidRPr="00942C19">
          <w:rPr>
            <w:noProof/>
            <w:webHidden/>
          </w:rPr>
          <w:fldChar w:fldCharType="separate"/>
        </w:r>
        <w:r w:rsidR="008E7C6A">
          <w:rPr>
            <w:noProof/>
            <w:webHidden/>
          </w:rPr>
          <w:t>159</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431" w:history="1">
        <w:r w:rsidR="00D72448" w:rsidRPr="00942C19">
          <w:rPr>
            <w:rStyle w:val="Hyperlink"/>
            <w:noProof/>
          </w:rPr>
          <w:t>9</w:t>
        </w:r>
        <w:r w:rsidR="00D72448" w:rsidRPr="00942C19">
          <w:rPr>
            <w:rFonts w:eastAsiaTheme="minorEastAsia" w:cstheme="minorBidi"/>
            <w:bCs w:val="0"/>
            <w:caps w:val="0"/>
            <w:noProof/>
            <w:sz w:val="22"/>
            <w:szCs w:val="22"/>
            <w:lang w:val="en-IN" w:eastAsia="en-IN"/>
          </w:rPr>
          <w:tab/>
        </w:r>
        <w:r w:rsidR="00D72448" w:rsidRPr="00942C19">
          <w:rPr>
            <w:rStyle w:val="Hyperlink"/>
            <w:noProof/>
          </w:rPr>
          <w:t>APPLICABILITY OF THE ORDER</w:t>
        </w:r>
        <w:r w:rsidR="00D72448" w:rsidRPr="00942C19">
          <w:rPr>
            <w:noProof/>
            <w:webHidden/>
          </w:rPr>
          <w:tab/>
        </w:r>
        <w:r w:rsidRPr="00942C19">
          <w:rPr>
            <w:noProof/>
            <w:webHidden/>
          </w:rPr>
          <w:fldChar w:fldCharType="begin"/>
        </w:r>
        <w:r w:rsidR="00D72448" w:rsidRPr="00942C19">
          <w:rPr>
            <w:noProof/>
            <w:webHidden/>
          </w:rPr>
          <w:instrText xml:space="preserve"> PAGEREF _Toc357714431 \h </w:instrText>
        </w:r>
        <w:r w:rsidRPr="00942C19">
          <w:rPr>
            <w:noProof/>
            <w:webHidden/>
          </w:rPr>
        </w:r>
        <w:r w:rsidRPr="00942C19">
          <w:rPr>
            <w:noProof/>
            <w:webHidden/>
          </w:rPr>
          <w:fldChar w:fldCharType="separate"/>
        </w:r>
        <w:r w:rsidR="008E7C6A">
          <w:rPr>
            <w:noProof/>
            <w:webHidden/>
          </w:rPr>
          <w:t>165</w:t>
        </w:r>
        <w:r w:rsidRPr="00942C19">
          <w:rPr>
            <w:noProof/>
            <w:webHidden/>
          </w:rPr>
          <w:fldChar w:fldCharType="end"/>
        </w:r>
      </w:hyperlink>
    </w:p>
    <w:p w:rsidR="00D72448" w:rsidRPr="00942C19" w:rsidRDefault="000C642E">
      <w:pPr>
        <w:pStyle w:val="TOC1"/>
        <w:rPr>
          <w:rFonts w:eastAsiaTheme="minorEastAsia" w:cstheme="minorBidi"/>
          <w:bCs w:val="0"/>
          <w:caps w:val="0"/>
          <w:noProof/>
          <w:sz w:val="22"/>
          <w:szCs w:val="22"/>
          <w:lang w:val="en-IN" w:eastAsia="en-IN"/>
        </w:rPr>
      </w:pPr>
      <w:hyperlink w:anchor="_Toc357714432" w:history="1">
        <w:r w:rsidR="00D72448" w:rsidRPr="00942C19">
          <w:rPr>
            <w:rStyle w:val="Hyperlink"/>
            <w:noProof/>
          </w:rPr>
          <w:t>10</w:t>
        </w:r>
        <w:r w:rsidR="00D72448" w:rsidRPr="00942C19">
          <w:rPr>
            <w:rFonts w:eastAsiaTheme="minorEastAsia" w:cstheme="minorBidi"/>
            <w:bCs w:val="0"/>
            <w:caps w:val="0"/>
            <w:noProof/>
            <w:sz w:val="22"/>
            <w:szCs w:val="22"/>
            <w:lang w:val="en-IN" w:eastAsia="en-IN"/>
          </w:rPr>
          <w:tab/>
        </w:r>
        <w:r w:rsidR="00D72448" w:rsidRPr="00942C19">
          <w:rPr>
            <w:rStyle w:val="Hyperlink"/>
            <w:noProof/>
          </w:rPr>
          <w:t>ANNEXURE</w:t>
        </w:r>
        <w:r w:rsidR="00D72448" w:rsidRPr="00942C19">
          <w:rPr>
            <w:noProof/>
            <w:webHidden/>
          </w:rPr>
          <w:tab/>
        </w:r>
        <w:r w:rsidRPr="00942C19">
          <w:rPr>
            <w:noProof/>
            <w:webHidden/>
          </w:rPr>
          <w:fldChar w:fldCharType="begin"/>
        </w:r>
        <w:r w:rsidR="00D72448" w:rsidRPr="00942C19">
          <w:rPr>
            <w:noProof/>
            <w:webHidden/>
          </w:rPr>
          <w:instrText xml:space="preserve"> PAGEREF _Toc357714432 \h </w:instrText>
        </w:r>
        <w:r w:rsidRPr="00942C19">
          <w:rPr>
            <w:noProof/>
            <w:webHidden/>
          </w:rPr>
        </w:r>
        <w:r w:rsidRPr="00942C19">
          <w:rPr>
            <w:noProof/>
            <w:webHidden/>
          </w:rPr>
          <w:fldChar w:fldCharType="separate"/>
        </w:r>
        <w:r w:rsidR="008E7C6A">
          <w:rPr>
            <w:noProof/>
            <w:webHidden/>
          </w:rPr>
          <w:t>166</w:t>
        </w:r>
        <w:r w:rsidRPr="00942C19">
          <w:rPr>
            <w:noProof/>
            <w:webHidden/>
          </w:rPr>
          <w:fldChar w:fldCharType="end"/>
        </w:r>
      </w:hyperlink>
    </w:p>
    <w:p w:rsidR="00D72448" w:rsidRPr="00942C19" w:rsidRDefault="000C642E">
      <w:pPr>
        <w:pStyle w:val="TOC1"/>
        <w:tabs>
          <w:tab w:val="left" w:pos="960"/>
        </w:tabs>
        <w:rPr>
          <w:rFonts w:eastAsiaTheme="minorEastAsia" w:cstheme="minorBidi"/>
          <w:bCs w:val="0"/>
          <w:caps w:val="0"/>
          <w:noProof/>
          <w:sz w:val="22"/>
          <w:szCs w:val="22"/>
          <w:lang w:val="en-IN" w:eastAsia="en-IN"/>
        </w:rPr>
      </w:pPr>
      <w:hyperlink w:anchor="_Toc357714433" w:history="1">
        <w:r w:rsidR="00D72448" w:rsidRPr="00942C19">
          <w:rPr>
            <w:rStyle w:val="Hyperlink"/>
            <w:noProof/>
          </w:rPr>
          <w:t>10.1</w:t>
        </w:r>
        <w:r w:rsidR="00D72448" w:rsidRPr="00942C19">
          <w:rPr>
            <w:rFonts w:eastAsiaTheme="minorEastAsia" w:cstheme="minorBidi"/>
            <w:bCs w:val="0"/>
            <w:caps w:val="0"/>
            <w:noProof/>
            <w:sz w:val="22"/>
            <w:szCs w:val="22"/>
            <w:lang w:val="en-IN" w:eastAsia="en-IN"/>
          </w:rPr>
          <w:tab/>
        </w:r>
        <w:r w:rsidR="00D72448" w:rsidRPr="00942C19">
          <w:rPr>
            <w:rStyle w:val="Hyperlink"/>
            <w:noProof/>
          </w:rPr>
          <w:t>COMMISSION FORECAST OF CONSUMPTION PARAMETERS FOR FY 2013-14</w:t>
        </w:r>
        <w:r w:rsidR="00D72448" w:rsidRPr="00942C19">
          <w:rPr>
            <w:noProof/>
            <w:webHidden/>
          </w:rPr>
          <w:tab/>
        </w:r>
        <w:r w:rsidRPr="00942C19">
          <w:rPr>
            <w:noProof/>
            <w:webHidden/>
          </w:rPr>
          <w:fldChar w:fldCharType="begin"/>
        </w:r>
        <w:r w:rsidR="00D72448" w:rsidRPr="00942C19">
          <w:rPr>
            <w:noProof/>
            <w:webHidden/>
          </w:rPr>
          <w:instrText xml:space="preserve"> PAGEREF _Toc357714433 \h </w:instrText>
        </w:r>
        <w:r w:rsidRPr="00942C19">
          <w:rPr>
            <w:noProof/>
            <w:webHidden/>
          </w:rPr>
        </w:r>
        <w:r w:rsidRPr="00942C19">
          <w:rPr>
            <w:noProof/>
            <w:webHidden/>
          </w:rPr>
          <w:fldChar w:fldCharType="separate"/>
        </w:r>
        <w:r w:rsidR="008E7C6A">
          <w:rPr>
            <w:noProof/>
            <w:webHidden/>
          </w:rPr>
          <w:t>166</w:t>
        </w:r>
        <w:r w:rsidRPr="00942C19">
          <w:rPr>
            <w:noProof/>
            <w:webHidden/>
          </w:rPr>
          <w:fldChar w:fldCharType="end"/>
        </w:r>
      </w:hyperlink>
    </w:p>
    <w:p w:rsidR="00D72448" w:rsidRPr="00942C19" w:rsidRDefault="000C642E">
      <w:pPr>
        <w:pStyle w:val="TOC1"/>
        <w:tabs>
          <w:tab w:val="left" w:pos="960"/>
        </w:tabs>
        <w:rPr>
          <w:rFonts w:eastAsiaTheme="minorEastAsia" w:cstheme="minorBidi"/>
          <w:bCs w:val="0"/>
          <w:caps w:val="0"/>
          <w:noProof/>
          <w:sz w:val="22"/>
          <w:szCs w:val="22"/>
          <w:lang w:val="en-IN" w:eastAsia="en-IN"/>
        </w:rPr>
      </w:pPr>
      <w:hyperlink w:anchor="_Toc357714434" w:history="1">
        <w:r w:rsidR="00D72448" w:rsidRPr="00942C19">
          <w:rPr>
            <w:rStyle w:val="Hyperlink"/>
            <w:noProof/>
          </w:rPr>
          <w:t>10.2</w:t>
        </w:r>
        <w:r w:rsidR="00D72448" w:rsidRPr="00942C19">
          <w:rPr>
            <w:rFonts w:eastAsiaTheme="minorEastAsia" w:cstheme="minorBidi"/>
            <w:bCs w:val="0"/>
            <w:caps w:val="0"/>
            <w:noProof/>
            <w:sz w:val="22"/>
            <w:szCs w:val="22"/>
            <w:lang w:val="en-IN" w:eastAsia="en-IN"/>
          </w:rPr>
          <w:tab/>
        </w:r>
        <w:r w:rsidR="00D72448" w:rsidRPr="00942C19">
          <w:rPr>
            <w:rStyle w:val="Hyperlink"/>
            <w:noProof/>
          </w:rPr>
          <w:t>RATE SCHEDULE FOR FY 2013-14</w:t>
        </w:r>
        <w:r w:rsidR="00D72448" w:rsidRPr="00942C19">
          <w:rPr>
            <w:noProof/>
            <w:webHidden/>
          </w:rPr>
          <w:tab/>
        </w:r>
        <w:r w:rsidRPr="00942C19">
          <w:rPr>
            <w:noProof/>
            <w:webHidden/>
          </w:rPr>
          <w:fldChar w:fldCharType="begin"/>
        </w:r>
        <w:r w:rsidR="00D72448" w:rsidRPr="00942C19">
          <w:rPr>
            <w:noProof/>
            <w:webHidden/>
          </w:rPr>
          <w:instrText xml:space="preserve"> PAGEREF _Toc357714434 \h </w:instrText>
        </w:r>
        <w:r w:rsidRPr="00942C19">
          <w:rPr>
            <w:noProof/>
            <w:webHidden/>
          </w:rPr>
        </w:r>
        <w:r w:rsidRPr="00942C19">
          <w:rPr>
            <w:noProof/>
            <w:webHidden/>
          </w:rPr>
          <w:fldChar w:fldCharType="separate"/>
        </w:r>
        <w:r w:rsidR="008E7C6A">
          <w:rPr>
            <w:noProof/>
            <w:webHidden/>
          </w:rPr>
          <w:t>181</w:t>
        </w:r>
        <w:r w:rsidRPr="00942C19">
          <w:rPr>
            <w:noProof/>
            <w:webHidden/>
          </w:rPr>
          <w:fldChar w:fldCharType="end"/>
        </w:r>
      </w:hyperlink>
    </w:p>
    <w:p w:rsidR="00D72448" w:rsidRPr="00942C19" w:rsidRDefault="000C642E">
      <w:pPr>
        <w:pStyle w:val="TOC1"/>
        <w:tabs>
          <w:tab w:val="left" w:pos="960"/>
        </w:tabs>
        <w:rPr>
          <w:rFonts w:eastAsiaTheme="minorEastAsia" w:cstheme="minorBidi"/>
          <w:bCs w:val="0"/>
          <w:caps w:val="0"/>
          <w:noProof/>
          <w:sz w:val="22"/>
          <w:szCs w:val="22"/>
          <w:lang w:val="en-IN" w:eastAsia="en-IN"/>
        </w:rPr>
      </w:pPr>
      <w:hyperlink w:anchor="_Toc357714435" w:history="1">
        <w:r w:rsidR="00D72448" w:rsidRPr="00942C19">
          <w:rPr>
            <w:rStyle w:val="Hyperlink"/>
            <w:noProof/>
          </w:rPr>
          <w:t>10.3</w:t>
        </w:r>
        <w:r w:rsidR="00D72448" w:rsidRPr="00942C19">
          <w:rPr>
            <w:rFonts w:eastAsiaTheme="minorEastAsia" w:cstheme="minorBidi"/>
            <w:bCs w:val="0"/>
            <w:caps w:val="0"/>
            <w:noProof/>
            <w:sz w:val="22"/>
            <w:szCs w:val="22"/>
            <w:lang w:val="en-IN" w:eastAsia="en-IN"/>
          </w:rPr>
          <w:tab/>
        </w:r>
        <w:r w:rsidR="00D72448" w:rsidRPr="00942C19">
          <w:rPr>
            <w:rStyle w:val="Hyperlink"/>
            <w:noProof/>
          </w:rPr>
          <w:t>SCHEDULE OF MISCELLANEOUS CHARGES</w:t>
        </w:r>
        <w:r w:rsidR="00D72448" w:rsidRPr="00942C19">
          <w:rPr>
            <w:noProof/>
            <w:webHidden/>
          </w:rPr>
          <w:tab/>
        </w:r>
        <w:r w:rsidRPr="00942C19">
          <w:rPr>
            <w:noProof/>
            <w:webHidden/>
          </w:rPr>
          <w:fldChar w:fldCharType="begin"/>
        </w:r>
        <w:r w:rsidR="00D72448" w:rsidRPr="00942C19">
          <w:rPr>
            <w:noProof/>
            <w:webHidden/>
          </w:rPr>
          <w:instrText xml:space="preserve"> PAGEREF _Toc357714435 \h </w:instrText>
        </w:r>
        <w:r w:rsidRPr="00942C19">
          <w:rPr>
            <w:noProof/>
            <w:webHidden/>
          </w:rPr>
        </w:r>
        <w:r w:rsidRPr="00942C19">
          <w:rPr>
            <w:noProof/>
            <w:webHidden/>
          </w:rPr>
          <w:fldChar w:fldCharType="separate"/>
        </w:r>
        <w:r w:rsidR="008E7C6A">
          <w:rPr>
            <w:noProof/>
            <w:webHidden/>
          </w:rPr>
          <w:t>226</w:t>
        </w:r>
        <w:r w:rsidRPr="00942C19">
          <w:rPr>
            <w:noProof/>
            <w:webHidden/>
          </w:rPr>
          <w:fldChar w:fldCharType="end"/>
        </w:r>
      </w:hyperlink>
    </w:p>
    <w:p w:rsidR="00D72448" w:rsidRPr="00942C19" w:rsidRDefault="000C642E">
      <w:pPr>
        <w:pStyle w:val="TOC1"/>
        <w:tabs>
          <w:tab w:val="left" w:pos="960"/>
        </w:tabs>
        <w:rPr>
          <w:rFonts w:eastAsiaTheme="minorEastAsia" w:cstheme="minorBidi"/>
          <w:bCs w:val="0"/>
          <w:caps w:val="0"/>
          <w:noProof/>
          <w:sz w:val="22"/>
          <w:szCs w:val="22"/>
          <w:lang w:val="en-IN" w:eastAsia="en-IN"/>
        </w:rPr>
      </w:pPr>
      <w:hyperlink w:anchor="_Toc357714436" w:history="1">
        <w:r w:rsidR="00D72448" w:rsidRPr="00942C19">
          <w:rPr>
            <w:rStyle w:val="Hyperlink"/>
            <w:noProof/>
          </w:rPr>
          <w:t>10.4</w:t>
        </w:r>
        <w:r w:rsidR="00D72448" w:rsidRPr="00942C19">
          <w:rPr>
            <w:rFonts w:eastAsiaTheme="minorEastAsia" w:cstheme="minorBidi"/>
            <w:bCs w:val="0"/>
            <w:caps w:val="0"/>
            <w:noProof/>
            <w:sz w:val="22"/>
            <w:szCs w:val="22"/>
            <w:lang w:val="en-IN" w:eastAsia="en-IN"/>
          </w:rPr>
          <w:tab/>
        </w:r>
        <w:r w:rsidR="00D72448" w:rsidRPr="00942C19">
          <w:rPr>
            <w:rStyle w:val="Hyperlink"/>
            <w:noProof/>
          </w:rPr>
          <w:t>LIST OF POWER FACTOR APPARATUS</w:t>
        </w:r>
        <w:r w:rsidR="00D72448" w:rsidRPr="00942C19">
          <w:rPr>
            <w:noProof/>
            <w:webHidden/>
          </w:rPr>
          <w:tab/>
        </w:r>
        <w:r w:rsidRPr="00942C19">
          <w:rPr>
            <w:noProof/>
            <w:webHidden/>
          </w:rPr>
          <w:fldChar w:fldCharType="begin"/>
        </w:r>
        <w:r w:rsidR="00D72448" w:rsidRPr="00942C19">
          <w:rPr>
            <w:noProof/>
            <w:webHidden/>
          </w:rPr>
          <w:instrText xml:space="preserve"> PAGEREF _Toc357714436 \h </w:instrText>
        </w:r>
        <w:r w:rsidRPr="00942C19">
          <w:rPr>
            <w:noProof/>
            <w:webHidden/>
          </w:rPr>
        </w:r>
        <w:r w:rsidRPr="00942C19">
          <w:rPr>
            <w:noProof/>
            <w:webHidden/>
          </w:rPr>
          <w:fldChar w:fldCharType="separate"/>
        </w:r>
        <w:r w:rsidR="008E7C6A">
          <w:rPr>
            <w:noProof/>
            <w:webHidden/>
          </w:rPr>
          <w:t>228</w:t>
        </w:r>
        <w:r w:rsidRPr="00942C19">
          <w:rPr>
            <w:noProof/>
            <w:webHidden/>
          </w:rPr>
          <w:fldChar w:fldCharType="end"/>
        </w:r>
      </w:hyperlink>
    </w:p>
    <w:p w:rsidR="00D72448" w:rsidRPr="00942C19" w:rsidRDefault="000C642E">
      <w:pPr>
        <w:pStyle w:val="TOC1"/>
        <w:tabs>
          <w:tab w:val="left" w:pos="960"/>
        </w:tabs>
        <w:rPr>
          <w:rFonts w:eastAsiaTheme="minorEastAsia" w:cstheme="minorBidi"/>
          <w:bCs w:val="0"/>
          <w:caps w:val="0"/>
          <w:noProof/>
          <w:sz w:val="22"/>
          <w:szCs w:val="22"/>
          <w:lang w:val="en-IN" w:eastAsia="en-IN"/>
        </w:rPr>
      </w:pPr>
      <w:hyperlink w:anchor="_Toc357714437" w:history="1">
        <w:r w:rsidR="00D72448" w:rsidRPr="00942C19">
          <w:rPr>
            <w:rStyle w:val="Hyperlink"/>
            <w:noProof/>
          </w:rPr>
          <w:t>10.5</w:t>
        </w:r>
        <w:r w:rsidR="00D72448" w:rsidRPr="00942C19">
          <w:rPr>
            <w:rFonts w:eastAsiaTheme="minorEastAsia" w:cstheme="minorBidi"/>
            <w:bCs w:val="0"/>
            <w:caps w:val="0"/>
            <w:noProof/>
            <w:sz w:val="22"/>
            <w:szCs w:val="22"/>
            <w:lang w:val="en-IN" w:eastAsia="en-IN"/>
          </w:rPr>
          <w:tab/>
        </w:r>
        <w:r w:rsidR="00D72448" w:rsidRPr="00942C19">
          <w:rPr>
            <w:rStyle w:val="Hyperlink"/>
            <w:iCs/>
            <w:noProof/>
          </w:rPr>
          <w:t>LIST OF PERSONS WHO HAVE ATTENDED PUBLIC HEARING AT 4 PLACES IN RESPECT OF SUO-MOTU PROCEEDINGS FOR ARR &amp; TARIFF DETERMINATION FOR FY 2013-14</w:t>
        </w:r>
        <w:r w:rsidR="00D72448" w:rsidRPr="00942C19">
          <w:rPr>
            <w:noProof/>
            <w:webHidden/>
          </w:rPr>
          <w:tab/>
        </w:r>
        <w:r w:rsidRPr="00942C19">
          <w:rPr>
            <w:noProof/>
            <w:webHidden/>
          </w:rPr>
          <w:fldChar w:fldCharType="begin"/>
        </w:r>
        <w:r w:rsidR="00D72448" w:rsidRPr="00942C19">
          <w:rPr>
            <w:noProof/>
            <w:webHidden/>
          </w:rPr>
          <w:instrText xml:space="preserve"> PAGEREF _Toc357714437 \h </w:instrText>
        </w:r>
        <w:r w:rsidRPr="00942C19">
          <w:rPr>
            <w:noProof/>
            <w:webHidden/>
          </w:rPr>
        </w:r>
        <w:r w:rsidRPr="00942C19">
          <w:rPr>
            <w:noProof/>
            <w:webHidden/>
          </w:rPr>
          <w:fldChar w:fldCharType="separate"/>
        </w:r>
        <w:r w:rsidR="008E7C6A">
          <w:rPr>
            <w:noProof/>
            <w:webHidden/>
          </w:rPr>
          <w:t>231</w:t>
        </w:r>
        <w:r w:rsidRPr="00942C19">
          <w:rPr>
            <w:noProof/>
            <w:webHidden/>
          </w:rPr>
          <w:fldChar w:fldCharType="end"/>
        </w:r>
      </w:hyperlink>
    </w:p>
    <w:p w:rsidR="00D72448" w:rsidRPr="00942C19" w:rsidRDefault="000C642E">
      <w:pPr>
        <w:pStyle w:val="TOC1"/>
        <w:tabs>
          <w:tab w:val="left" w:pos="960"/>
        </w:tabs>
        <w:rPr>
          <w:rFonts w:eastAsiaTheme="minorEastAsia" w:cstheme="minorBidi"/>
          <w:bCs w:val="0"/>
          <w:caps w:val="0"/>
          <w:noProof/>
          <w:sz w:val="22"/>
          <w:szCs w:val="22"/>
          <w:lang w:val="en-IN" w:eastAsia="en-IN"/>
        </w:rPr>
      </w:pPr>
      <w:hyperlink w:anchor="_Toc357714438" w:history="1">
        <w:r w:rsidR="00D72448" w:rsidRPr="00942C19">
          <w:rPr>
            <w:rStyle w:val="Hyperlink"/>
            <w:iCs/>
            <w:noProof/>
          </w:rPr>
          <w:t>10.6</w:t>
        </w:r>
        <w:r w:rsidR="00D72448" w:rsidRPr="00942C19">
          <w:rPr>
            <w:rFonts w:eastAsiaTheme="minorEastAsia" w:cstheme="minorBidi"/>
            <w:bCs w:val="0"/>
            <w:caps w:val="0"/>
            <w:noProof/>
            <w:sz w:val="22"/>
            <w:szCs w:val="22"/>
            <w:lang w:val="en-IN" w:eastAsia="en-IN"/>
          </w:rPr>
          <w:tab/>
        </w:r>
        <w:r w:rsidR="00D72448" w:rsidRPr="00942C19">
          <w:rPr>
            <w:rStyle w:val="Hyperlink"/>
            <w:iCs/>
            <w:noProof/>
          </w:rPr>
          <w:t>FUEL AND POWER PURCHASE COST ADJUSTMENT SURCHARGE</w:t>
        </w:r>
        <w:r w:rsidR="00D72448" w:rsidRPr="00942C19">
          <w:rPr>
            <w:noProof/>
            <w:webHidden/>
          </w:rPr>
          <w:tab/>
        </w:r>
        <w:r w:rsidRPr="00942C19">
          <w:rPr>
            <w:noProof/>
            <w:webHidden/>
          </w:rPr>
          <w:fldChar w:fldCharType="begin"/>
        </w:r>
        <w:r w:rsidR="00D72448" w:rsidRPr="00942C19">
          <w:rPr>
            <w:noProof/>
            <w:webHidden/>
          </w:rPr>
          <w:instrText xml:space="preserve"> PAGEREF _Toc357714438 \h </w:instrText>
        </w:r>
        <w:r w:rsidRPr="00942C19">
          <w:rPr>
            <w:noProof/>
            <w:webHidden/>
          </w:rPr>
        </w:r>
        <w:r w:rsidRPr="00942C19">
          <w:rPr>
            <w:noProof/>
            <w:webHidden/>
          </w:rPr>
          <w:fldChar w:fldCharType="separate"/>
        </w:r>
        <w:r w:rsidR="008E7C6A">
          <w:rPr>
            <w:noProof/>
            <w:webHidden/>
          </w:rPr>
          <w:t>237</w:t>
        </w:r>
        <w:r w:rsidRPr="00942C19">
          <w:rPr>
            <w:noProof/>
            <w:webHidden/>
          </w:rPr>
          <w:fldChar w:fldCharType="end"/>
        </w:r>
      </w:hyperlink>
    </w:p>
    <w:p w:rsidR="00D72448" w:rsidRPr="00942C19" w:rsidRDefault="000C642E" w:rsidP="00942C19">
      <w:pPr>
        <w:pStyle w:val="TOC1"/>
        <w:tabs>
          <w:tab w:val="left" w:pos="960"/>
        </w:tabs>
        <w:jc w:val="both"/>
        <w:rPr>
          <w:rFonts w:eastAsiaTheme="minorEastAsia" w:cstheme="minorBidi"/>
          <w:bCs w:val="0"/>
          <w:caps w:val="0"/>
          <w:noProof/>
          <w:sz w:val="22"/>
          <w:szCs w:val="22"/>
          <w:lang w:val="en-IN" w:eastAsia="en-IN"/>
        </w:rPr>
      </w:pPr>
      <w:hyperlink w:anchor="_Toc357714439" w:history="1">
        <w:r w:rsidR="00D72448" w:rsidRPr="00942C19">
          <w:rPr>
            <w:rStyle w:val="Hyperlink"/>
            <w:iCs/>
            <w:noProof/>
          </w:rPr>
          <w:t>10.7</w:t>
        </w:r>
        <w:r w:rsidR="00D72448" w:rsidRPr="00942C19">
          <w:rPr>
            <w:rFonts w:eastAsiaTheme="minorEastAsia" w:cstheme="minorBidi"/>
            <w:bCs w:val="0"/>
            <w:caps w:val="0"/>
            <w:noProof/>
            <w:sz w:val="22"/>
            <w:szCs w:val="22"/>
            <w:lang w:val="en-IN" w:eastAsia="en-IN"/>
          </w:rPr>
          <w:tab/>
        </w:r>
        <w:r w:rsidR="00D72448" w:rsidRPr="00942C19">
          <w:rPr>
            <w:rStyle w:val="Hyperlink"/>
            <w:iCs/>
            <w:noProof/>
          </w:rPr>
          <w:t>ACTION TAKEN REPORT ON THE DIRECTIONS ISSUED BY THE COMMISSION IN THE ARR / TARIFF ORDER FOR FY 2013-14</w:t>
        </w:r>
        <w:r w:rsidR="00D72448" w:rsidRPr="00942C19">
          <w:rPr>
            <w:noProof/>
            <w:webHidden/>
          </w:rPr>
          <w:tab/>
        </w:r>
        <w:r w:rsidRPr="00942C19">
          <w:rPr>
            <w:noProof/>
            <w:webHidden/>
          </w:rPr>
          <w:fldChar w:fldCharType="begin"/>
        </w:r>
        <w:r w:rsidR="00D72448" w:rsidRPr="00942C19">
          <w:rPr>
            <w:noProof/>
            <w:webHidden/>
          </w:rPr>
          <w:instrText xml:space="preserve"> PAGEREF _Toc357714439 \h </w:instrText>
        </w:r>
        <w:r w:rsidRPr="00942C19">
          <w:rPr>
            <w:noProof/>
            <w:webHidden/>
          </w:rPr>
        </w:r>
        <w:r w:rsidRPr="00942C19">
          <w:rPr>
            <w:noProof/>
            <w:webHidden/>
          </w:rPr>
          <w:fldChar w:fldCharType="separate"/>
        </w:r>
        <w:r w:rsidR="008E7C6A">
          <w:rPr>
            <w:noProof/>
            <w:webHidden/>
          </w:rPr>
          <w:t>240</w:t>
        </w:r>
        <w:r w:rsidRPr="00942C19">
          <w:rPr>
            <w:noProof/>
            <w:webHidden/>
          </w:rPr>
          <w:fldChar w:fldCharType="end"/>
        </w:r>
      </w:hyperlink>
    </w:p>
    <w:p w:rsidR="00C25F67" w:rsidRPr="00942C19" w:rsidRDefault="000C642E" w:rsidP="00897F23">
      <w:pPr>
        <w:pStyle w:val="TOC2"/>
        <w:tabs>
          <w:tab w:val="left" w:pos="960"/>
          <w:tab w:val="right" w:leader="dot" w:pos="8659"/>
        </w:tabs>
      </w:pPr>
      <w:r w:rsidRPr="00942C19">
        <w:rPr>
          <w:caps/>
        </w:rPr>
        <w:fldChar w:fldCharType="end"/>
      </w:r>
      <w:r w:rsidR="00C25F67" w:rsidRPr="00942C19">
        <w:br w:type="page"/>
      </w:r>
    </w:p>
    <w:p w:rsidR="00C25F67" w:rsidRPr="00942C19" w:rsidRDefault="005C12AC" w:rsidP="005C12AC">
      <w:pPr>
        <w:jc w:val="center"/>
        <w:rPr>
          <w:rFonts w:asciiTheme="minorHAnsi" w:hAnsiTheme="minorHAnsi" w:cstheme="minorHAnsi"/>
          <w:b/>
          <w:u w:val="single"/>
        </w:rPr>
      </w:pPr>
      <w:r w:rsidRPr="00942C19">
        <w:rPr>
          <w:rFonts w:asciiTheme="minorHAnsi" w:hAnsiTheme="minorHAnsi" w:cstheme="minorHAnsi"/>
          <w:b/>
          <w:sz w:val="28"/>
          <w:u w:val="single"/>
        </w:rPr>
        <w:lastRenderedPageBreak/>
        <w:t>LIST OF TABLES</w:t>
      </w:r>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r w:rsidRPr="00942C19">
        <w:rPr>
          <w:rStyle w:val="Hyperlink"/>
          <w:noProof/>
        </w:rPr>
        <w:fldChar w:fldCharType="begin"/>
      </w:r>
      <w:r w:rsidR="00180A33" w:rsidRPr="00942C19">
        <w:rPr>
          <w:rStyle w:val="Hyperlink"/>
          <w:noProof/>
        </w:rPr>
        <w:instrText xml:space="preserve"> TOC \h \z \c "Table" </w:instrText>
      </w:r>
      <w:r w:rsidRPr="00942C19">
        <w:rPr>
          <w:rStyle w:val="Hyperlink"/>
          <w:noProof/>
        </w:rPr>
        <w:fldChar w:fldCharType="separate"/>
      </w:r>
      <w:hyperlink w:anchor="_Toc357719694" w:history="1">
        <w:r w:rsidR="00942C19" w:rsidRPr="00942C19">
          <w:rPr>
            <w:rStyle w:val="Hyperlink"/>
            <w:noProof/>
          </w:rPr>
          <w:t>Table 3</w:t>
        </w:r>
        <w:r w:rsidR="00942C19" w:rsidRPr="00942C19">
          <w:rPr>
            <w:rStyle w:val="Hyperlink"/>
            <w:noProof/>
          </w:rPr>
          <w:noBreakHyphen/>
          <w:t>1: SCHEDULE OF PUBLIC HEARING AT VARIOUS LOCATIONS OF THE STATE</w:t>
        </w:r>
        <w:r w:rsidR="00942C19" w:rsidRPr="00942C19">
          <w:rPr>
            <w:noProof/>
            <w:webHidden/>
          </w:rPr>
          <w:tab/>
        </w:r>
        <w:r w:rsidRPr="00942C19">
          <w:rPr>
            <w:noProof/>
            <w:webHidden/>
          </w:rPr>
          <w:fldChar w:fldCharType="begin"/>
        </w:r>
        <w:r w:rsidR="00942C19" w:rsidRPr="00942C19">
          <w:rPr>
            <w:noProof/>
            <w:webHidden/>
          </w:rPr>
          <w:instrText xml:space="preserve"> PAGEREF _Toc357719694 \h </w:instrText>
        </w:r>
        <w:r w:rsidRPr="00942C19">
          <w:rPr>
            <w:noProof/>
            <w:webHidden/>
          </w:rPr>
        </w:r>
        <w:r w:rsidRPr="00942C19">
          <w:rPr>
            <w:noProof/>
            <w:webHidden/>
          </w:rPr>
          <w:fldChar w:fldCharType="separate"/>
        </w:r>
        <w:r w:rsidR="008E7C6A">
          <w:rPr>
            <w:noProof/>
            <w:webHidden/>
          </w:rPr>
          <w:t>19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695" w:history="1">
        <w:r w:rsidR="00942C19" w:rsidRPr="00942C19">
          <w:rPr>
            <w:rStyle w:val="Hyperlink"/>
            <w:noProof/>
          </w:rPr>
          <w:t>Table 4</w:t>
        </w:r>
        <w:r w:rsidR="00942C19" w:rsidRPr="00942C19">
          <w:rPr>
            <w:rStyle w:val="Hyperlink"/>
            <w:noProof/>
          </w:rPr>
          <w:noBreakHyphen/>
          <w:t>1: SOURCE OF DATA FOR HISTORICAL PARAMETERS</w:t>
        </w:r>
        <w:r w:rsidR="00942C19" w:rsidRPr="00942C19">
          <w:rPr>
            <w:noProof/>
            <w:webHidden/>
          </w:rPr>
          <w:tab/>
        </w:r>
        <w:r w:rsidRPr="00942C19">
          <w:rPr>
            <w:noProof/>
            <w:webHidden/>
          </w:rPr>
          <w:fldChar w:fldCharType="begin"/>
        </w:r>
        <w:r w:rsidR="00942C19" w:rsidRPr="00942C19">
          <w:rPr>
            <w:noProof/>
            <w:webHidden/>
          </w:rPr>
          <w:instrText xml:space="preserve"> PAGEREF _Toc357719695 \h </w:instrText>
        </w:r>
        <w:r w:rsidRPr="00942C19">
          <w:rPr>
            <w:noProof/>
            <w:webHidden/>
          </w:rPr>
        </w:r>
        <w:r w:rsidRPr="00942C19">
          <w:rPr>
            <w:noProof/>
            <w:webHidden/>
          </w:rPr>
          <w:fldChar w:fldCharType="separate"/>
        </w:r>
        <w:r w:rsidR="008E7C6A">
          <w:rPr>
            <w:noProof/>
            <w:webHidden/>
          </w:rPr>
          <w:t>81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696" w:history="1">
        <w:r w:rsidR="00942C19" w:rsidRPr="00942C19">
          <w:rPr>
            <w:rStyle w:val="Hyperlink"/>
            <w:noProof/>
          </w:rPr>
          <w:t>Table 4</w:t>
        </w:r>
        <w:r w:rsidR="00942C19" w:rsidRPr="00942C19">
          <w:rPr>
            <w:rStyle w:val="Hyperlink"/>
            <w:noProof/>
          </w:rPr>
          <w:noBreakHyphen/>
          <w:t>2: CONSUMPTION NORMS FOR UNMETERED CATEGORIES</w:t>
        </w:r>
        <w:r w:rsidR="00942C19" w:rsidRPr="00942C19">
          <w:rPr>
            <w:noProof/>
            <w:webHidden/>
          </w:rPr>
          <w:tab/>
        </w:r>
        <w:r w:rsidRPr="00942C19">
          <w:rPr>
            <w:noProof/>
            <w:webHidden/>
          </w:rPr>
          <w:fldChar w:fldCharType="begin"/>
        </w:r>
        <w:r w:rsidR="00942C19" w:rsidRPr="00942C19">
          <w:rPr>
            <w:noProof/>
            <w:webHidden/>
          </w:rPr>
          <w:instrText xml:space="preserve"> PAGEREF _Toc357719696 \h </w:instrText>
        </w:r>
        <w:r w:rsidRPr="00942C19">
          <w:rPr>
            <w:noProof/>
            <w:webHidden/>
          </w:rPr>
        </w:r>
        <w:r w:rsidRPr="00942C19">
          <w:rPr>
            <w:noProof/>
            <w:webHidden/>
          </w:rPr>
          <w:fldChar w:fldCharType="separate"/>
        </w:r>
        <w:r w:rsidR="008E7C6A">
          <w:rPr>
            <w:noProof/>
            <w:webHidden/>
          </w:rPr>
          <w:t>82</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697" w:history="1">
        <w:r w:rsidR="00942C19" w:rsidRPr="00942C19">
          <w:rPr>
            <w:rStyle w:val="Hyperlink"/>
            <w:noProof/>
          </w:rPr>
          <w:t>Table 4</w:t>
        </w:r>
        <w:r w:rsidR="00942C19" w:rsidRPr="00942C19">
          <w:rPr>
            <w:rStyle w:val="Hyperlink"/>
            <w:noProof/>
          </w:rPr>
          <w:noBreakHyphen/>
          <w:t>3: CONSUMPTION PARAMETERS APPROVED BY COMMISSION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_Toc357719697 \h </w:instrText>
        </w:r>
        <w:r w:rsidRPr="00942C19">
          <w:rPr>
            <w:noProof/>
            <w:webHidden/>
          </w:rPr>
        </w:r>
        <w:r w:rsidRPr="00942C19">
          <w:rPr>
            <w:noProof/>
            <w:webHidden/>
          </w:rPr>
          <w:fldChar w:fldCharType="separate"/>
        </w:r>
        <w:r w:rsidR="008E7C6A">
          <w:rPr>
            <w:noProof/>
            <w:webHidden/>
          </w:rPr>
          <w:t>82</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698" w:history="1">
        <w:r w:rsidR="00942C19" w:rsidRPr="00942C19">
          <w:rPr>
            <w:rStyle w:val="Hyperlink"/>
            <w:noProof/>
          </w:rPr>
          <w:t>Table 4</w:t>
        </w:r>
        <w:r w:rsidR="00942C19" w:rsidRPr="00942C19">
          <w:rPr>
            <w:rStyle w:val="Hyperlink"/>
            <w:noProof/>
          </w:rPr>
          <w:noBreakHyphen/>
          <w:t>4: NUMBER OF CONSUMERS: HISTORICAL TREND AND APPROVED VALUES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_Toc357719698 \h </w:instrText>
        </w:r>
        <w:r w:rsidRPr="00942C19">
          <w:rPr>
            <w:noProof/>
            <w:webHidden/>
          </w:rPr>
        </w:r>
        <w:r w:rsidRPr="00942C19">
          <w:rPr>
            <w:noProof/>
            <w:webHidden/>
          </w:rPr>
          <w:fldChar w:fldCharType="separate"/>
        </w:r>
        <w:r w:rsidR="008E7C6A">
          <w:rPr>
            <w:noProof/>
            <w:webHidden/>
          </w:rPr>
          <w:t>84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699" w:history="1">
        <w:r w:rsidR="00942C19" w:rsidRPr="00942C19">
          <w:rPr>
            <w:rStyle w:val="Hyperlink"/>
            <w:noProof/>
          </w:rPr>
          <w:t>Table 4</w:t>
        </w:r>
        <w:r w:rsidR="00942C19" w:rsidRPr="00942C19">
          <w:rPr>
            <w:rStyle w:val="Hyperlink"/>
            <w:noProof/>
          </w:rPr>
          <w:noBreakHyphen/>
          <w:t>5: CONNECTED LOAD (KW): HISTORICAL TREND AND APPROVED VALUES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_Toc357719699 \h </w:instrText>
        </w:r>
        <w:r w:rsidRPr="00942C19">
          <w:rPr>
            <w:noProof/>
            <w:webHidden/>
          </w:rPr>
        </w:r>
        <w:r w:rsidRPr="00942C19">
          <w:rPr>
            <w:noProof/>
            <w:webHidden/>
          </w:rPr>
          <w:fldChar w:fldCharType="separate"/>
        </w:r>
        <w:r w:rsidR="008E7C6A">
          <w:rPr>
            <w:noProof/>
            <w:webHidden/>
          </w:rPr>
          <w:t>85</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0" w:history="1">
        <w:r w:rsidR="00942C19" w:rsidRPr="00942C19">
          <w:rPr>
            <w:rStyle w:val="Hyperlink"/>
            <w:noProof/>
          </w:rPr>
          <w:t>Table 4</w:t>
        </w:r>
        <w:r w:rsidR="00942C19" w:rsidRPr="00942C19">
          <w:rPr>
            <w:rStyle w:val="Hyperlink"/>
            <w:noProof/>
          </w:rPr>
          <w:noBreakHyphen/>
          <w:t>6: ENERGY SALES (MU): HISTORICAL TREND AND APPROVED VALUES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_Toc357719700 \h </w:instrText>
        </w:r>
        <w:r w:rsidRPr="00942C19">
          <w:rPr>
            <w:noProof/>
            <w:webHidden/>
          </w:rPr>
        </w:r>
        <w:r w:rsidRPr="00942C19">
          <w:rPr>
            <w:noProof/>
            <w:webHidden/>
          </w:rPr>
          <w:fldChar w:fldCharType="separate"/>
        </w:r>
        <w:r w:rsidR="008E7C6A">
          <w:rPr>
            <w:noProof/>
            <w:webHidden/>
          </w:rPr>
          <w:t>86</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1" w:history="1">
        <w:r w:rsidR="00942C19" w:rsidRPr="00942C19">
          <w:rPr>
            <w:rStyle w:val="Hyperlink"/>
            <w:noProof/>
          </w:rPr>
          <w:t>Table 4</w:t>
        </w:r>
        <w:r w:rsidR="00942C19" w:rsidRPr="00942C19">
          <w:rPr>
            <w:rStyle w:val="Hyperlink"/>
            <w:noProof/>
          </w:rPr>
          <w:noBreakHyphen/>
          <w:t>7: APPROVED ENERGY BALANCE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_Toc357719701 \h </w:instrText>
        </w:r>
        <w:r w:rsidRPr="00942C19">
          <w:rPr>
            <w:noProof/>
            <w:webHidden/>
          </w:rPr>
        </w:r>
        <w:r w:rsidRPr="00942C19">
          <w:rPr>
            <w:noProof/>
            <w:webHidden/>
          </w:rPr>
          <w:fldChar w:fldCharType="separate"/>
        </w:r>
        <w:r w:rsidR="008E7C6A">
          <w:rPr>
            <w:noProof/>
            <w:webHidden/>
          </w:rPr>
          <w:t>88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2" w:history="1">
        <w:r w:rsidR="00942C19" w:rsidRPr="00942C19">
          <w:rPr>
            <w:rStyle w:val="Hyperlink"/>
            <w:noProof/>
          </w:rPr>
          <w:t>Table 4</w:t>
        </w:r>
        <w:r w:rsidR="00942C19" w:rsidRPr="00942C19">
          <w:rPr>
            <w:rStyle w:val="Hyperlink"/>
            <w:noProof/>
          </w:rPr>
          <w:noBreakHyphen/>
          <w:t>8: DETAILS OF POWER PURCHASE COST FROM UPRUVNL STATIONS FOR FY2013-14 -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_Toc357719702 \h </w:instrText>
        </w:r>
        <w:r w:rsidRPr="00942C19">
          <w:rPr>
            <w:noProof/>
            <w:webHidden/>
          </w:rPr>
        </w:r>
        <w:r w:rsidRPr="00942C19">
          <w:rPr>
            <w:noProof/>
            <w:webHidden/>
          </w:rPr>
          <w:fldChar w:fldCharType="separate"/>
        </w:r>
        <w:r w:rsidR="008E7C6A">
          <w:rPr>
            <w:noProof/>
            <w:webHidden/>
          </w:rPr>
          <w:t>90</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3" w:history="1">
        <w:r w:rsidR="00942C19" w:rsidRPr="00942C19">
          <w:rPr>
            <w:rStyle w:val="Hyperlink"/>
            <w:noProof/>
          </w:rPr>
          <w:t>Table 4</w:t>
        </w:r>
        <w:r w:rsidR="00942C19" w:rsidRPr="00942C19">
          <w:rPr>
            <w:rStyle w:val="Hyperlink"/>
            <w:noProof/>
          </w:rPr>
          <w:noBreakHyphen/>
          <w:t>9: DETAILS OF POWER PURCHASE COST FROM UPJVNL STATIONS FOR FY 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_Toc357719703 \h </w:instrText>
        </w:r>
        <w:r w:rsidRPr="00942C19">
          <w:rPr>
            <w:noProof/>
            <w:webHidden/>
          </w:rPr>
        </w:r>
        <w:r w:rsidRPr="00942C19">
          <w:rPr>
            <w:noProof/>
            <w:webHidden/>
          </w:rPr>
          <w:fldChar w:fldCharType="separate"/>
        </w:r>
        <w:r w:rsidR="008E7C6A">
          <w:rPr>
            <w:noProof/>
            <w:webHidden/>
          </w:rPr>
          <w:t>91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4" w:history="1">
        <w:r w:rsidR="00942C19" w:rsidRPr="00942C19">
          <w:rPr>
            <w:rStyle w:val="Hyperlink"/>
            <w:noProof/>
          </w:rPr>
          <w:t>Table 4</w:t>
        </w:r>
        <w:r w:rsidR="00942C19" w:rsidRPr="00942C19">
          <w:rPr>
            <w:rStyle w:val="Hyperlink"/>
            <w:noProof/>
          </w:rPr>
          <w:noBreakHyphen/>
          <w:t>10: ASSUMPTIONS FOR POWER PURCHASE FROM UPRVUNL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_Toc357719704 \h </w:instrText>
        </w:r>
        <w:r w:rsidRPr="00942C19">
          <w:rPr>
            <w:noProof/>
            <w:webHidden/>
          </w:rPr>
        </w:r>
        <w:r w:rsidRPr="00942C19">
          <w:rPr>
            <w:noProof/>
            <w:webHidden/>
          </w:rPr>
          <w:fldChar w:fldCharType="separate"/>
        </w:r>
        <w:r w:rsidR="008E7C6A">
          <w:rPr>
            <w:noProof/>
            <w:webHidden/>
          </w:rPr>
          <w:t>91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5" w:history="1">
        <w:r w:rsidR="00942C19" w:rsidRPr="00942C19">
          <w:rPr>
            <w:rStyle w:val="Hyperlink"/>
            <w:noProof/>
          </w:rPr>
          <w:t>Table 4</w:t>
        </w:r>
        <w:r w:rsidR="00942C19" w:rsidRPr="00942C19">
          <w:rPr>
            <w:rStyle w:val="Hyperlink"/>
            <w:noProof/>
          </w:rPr>
          <w:noBreakHyphen/>
          <w:t>11: ASSUMPTIONS FOR POWER PURCHASE FROM UPJVNL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_Toc357719705 \h </w:instrText>
        </w:r>
        <w:r w:rsidRPr="00942C19">
          <w:rPr>
            <w:noProof/>
            <w:webHidden/>
          </w:rPr>
        </w:r>
        <w:r w:rsidRPr="00942C19">
          <w:rPr>
            <w:noProof/>
            <w:webHidden/>
          </w:rPr>
          <w:fldChar w:fldCharType="separate"/>
        </w:r>
        <w:r w:rsidR="008E7C6A">
          <w:rPr>
            <w:noProof/>
            <w:webHidden/>
          </w:rPr>
          <w:t>92</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6" w:history="1">
        <w:r w:rsidR="00942C19" w:rsidRPr="00942C19">
          <w:rPr>
            <w:rStyle w:val="Hyperlink"/>
            <w:noProof/>
          </w:rPr>
          <w:t>Table 4</w:t>
        </w:r>
        <w:r w:rsidR="00942C19" w:rsidRPr="00942C19">
          <w:rPr>
            <w:rStyle w:val="Hyperlink"/>
            <w:noProof/>
          </w:rPr>
          <w:noBreakHyphen/>
          <w:t>12: APPROVED COST OF POWER PURCHASE FROM UPRUVNL STATIONS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_Toc357719706 \h </w:instrText>
        </w:r>
        <w:r w:rsidRPr="00942C19">
          <w:rPr>
            <w:noProof/>
            <w:webHidden/>
          </w:rPr>
        </w:r>
        <w:r w:rsidRPr="00942C19">
          <w:rPr>
            <w:noProof/>
            <w:webHidden/>
          </w:rPr>
          <w:fldChar w:fldCharType="separate"/>
        </w:r>
        <w:r w:rsidR="008E7C6A">
          <w:rPr>
            <w:noProof/>
            <w:webHidden/>
          </w:rPr>
          <w:t>92</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7" w:history="1">
        <w:r w:rsidR="00942C19" w:rsidRPr="00942C19">
          <w:rPr>
            <w:rStyle w:val="Hyperlink"/>
            <w:noProof/>
          </w:rPr>
          <w:t>Table 4</w:t>
        </w:r>
        <w:r w:rsidR="00942C19" w:rsidRPr="00942C19">
          <w:rPr>
            <w:rStyle w:val="Hyperlink"/>
            <w:noProof/>
          </w:rPr>
          <w:noBreakHyphen/>
          <w:t>13: APPROVED COST OF POWER PURCHASE FROM UPJVNL STATIONS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_Toc357719707 \h </w:instrText>
        </w:r>
        <w:r w:rsidRPr="00942C19">
          <w:rPr>
            <w:noProof/>
            <w:webHidden/>
          </w:rPr>
        </w:r>
        <w:r w:rsidRPr="00942C19">
          <w:rPr>
            <w:noProof/>
            <w:webHidden/>
          </w:rPr>
          <w:fldChar w:fldCharType="separate"/>
        </w:r>
        <w:r w:rsidR="008E7C6A">
          <w:rPr>
            <w:noProof/>
            <w:webHidden/>
          </w:rPr>
          <w:t>93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8" w:history="1">
        <w:r w:rsidR="00942C19" w:rsidRPr="00942C19">
          <w:rPr>
            <w:rStyle w:val="Hyperlink"/>
            <w:noProof/>
          </w:rPr>
          <w:t>Table 4</w:t>
        </w:r>
        <w:r w:rsidR="00942C19" w:rsidRPr="00942C19">
          <w:rPr>
            <w:rStyle w:val="Hyperlink"/>
            <w:noProof/>
          </w:rPr>
          <w:noBreakHyphen/>
          <w:t>14: DETAILS OF POWER PURCHASE COST FROM NTPC STATIONS FOR FY 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_Toc357719708 \h </w:instrText>
        </w:r>
        <w:r w:rsidRPr="00942C19">
          <w:rPr>
            <w:noProof/>
            <w:webHidden/>
          </w:rPr>
        </w:r>
        <w:r w:rsidRPr="00942C19">
          <w:rPr>
            <w:noProof/>
            <w:webHidden/>
          </w:rPr>
          <w:fldChar w:fldCharType="separate"/>
        </w:r>
        <w:r w:rsidR="008E7C6A">
          <w:rPr>
            <w:noProof/>
            <w:webHidden/>
          </w:rPr>
          <w:t>94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09" w:history="1">
        <w:r w:rsidR="00942C19" w:rsidRPr="00942C19">
          <w:rPr>
            <w:rStyle w:val="Hyperlink"/>
            <w:noProof/>
          </w:rPr>
          <w:t>Table 4</w:t>
        </w:r>
        <w:r w:rsidR="00942C19" w:rsidRPr="00942C19">
          <w:rPr>
            <w:rStyle w:val="Hyperlink"/>
            <w:noProof/>
          </w:rPr>
          <w:noBreakHyphen/>
          <w:t>15: ASSUMPTIONS OF POWER PURCHASE FROM NTPC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_Toc357719709 \h </w:instrText>
        </w:r>
        <w:r w:rsidRPr="00942C19">
          <w:rPr>
            <w:noProof/>
            <w:webHidden/>
          </w:rPr>
        </w:r>
        <w:r w:rsidRPr="00942C19">
          <w:rPr>
            <w:noProof/>
            <w:webHidden/>
          </w:rPr>
          <w:fldChar w:fldCharType="separate"/>
        </w:r>
        <w:r w:rsidR="008E7C6A">
          <w:rPr>
            <w:noProof/>
            <w:webHidden/>
          </w:rPr>
          <w:t>95</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0" w:history="1">
        <w:r w:rsidR="00942C19" w:rsidRPr="00942C19">
          <w:rPr>
            <w:rStyle w:val="Hyperlink"/>
            <w:noProof/>
          </w:rPr>
          <w:t>Table 4</w:t>
        </w:r>
        <w:r w:rsidR="00942C19" w:rsidRPr="00942C19">
          <w:rPr>
            <w:rStyle w:val="Hyperlink"/>
            <w:noProof/>
          </w:rPr>
          <w:noBreakHyphen/>
          <w:t>16: METHODOLOGY FOR POWER PURCHASE FROM NTPC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_Toc357719710 \h </w:instrText>
        </w:r>
        <w:r w:rsidRPr="00942C19">
          <w:rPr>
            <w:noProof/>
            <w:webHidden/>
          </w:rPr>
        </w:r>
        <w:r w:rsidRPr="00942C19">
          <w:rPr>
            <w:noProof/>
            <w:webHidden/>
          </w:rPr>
          <w:fldChar w:fldCharType="separate"/>
        </w:r>
        <w:r w:rsidR="008E7C6A">
          <w:rPr>
            <w:noProof/>
            <w:webHidden/>
          </w:rPr>
          <w:t>95</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1" w:history="1">
        <w:r w:rsidR="00942C19" w:rsidRPr="00942C19">
          <w:rPr>
            <w:rStyle w:val="Hyperlink"/>
            <w:noProof/>
          </w:rPr>
          <w:t>Table 4</w:t>
        </w:r>
        <w:r w:rsidR="00942C19" w:rsidRPr="00942C19">
          <w:rPr>
            <w:rStyle w:val="Hyperlink"/>
            <w:noProof/>
          </w:rPr>
          <w:noBreakHyphen/>
          <w:t>17: APPROVED COST OF POWER PURCHASE FROM NTPC STATIONS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_Toc357719711 \h </w:instrText>
        </w:r>
        <w:r w:rsidRPr="00942C19">
          <w:rPr>
            <w:noProof/>
            <w:webHidden/>
          </w:rPr>
        </w:r>
        <w:r w:rsidRPr="00942C19">
          <w:rPr>
            <w:noProof/>
            <w:webHidden/>
          </w:rPr>
          <w:fldChar w:fldCharType="separate"/>
        </w:r>
        <w:r w:rsidR="008E7C6A">
          <w:rPr>
            <w:noProof/>
            <w:webHidden/>
          </w:rPr>
          <w:t>96</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2" w:history="1">
        <w:r w:rsidR="00942C19" w:rsidRPr="00942C19">
          <w:rPr>
            <w:rStyle w:val="Hyperlink"/>
            <w:noProof/>
          </w:rPr>
          <w:t>Table 4</w:t>
        </w:r>
        <w:r w:rsidR="00942C19" w:rsidRPr="00942C19">
          <w:rPr>
            <w:rStyle w:val="Hyperlink"/>
            <w:noProof/>
          </w:rPr>
          <w:noBreakHyphen/>
          <w:t>18: DETAILS OF POWER PURCHASE COST FROM NHPC STATIONS FOR FY 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_Toc357719712 \h </w:instrText>
        </w:r>
        <w:r w:rsidRPr="00942C19">
          <w:rPr>
            <w:noProof/>
            <w:webHidden/>
          </w:rPr>
        </w:r>
        <w:r w:rsidRPr="00942C19">
          <w:rPr>
            <w:noProof/>
            <w:webHidden/>
          </w:rPr>
          <w:fldChar w:fldCharType="separate"/>
        </w:r>
        <w:r w:rsidR="008E7C6A">
          <w:rPr>
            <w:noProof/>
            <w:webHidden/>
          </w:rPr>
          <w:t>97</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3" w:history="1">
        <w:r w:rsidR="00942C19" w:rsidRPr="00942C19">
          <w:rPr>
            <w:rStyle w:val="Hyperlink"/>
            <w:noProof/>
          </w:rPr>
          <w:t>Table 4</w:t>
        </w:r>
        <w:r w:rsidR="00942C19" w:rsidRPr="00942C19">
          <w:rPr>
            <w:rStyle w:val="Hyperlink"/>
            <w:noProof/>
          </w:rPr>
          <w:noBreakHyphen/>
          <w:t>19: ASSUMPTIONS FOR POWER PURCHASE FROM NHPC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_Toc357719713 \h </w:instrText>
        </w:r>
        <w:r w:rsidRPr="00942C19">
          <w:rPr>
            <w:noProof/>
            <w:webHidden/>
          </w:rPr>
        </w:r>
        <w:r w:rsidRPr="00942C19">
          <w:rPr>
            <w:noProof/>
            <w:webHidden/>
          </w:rPr>
          <w:fldChar w:fldCharType="separate"/>
        </w:r>
        <w:r w:rsidR="008E7C6A">
          <w:rPr>
            <w:noProof/>
            <w:webHidden/>
          </w:rPr>
          <w:t>97</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4" w:history="1">
        <w:r w:rsidR="00942C19" w:rsidRPr="00942C19">
          <w:rPr>
            <w:rStyle w:val="Hyperlink"/>
            <w:noProof/>
          </w:rPr>
          <w:t>Table 4</w:t>
        </w:r>
        <w:r w:rsidR="00942C19" w:rsidRPr="00942C19">
          <w:rPr>
            <w:rStyle w:val="Hyperlink"/>
            <w:noProof/>
          </w:rPr>
          <w:noBreakHyphen/>
          <w:t>20: METHODOLOGY FOR POWER PURCHASE FROM NHPC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_Toc357719714 \h </w:instrText>
        </w:r>
        <w:r w:rsidRPr="00942C19">
          <w:rPr>
            <w:noProof/>
            <w:webHidden/>
          </w:rPr>
        </w:r>
        <w:r w:rsidRPr="00942C19">
          <w:rPr>
            <w:noProof/>
            <w:webHidden/>
          </w:rPr>
          <w:fldChar w:fldCharType="separate"/>
        </w:r>
        <w:r w:rsidR="008E7C6A">
          <w:rPr>
            <w:noProof/>
            <w:webHidden/>
          </w:rPr>
          <w:t>98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5" w:history="1">
        <w:r w:rsidR="00942C19" w:rsidRPr="00942C19">
          <w:rPr>
            <w:rStyle w:val="Hyperlink"/>
            <w:noProof/>
          </w:rPr>
          <w:t>Table 4</w:t>
        </w:r>
        <w:r w:rsidR="00942C19" w:rsidRPr="00942C19">
          <w:rPr>
            <w:rStyle w:val="Hyperlink"/>
            <w:noProof/>
          </w:rPr>
          <w:noBreakHyphen/>
          <w:t>21: APPROVED COST OF POWER PURCHASE FROM NHPC STATIONS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_Toc357719715 \h </w:instrText>
        </w:r>
        <w:r w:rsidRPr="00942C19">
          <w:rPr>
            <w:noProof/>
            <w:webHidden/>
          </w:rPr>
        </w:r>
        <w:r w:rsidRPr="00942C19">
          <w:rPr>
            <w:noProof/>
            <w:webHidden/>
          </w:rPr>
          <w:fldChar w:fldCharType="separate"/>
        </w:r>
        <w:r w:rsidR="008E7C6A">
          <w:rPr>
            <w:noProof/>
            <w:webHidden/>
          </w:rPr>
          <w:t>98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6" w:history="1">
        <w:r w:rsidR="00942C19" w:rsidRPr="00942C19">
          <w:rPr>
            <w:rStyle w:val="Hyperlink"/>
            <w:noProof/>
          </w:rPr>
          <w:t>Table 4</w:t>
        </w:r>
        <w:r w:rsidR="00942C19" w:rsidRPr="00942C19">
          <w:rPr>
            <w:rStyle w:val="Hyperlink"/>
            <w:noProof/>
          </w:rPr>
          <w:noBreakHyphen/>
          <w:t>22: DETAILS OF POWER PURCHASE COST FROM NPCIL STATIONS FOR FY 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_Toc357719716 \h </w:instrText>
        </w:r>
        <w:r w:rsidRPr="00942C19">
          <w:rPr>
            <w:noProof/>
            <w:webHidden/>
          </w:rPr>
        </w:r>
        <w:r w:rsidRPr="00942C19">
          <w:rPr>
            <w:noProof/>
            <w:webHidden/>
          </w:rPr>
          <w:fldChar w:fldCharType="separate"/>
        </w:r>
        <w:r w:rsidR="008E7C6A">
          <w:rPr>
            <w:noProof/>
            <w:webHidden/>
          </w:rPr>
          <w:t>99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7" w:history="1">
        <w:r w:rsidR="00942C19" w:rsidRPr="00942C19">
          <w:rPr>
            <w:rStyle w:val="Hyperlink"/>
            <w:noProof/>
          </w:rPr>
          <w:t>Table 4</w:t>
        </w:r>
        <w:r w:rsidR="00942C19" w:rsidRPr="00942C19">
          <w:rPr>
            <w:rStyle w:val="Hyperlink"/>
            <w:noProof/>
          </w:rPr>
          <w:noBreakHyphen/>
          <w:t>23: ASSUMPTIONS FOR POWER PURCHASE FROM NPCIL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_Toc357719717 \h </w:instrText>
        </w:r>
        <w:r w:rsidRPr="00942C19">
          <w:rPr>
            <w:noProof/>
            <w:webHidden/>
          </w:rPr>
        </w:r>
        <w:r w:rsidRPr="00942C19">
          <w:rPr>
            <w:noProof/>
            <w:webHidden/>
          </w:rPr>
          <w:fldChar w:fldCharType="separate"/>
        </w:r>
        <w:r w:rsidR="008E7C6A">
          <w:rPr>
            <w:noProof/>
            <w:webHidden/>
          </w:rPr>
          <w:t>99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8" w:history="1">
        <w:r w:rsidR="00942C19" w:rsidRPr="00942C19">
          <w:rPr>
            <w:rStyle w:val="Hyperlink"/>
            <w:noProof/>
          </w:rPr>
          <w:t>Table 4</w:t>
        </w:r>
        <w:r w:rsidR="00942C19" w:rsidRPr="00942C19">
          <w:rPr>
            <w:rStyle w:val="Hyperlink"/>
            <w:noProof/>
          </w:rPr>
          <w:noBreakHyphen/>
          <w:t>24: METHODOLOGY FOR POWER PURCHASE FROM NPCIL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_Toc357719718 \h </w:instrText>
        </w:r>
        <w:r w:rsidRPr="00942C19">
          <w:rPr>
            <w:noProof/>
            <w:webHidden/>
          </w:rPr>
        </w:r>
        <w:r w:rsidRPr="00942C19">
          <w:rPr>
            <w:noProof/>
            <w:webHidden/>
          </w:rPr>
          <w:fldChar w:fldCharType="separate"/>
        </w:r>
        <w:r w:rsidR="008E7C6A">
          <w:rPr>
            <w:noProof/>
            <w:webHidden/>
          </w:rPr>
          <w:t>99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19" w:history="1">
        <w:r w:rsidR="00942C19" w:rsidRPr="00942C19">
          <w:rPr>
            <w:rStyle w:val="Hyperlink"/>
            <w:noProof/>
          </w:rPr>
          <w:t>Table 4</w:t>
        </w:r>
        <w:r w:rsidR="00942C19" w:rsidRPr="00942C19">
          <w:rPr>
            <w:rStyle w:val="Hyperlink"/>
            <w:noProof/>
          </w:rPr>
          <w:noBreakHyphen/>
          <w:t>25: APPROVED COST OF POWER PURCHASE FROM NPCIL STATIONS-FY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_Toc357719719 \h </w:instrText>
        </w:r>
        <w:r w:rsidRPr="00942C19">
          <w:rPr>
            <w:noProof/>
            <w:webHidden/>
          </w:rPr>
        </w:r>
        <w:r w:rsidRPr="00942C19">
          <w:rPr>
            <w:noProof/>
            <w:webHidden/>
          </w:rPr>
          <w:fldChar w:fldCharType="separate"/>
        </w:r>
        <w:r w:rsidR="008E7C6A">
          <w:rPr>
            <w:noProof/>
            <w:webHidden/>
          </w:rPr>
          <w:t>100</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0" w:history="1">
        <w:r w:rsidR="00942C19" w:rsidRPr="00942C19">
          <w:rPr>
            <w:rStyle w:val="Hyperlink"/>
            <w:noProof/>
          </w:rPr>
          <w:t>Table 4</w:t>
        </w:r>
        <w:r w:rsidR="00942C19" w:rsidRPr="00942C19">
          <w:rPr>
            <w:rStyle w:val="Hyperlink"/>
            <w:noProof/>
          </w:rPr>
          <w:noBreakHyphen/>
          <w:t>26: DETAILS OF POWER PURCHASE COST FROM IPPS / JVs FOR FY 2013 – 14: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_Toc357719720 \h </w:instrText>
        </w:r>
        <w:r w:rsidRPr="00942C19">
          <w:rPr>
            <w:noProof/>
            <w:webHidden/>
          </w:rPr>
        </w:r>
        <w:r w:rsidRPr="00942C19">
          <w:rPr>
            <w:noProof/>
            <w:webHidden/>
          </w:rPr>
          <w:fldChar w:fldCharType="separate"/>
        </w:r>
        <w:r w:rsidR="008E7C6A">
          <w:rPr>
            <w:noProof/>
            <w:webHidden/>
          </w:rPr>
          <w:t>100</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1" w:history="1">
        <w:r w:rsidR="00942C19" w:rsidRPr="00942C19">
          <w:rPr>
            <w:rStyle w:val="Hyperlink"/>
            <w:noProof/>
          </w:rPr>
          <w:t>Table 4</w:t>
        </w:r>
        <w:r w:rsidR="00942C19" w:rsidRPr="00942C19">
          <w:rPr>
            <w:rStyle w:val="Hyperlink"/>
            <w:noProof/>
          </w:rPr>
          <w:noBreakHyphen/>
          <w:t>27: ASSUMPTIONS FOR POWER PURCHASE FROM IPPS / JVs -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_Toc357719721 \h </w:instrText>
        </w:r>
        <w:r w:rsidRPr="00942C19">
          <w:rPr>
            <w:noProof/>
            <w:webHidden/>
          </w:rPr>
        </w:r>
        <w:r w:rsidRPr="00942C19">
          <w:rPr>
            <w:noProof/>
            <w:webHidden/>
          </w:rPr>
          <w:fldChar w:fldCharType="separate"/>
        </w:r>
        <w:r w:rsidR="008E7C6A">
          <w:rPr>
            <w:noProof/>
            <w:webHidden/>
          </w:rPr>
          <w:t>101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2" w:history="1">
        <w:r w:rsidR="00942C19" w:rsidRPr="00942C19">
          <w:rPr>
            <w:rStyle w:val="Hyperlink"/>
            <w:noProof/>
          </w:rPr>
          <w:t>Table 4</w:t>
        </w:r>
        <w:r w:rsidR="00942C19" w:rsidRPr="00942C19">
          <w:rPr>
            <w:rStyle w:val="Hyperlink"/>
            <w:noProof/>
          </w:rPr>
          <w:noBreakHyphen/>
          <w:t>28: APPROVED COST OF POWER PURCHASE FROM IPPS / JVs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_Toc357719722 \h </w:instrText>
        </w:r>
        <w:r w:rsidRPr="00942C19">
          <w:rPr>
            <w:noProof/>
            <w:webHidden/>
          </w:rPr>
        </w:r>
        <w:r w:rsidRPr="00942C19">
          <w:rPr>
            <w:noProof/>
            <w:webHidden/>
          </w:rPr>
          <w:fldChar w:fldCharType="separate"/>
        </w:r>
        <w:r w:rsidR="008E7C6A">
          <w:rPr>
            <w:noProof/>
            <w:webHidden/>
          </w:rPr>
          <w:t>101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3" w:history="1">
        <w:r w:rsidR="00942C19" w:rsidRPr="00942C19">
          <w:rPr>
            <w:rStyle w:val="Hyperlink"/>
            <w:noProof/>
          </w:rPr>
          <w:t>Table 4</w:t>
        </w:r>
        <w:r w:rsidR="00942C19" w:rsidRPr="00942C19">
          <w:rPr>
            <w:rStyle w:val="Hyperlink"/>
            <w:noProof/>
          </w:rPr>
          <w:noBreakHyphen/>
          <w:t>29: POWER PURCHASE COST: STATE CO-GENERATION FACILITIES FOR FY 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_Toc357719723 \h </w:instrText>
        </w:r>
        <w:r w:rsidRPr="00942C19">
          <w:rPr>
            <w:noProof/>
            <w:webHidden/>
          </w:rPr>
        </w:r>
        <w:r w:rsidRPr="00942C19">
          <w:rPr>
            <w:noProof/>
            <w:webHidden/>
          </w:rPr>
          <w:fldChar w:fldCharType="separate"/>
        </w:r>
        <w:r w:rsidR="008E7C6A">
          <w:rPr>
            <w:noProof/>
            <w:webHidden/>
          </w:rPr>
          <w:t>102</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4" w:history="1">
        <w:r w:rsidR="00942C19" w:rsidRPr="00942C19">
          <w:rPr>
            <w:rStyle w:val="Hyperlink"/>
            <w:noProof/>
          </w:rPr>
          <w:t>Table 4</w:t>
        </w:r>
        <w:r w:rsidR="00942C19" w:rsidRPr="00942C19">
          <w:rPr>
            <w:rStyle w:val="Hyperlink"/>
            <w:noProof/>
          </w:rPr>
          <w:noBreakHyphen/>
          <w:t>30: APPROVED COST OF POWER PURCHASE: STATE CO-GENERATION FACILITIES in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_Toc357719724 \h </w:instrText>
        </w:r>
        <w:r w:rsidRPr="00942C19">
          <w:rPr>
            <w:noProof/>
            <w:webHidden/>
          </w:rPr>
        </w:r>
        <w:r w:rsidRPr="00942C19">
          <w:rPr>
            <w:noProof/>
            <w:webHidden/>
          </w:rPr>
          <w:fldChar w:fldCharType="separate"/>
        </w:r>
        <w:r w:rsidR="008E7C6A">
          <w:rPr>
            <w:noProof/>
            <w:webHidden/>
          </w:rPr>
          <w:t>103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5" w:history="1">
        <w:r w:rsidR="00942C19" w:rsidRPr="00942C19">
          <w:rPr>
            <w:rStyle w:val="Hyperlink"/>
            <w:noProof/>
          </w:rPr>
          <w:t>Table 4</w:t>
        </w:r>
        <w:r w:rsidR="00942C19" w:rsidRPr="00942C19">
          <w:rPr>
            <w:rStyle w:val="Hyperlink"/>
            <w:noProof/>
          </w:rPr>
          <w:noBreakHyphen/>
          <w:t xml:space="preserve">31: </w:t>
        </w:r>
        <w:r w:rsidR="00942C19" w:rsidRPr="00942C19">
          <w:rPr>
            <w:rStyle w:val="Hyperlink"/>
            <w:bCs/>
            <w:noProof/>
          </w:rPr>
          <w:t>POWER PURCHASE COST: OTHER SOURCES FY 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_Toc357719725 \h </w:instrText>
        </w:r>
        <w:r w:rsidRPr="00942C19">
          <w:rPr>
            <w:noProof/>
            <w:webHidden/>
          </w:rPr>
        </w:r>
        <w:r w:rsidRPr="00942C19">
          <w:rPr>
            <w:noProof/>
            <w:webHidden/>
          </w:rPr>
          <w:fldChar w:fldCharType="separate"/>
        </w:r>
        <w:r w:rsidR="008E7C6A">
          <w:rPr>
            <w:noProof/>
            <w:webHidden/>
          </w:rPr>
          <w:t>103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6" w:history="1">
        <w:r w:rsidR="00942C19" w:rsidRPr="00942C19">
          <w:rPr>
            <w:rStyle w:val="Hyperlink"/>
            <w:noProof/>
          </w:rPr>
          <w:t>Table 4</w:t>
        </w:r>
        <w:r w:rsidR="00942C19" w:rsidRPr="00942C19">
          <w:rPr>
            <w:rStyle w:val="Hyperlink"/>
            <w:noProof/>
          </w:rPr>
          <w:noBreakHyphen/>
          <w:t>32: APPROVED COST OF POWER PURCHASE: OTHER SOURCES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_Toc357719726 \h </w:instrText>
        </w:r>
        <w:r w:rsidRPr="00942C19">
          <w:rPr>
            <w:noProof/>
            <w:webHidden/>
          </w:rPr>
        </w:r>
        <w:r w:rsidRPr="00942C19">
          <w:rPr>
            <w:noProof/>
            <w:webHidden/>
          </w:rPr>
          <w:fldChar w:fldCharType="separate"/>
        </w:r>
        <w:r w:rsidR="008E7C6A">
          <w:rPr>
            <w:noProof/>
            <w:webHidden/>
          </w:rPr>
          <w:t>104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7" w:history="1">
        <w:r w:rsidR="00942C19" w:rsidRPr="00942C19">
          <w:rPr>
            <w:rStyle w:val="Hyperlink"/>
            <w:noProof/>
          </w:rPr>
          <w:t>Table 4</w:t>
        </w:r>
        <w:r w:rsidR="00942C19" w:rsidRPr="00942C19">
          <w:rPr>
            <w:rStyle w:val="Hyperlink"/>
            <w:noProof/>
          </w:rPr>
          <w:noBreakHyphen/>
          <w:t>33: SUMMARY OF POWER PURCHASE COST FY 2013-14 - PETITION</w:t>
        </w:r>
        <w:r w:rsidR="00942C19" w:rsidRPr="00942C19">
          <w:rPr>
            <w:noProof/>
            <w:webHidden/>
          </w:rPr>
          <w:tab/>
        </w:r>
        <w:r w:rsidRPr="00942C19">
          <w:rPr>
            <w:noProof/>
            <w:webHidden/>
          </w:rPr>
          <w:fldChar w:fldCharType="begin"/>
        </w:r>
        <w:r w:rsidR="00942C19" w:rsidRPr="00942C19">
          <w:rPr>
            <w:noProof/>
            <w:webHidden/>
          </w:rPr>
          <w:instrText xml:space="preserve"> PAGEREF _Toc357719727 \h </w:instrText>
        </w:r>
        <w:r w:rsidRPr="00942C19">
          <w:rPr>
            <w:noProof/>
            <w:webHidden/>
          </w:rPr>
        </w:r>
        <w:r w:rsidRPr="00942C19">
          <w:rPr>
            <w:noProof/>
            <w:webHidden/>
          </w:rPr>
          <w:fldChar w:fldCharType="separate"/>
        </w:r>
        <w:r w:rsidR="008E7C6A">
          <w:rPr>
            <w:noProof/>
            <w:webHidden/>
          </w:rPr>
          <w:t>107</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8" w:history="1">
        <w:r w:rsidR="00942C19" w:rsidRPr="00942C19">
          <w:rPr>
            <w:rStyle w:val="Hyperlink"/>
            <w:noProof/>
          </w:rPr>
          <w:t>Table 4</w:t>
        </w:r>
        <w:r w:rsidR="00942C19" w:rsidRPr="00942C19">
          <w:rPr>
            <w:rStyle w:val="Hyperlink"/>
            <w:noProof/>
          </w:rPr>
          <w:noBreakHyphen/>
          <w:t>34: SUMMARY OF APPROVED POWER PURCHASE COST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_Toc357719728 \h </w:instrText>
        </w:r>
        <w:r w:rsidRPr="00942C19">
          <w:rPr>
            <w:noProof/>
            <w:webHidden/>
          </w:rPr>
        </w:r>
        <w:r w:rsidRPr="00942C19">
          <w:rPr>
            <w:noProof/>
            <w:webHidden/>
          </w:rPr>
          <w:fldChar w:fldCharType="separate"/>
        </w:r>
        <w:r w:rsidR="008E7C6A">
          <w:rPr>
            <w:noProof/>
            <w:webHidden/>
          </w:rPr>
          <w:t>110</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29" w:history="1">
        <w:r w:rsidR="00942C19" w:rsidRPr="00942C19">
          <w:rPr>
            <w:rStyle w:val="Hyperlink"/>
            <w:noProof/>
          </w:rPr>
          <w:t>Table 4</w:t>
        </w:r>
        <w:r w:rsidR="00942C19" w:rsidRPr="00942C19">
          <w:rPr>
            <w:rStyle w:val="Hyperlink"/>
            <w:noProof/>
          </w:rPr>
          <w:noBreakHyphen/>
          <w:t>35: APPROVED MERIT ORDER DISPATCH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_Toc357719729 \h </w:instrText>
        </w:r>
        <w:r w:rsidRPr="00942C19">
          <w:rPr>
            <w:noProof/>
            <w:webHidden/>
          </w:rPr>
        </w:r>
        <w:r w:rsidRPr="00942C19">
          <w:rPr>
            <w:noProof/>
            <w:webHidden/>
          </w:rPr>
          <w:fldChar w:fldCharType="separate"/>
        </w:r>
        <w:r w:rsidR="008E7C6A">
          <w:rPr>
            <w:noProof/>
            <w:webHidden/>
          </w:rPr>
          <w:t>113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0" w:history="1">
        <w:r w:rsidR="00942C19" w:rsidRPr="00942C19">
          <w:rPr>
            <w:rStyle w:val="Hyperlink"/>
            <w:noProof/>
          </w:rPr>
          <w:t>Table 4</w:t>
        </w:r>
        <w:r w:rsidR="00942C19" w:rsidRPr="00942C19">
          <w:rPr>
            <w:rStyle w:val="Hyperlink"/>
            <w:noProof/>
          </w:rPr>
          <w:noBreakHyphen/>
          <w:t>36: INFLATION INDEXES FOR FY 2013 – 14</w:t>
        </w:r>
        <w:r w:rsidR="00942C19" w:rsidRPr="00942C19">
          <w:rPr>
            <w:noProof/>
            <w:webHidden/>
          </w:rPr>
          <w:tab/>
        </w:r>
        <w:r w:rsidRPr="00942C19">
          <w:rPr>
            <w:noProof/>
            <w:webHidden/>
          </w:rPr>
          <w:fldChar w:fldCharType="begin"/>
        </w:r>
        <w:r w:rsidR="00942C19" w:rsidRPr="00942C19">
          <w:rPr>
            <w:noProof/>
            <w:webHidden/>
          </w:rPr>
          <w:instrText xml:space="preserve"> PAGEREF _Toc357719730 \h </w:instrText>
        </w:r>
        <w:r w:rsidRPr="00942C19">
          <w:rPr>
            <w:noProof/>
            <w:webHidden/>
          </w:rPr>
        </w:r>
        <w:r w:rsidRPr="00942C19">
          <w:rPr>
            <w:noProof/>
            <w:webHidden/>
          </w:rPr>
          <w:fldChar w:fldCharType="separate"/>
        </w:r>
        <w:r w:rsidR="008E7C6A">
          <w:rPr>
            <w:noProof/>
            <w:webHidden/>
          </w:rPr>
          <w:t>118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1" w:history="1">
        <w:r w:rsidR="00942C19" w:rsidRPr="00942C19">
          <w:rPr>
            <w:rStyle w:val="Hyperlink"/>
            <w:noProof/>
          </w:rPr>
          <w:t>Table 4</w:t>
        </w:r>
        <w:r w:rsidR="00942C19" w:rsidRPr="00942C19">
          <w:rPr>
            <w:rStyle w:val="Hyperlink"/>
            <w:noProof/>
          </w:rPr>
          <w:noBreakHyphen/>
          <w:t xml:space="preserve">37: APPROVED </w:t>
        </w:r>
        <w:r w:rsidR="00942C19" w:rsidRPr="00942C19">
          <w:rPr>
            <w:rStyle w:val="Hyperlink"/>
            <w:caps/>
            <w:noProof/>
          </w:rPr>
          <w:t>PGCIL Charges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_Toc357719731 \h </w:instrText>
        </w:r>
        <w:r w:rsidRPr="00942C19">
          <w:rPr>
            <w:noProof/>
            <w:webHidden/>
          </w:rPr>
        </w:r>
        <w:r w:rsidRPr="00942C19">
          <w:rPr>
            <w:noProof/>
            <w:webHidden/>
          </w:rPr>
          <w:fldChar w:fldCharType="separate"/>
        </w:r>
        <w:r w:rsidR="008E7C6A">
          <w:rPr>
            <w:noProof/>
            <w:webHidden/>
          </w:rPr>
          <w:t>119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2" w:history="1">
        <w:r w:rsidR="00942C19" w:rsidRPr="00942C19">
          <w:rPr>
            <w:rStyle w:val="Hyperlink"/>
            <w:noProof/>
          </w:rPr>
          <w:t>Table 4</w:t>
        </w:r>
        <w:r w:rsidR="00942C19" w:rsidRPr="00942C19">
          <w:rPr>
            <w:rStyle w:val="Hyperlink"/>
            <w:noProof/>
          </w:rPr>
          <w:noBreakHyphen/>
          <w:t>38: CONSOLIDATED BULK SUPPLY TARIFF – APPROVED</w:t>
        </w:r>
        <w:r w:rsidR="00942C19" w:rsidRPr="00942C19">
          <w:rPr>
            <w:noProof/>
            <w:webHidden/>
          </w:rPr>
          <w:tab/>
        </w:r>
        <w:r w:rsidRPr="00942C19">
          <w:rPr>
            <w:noProof/>
            <w:webHidden/>
          </w:rPr>
          <w:fldChar w:fldCharType="begin"/>
        </w:r>
        <w:r w:rsidR="00942C19" w:rsidRPr="00942C19">
          <w:rPr>
            <w:noProof/>
            <w:webHidden/>
          </w:rPr>
          <w:instrText xml:space="preserve"> PAGEREF _Toc357719732 \h </w:instrText>
        </w:r>
        <w:r w:rsidRPr="00942C19">
          <w:rPr>
            <w:noProof/>
            <w:webHidden/>
          </w:rPr>
        </w:r>
        <w:r w:rsidRPr="00942C19">
          <w:rPr>
            <w:noProof/>
            <w:webHidden/>
          </w:rPr>
          <w:fldChar w:fldCharType="separate"/>
        </w:r>
        <w:r w:rsidR="008E7C6A">
          <w:rPr>
            <w:noProof/>
            <w:webHidden/>
          </w:rPr>
          <w:t>120</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3" w:history="1">
        <w:r w:rsidR="00942C19" w:rsidRPr="00942C19">
          <w:rPr>
            <w:rStyle w:val="Hyperlink"/>
            <w:noProof/>
          </w:rPr>
          <w:t>Table 4</w:t>
        </w:r>
        <w:r w:rsidR="00942C19" w:rsidRPr="00942C19">
          <w:rPr>
            <w:rStyle w:val="Hyperlink"/>
            <w:noProof/>
          </w:rPr>
          <w:noBreakHyphen/>
          <w:t>39: POWER PROCUREMENT COST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_Toc357719733 \h </w:instrText>
        </w:r>
        <w:r w:rsidRPr="00942C19">
          <w:rPr>
            <w:noProof/>
            <w:webHidden/>
          </w:rPr>
        </w:r>
        <w:r w:rsidRPr="00942C19">
          <w:rPr>
            <w:noProof/>
            <w:webHidden/>
          </w:rPr>
          <w:fldChar w:fldCharType="separate"/>
        </w:r>
        <w:r w:rsidR="008E7C6A">
          <w:rPr>
            <w:noProof/>
            <w:webHidden/>
          </w:rPr>
          <w:t>120</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4" w:history="1">
        <w:r w:rsidR="00942C19" w:rsidRPr="00942C19">
          <w:rPr>
            <w:rStyle w:val="Hyperlink"/>
            <w:noProof/>
          </w:rPr>
          <w:t>Table 4</w:t>
        </w:r>
        <w:r w:rsidR="00942C19" w:rsidRPr="00942C19">
          <w:rPr>
            <w:rStyle w:val="Hyperlink"/>
            <w:noProof/>
          </w:rPr>
          <w:noBreakHyphen/>
          <w:t>40: INTRA STATE TRANSMISSION CHARGES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_Toc357719734 \h </w:instrText>
        </w:r>
        <w:r w:rsidRPr="00942C19">
          <w:rPr>
            <w:noProof/>
            <w:webHidden/>
          </w:rPr>
        </w:r>
        <w:r w:rsidRPr="00942C19">
          <w:rPr>
            <w:noProof/>
            <w:webHidden/>
          </w:rPr>
          <w:fldChar w:fldCharType="separate"/>
        </w:r>
        <w:r w:rsidR="008E7C6A">
          <w:rPr>
            <w:noProof/>
            <w:webHidden/>
          </w:rPr>
          <w:t>121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5" w:history="1">
        <w:r w:rsidR="00942C19" w:rsidRPr="00942C19">
          <w:rPr>
            <w:rStyle w:val="Hyperlink"/>
            <w:noProof/>
          </w:rPr>
          <w:t>Table 4</w:t>
        </w:r>
        <w:r w:rsidR="00942C19" w:rsidRPr="00942C19">
          <w:rPr>
            <w:rStyle w:val="Hyperlink"/>
            <w:noProof/>
          </w:rPr>
          <w:noBreakHyphen/>
          <w:t xml:space="preserve">41: </w:t>
        </w:r>
        <w:r w:rsidR="00942C19" w:rsidRPr="00942C19">
          <w:rPr>
            <w:rStyle w:val="Hyperlink"/>
            <w:rFonts w:cs="Calibri"/>
            <w:bCs/>
            <w:noProof/>
          </w:rPr>
          <w:t>INCREMENTAL O&amp;M EXPENSES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_Toc357719735 \h </w:instrText>
        </w:r>
        <w:r w:rsidRPr="00942C19">
          <w:rPr>
            <w:noProof/>
            <w:webHidden/>
          </w:rPr>
        </w:r>
        <w:r w:rsidRPr="00942C19">
          <w:rPr>
            <w:noProof/>
            <w:webHidden/>
          </w:rPr>
          <w:fldChar w:fldCharType="separate"/>
        </w:r>
        <w:r w:rsidR="008E7C6A">
          <w:rPr>
            <w:noProof/>
            <w:webHidden/>
          </w:rPr>
          <w:t>123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6" w:history="1">
        <w:r w:rsidR="00942C19" w:rsidRPr="00942C19">
          <w:rPr>
            <w:rStyle w:val="Hyperlink"/>
            <w:noProof/>
          </w:rPr>
          <w:t>Table 4</w:t>
        </w:r>
        <w:r w:rsidR="00942C19" w:rsidRPr="00942C19">
          <w:rPr>
            <w:rStyle w:val="Hyperlink"/>
            <w:noProof/>
          </w:rPr>
          <w:noBreakHyphen/>
          <w:t>42: O&amp;M EXPENSES UP TO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_Toc357719736 \h </w:instrText>
        </w:r>
        <w:r w:rsidRPr="00942C19">
          <w:rPr>
            <w:noProof/>
            <w:webHidden/>
          </w:rPr>
        </w:r>
        <w:r w:rsidRPr="00942C19">
          <w:rPr>
            <w:noProof/>
            <w:webHidden/>
          </w:rPr>
          <w:fldChar w:fldCharType="separate"/>
        </w:r>
        <w:r w:rsidR="008E7C6A">
          <w:rPr>
            <w:noProof/>
            <w:webHidden/>
          </w:rPr>
          <w:t>124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7" w:history="1">
        <w:r w:rsidR="00942C19" w:rsidRPr="00942C19">
          <w:rPr>
            <w:rStyle w:val="Hyperlink"/>
            <w:noProof/>
          </w:rPr>
          <w:t>Table 4</w:t>
        </w:r>
        <w:r w:rsidR="00942C19" w:rsidRPr="00942C19">
          <w:rPr>
            <w:rStyle w:val="Hyperlink"/>
            <w:noProof/>
          </w:rPr>
          <w:noBreakHyphen/>
          <w:t>43: CAPITALISATION &amp; WIP UP TO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_Toc357719737 \h </w:instrText>
        </w:r>
        <w:r w:rsidRPr="00942C19">
          <w:rPr>
            <w:noProof/>
            <w:webHidden/>
          </w:rPr>
        </w:r>
        <w:r w:rsidRPr="00942C19">
          <w:rPr>
            <w:noProof/>
            <w:webHidden/>
          </w:rPr>
          <w:fldChar w:fldCharType="separate"/>
        </w:r>
        <w:r w:rsidR="008E7C6A">
          <w:rPr>
            <w:noProof/>
            <w:webHidden/>
          </w:rPr>
          <w:t>126</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8" w:history="1">
        <w:r w:rsidR="00942C19" w:rsidRPr="00942C19">
          <w:rPr>
            <w:rStyle w:val="Hyperlink"/>
            <w:rFonts w:cs="Calibri"/>
            <w:bCs/>
            <w:noProof/>
          </w:rPr>
          <w:t>Table 4</w:t>
        </w:r>
        <w:r w:rsidR="00942C19" w:rsidRPr="00942C19">
          <w:rPr>
            <w:rStyle w:val="Hyperlink"/>
            <w:rFonts w:cs="Calibri"/>
            <w:bCs/>
            <w:noProof/>
          </w:rPr>
          <w:noBreakHyphen/>
          <w:t>44: CONSUMER CONTRIBUTIONS, CAPITAL GRANTS AND SUBSIDIES CONSIDERED UP TO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_Toc357719738 \h </w:instrText>
        </w:r>
        <w:r w:rsidRPr="00942C19">
          <w:rPr>
            <w:noProof/>
            <w:webHidden/>
          </w:rPr>
        </w:r>
        <w:r w:rsidRPr="00942C19">
          <w:rPr>
            <w:noProof/>
            <w:webHidden/>
          </w:rPr>
          <w:fldChar w:fldCharType="separate"/>
        </w:r>
        <w:r w:rsidR="008E7C6A">
          <w:rPr>
            <w:noProof/>
            <w:webHidden/>
          </w:rPr>
          <w:t>128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39" w:history="1">
        <w:r w:rsidR="00942C19" w:rsidRPr="00942C19">
          <w:rPr>
            <w:rStyle w:val="Hyperlink"/>
            <w:rFonts w:cs="Calibri"/>
            <w:bCs/>
            <w:noProof/>
          </w:rPr>
          <w:t>Table 4</w:t>
        </w:r>
        <w:r w:rsidR="00942C19" w:rsidRPr="00942C19">
          <w:rPr>
            <w:rStyle w:val="Hyperlink"/>
            <w:rFonts w:cs="Calibri"/>
            <w:bCs/>
            <w:noProof/>
          </w:rPr>
          <w:noBreakHyphen/>
          <w:t>45: FINANCING OF THE CAPITAL INVESTMENTS UP TO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_Toc357719739 \h </w:instrText>
        </w:r>
        <w:r w:rsidRPr="00942C19">
          <w:rPr>
            <w:noProof/>
            <w:webHidden/>
          </w:rPr>
        </w:r>
        <w:r w:rsidRPr="00942C19">
          <w:rPr>
            <w:noProof/>
            <w:webHidden/>
          </w:rPr>
          <w:fldChar w:fldCharType="separate"/>
        </w:r>
        <w:r w:rsidR="008E7C6A">
          <w:rPr>
            <w:noProof/>
            <w:webHidden/>
          </w:rPr>
          <w:t>128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0" w:history="1">
        <w:r w:rsidR="00942C19" w:rsidRPr="00942C19">
          <w:rPr>
            <w:rStyle w:val="Hyperlink"/>
            <w:noProof/>
          </w:rPr>
          <w:t>Table 4</w:t>
        </w:r>
        <w:r w:rsidR="00942C19" w:rsidRPr="00942C19">
          <w:rPr>
            <w:rStyle w:val="Hyperlink"/>
            <w:noProof/>
          </w:rPr>
          <w:noBreakHyphen/>
          <w:t>46: GROSS FIXED ASSETS FOR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_Toc357719740 \h </w:instrText>
        </w:r>
        <w:r w:rsidRPr="00942C19">
          <w:rPr>
            <w:noProof/>
            <w:webHidden/>
          </w:rPr>
        </w:r>
        <w:r w:rsidRPr="00942C19">
          <w:rPr>
            <w:noProof/>
            <w:webHidden/>
          </w:rPr>
          <w:fldChar w:fldCharType="separate"/>
        </w:r>
        <w:r w:rsidR="008E7C6A">
          <w:rPr>
            <w:noProof/>
            <w:webHidden/>
          </w:rPr>
          <w:t>129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1" w:history="1">
        <w:r w:rsidR="00942C19" w:rsidRPr="00942C19">
          <w:rPr>
            <w:rStyle w:val="Hyperlink"/>
            <w:noProof/>
          </w:rPr>
          <w:t>Table 4</w:t>
        </w:r>
        <w:r w:rsidR="00942C19" w:rsidRPr="00942C19">
          <w:rPr>
            <w:rStyle w:val="Hyperlink"/>
            <w:noProof/>
          </w:rPr>
          <w:noBreakHyphen/>
          <w:t>47: APPROVED DEPRECIATION FOR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_Toc357719741 \h </w:instrText>
        </w:r>
        <w:r w:rsidRPr="00942C19">
          <w:rPr>
            <w:noProof/>
            <w:webHidden/>
          </w:rPr>
        </w:r>
        <w:r w:rsidRPr="00942C19">
          <w:rPr>
            <w:noProof/>
            <w:webHidden/>
          </w:rPr>
          <w:fldChar w:fldCharType="separate"/>
        </w:r>
        <w:r w:rsidR="008E7C6A">
          <w:rPr>
            <w:noProof/>
            <w:webHidden/>
          </w:rPr>
          <w:t>131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2" w:history="1">
        <w:r w:rsidR="00942C19" w:rsidRPr="00942C19">
          <w:rPr>
            <w:rStyle w:val="Hyperlink"/>
            <w:noProof/>
          </w:rPr>
          <w:t>Table 4</w:t>
        </w:r>
        <w:r w:rsidR="00942C19" w:rsidRPr="00942C19">
          <w:rPr>
            <w:rStyle w:val="Hyperlink"/>
            <w:noProof/>
          </w:rPr>
          <w:noBreakHyphen/>
          <w:t>48: INTEREST ON LONG TERM LOANS UP TO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_Toc357719742 \h </w:instrText>
        </w:r>
        <w:r w:rsidRPr="00942C19">
          <w:rPr>
            <w:noProof/>
            <w:webHidden/>
          </w:rPr>
        </w:r>
        <w:r w:rsidRPr="00942C19">
          <w:rPr>
            <w:noProof/>
            <w:webHidden/>
          </w:rPr>
          <w:fldChar w:fldCharType="separate"/>
        </w:r>
        <w:r w:rsidR="008E7C6A">
          <w:rPr>
            <w:noProof/>
            <w:webHidden/>
          </w:rPr>
          <w:t>132</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3" w:history="1">
        <w:r w:rsidR="00942C19" w:rsidRPr="00942C19">
          <w:rPr>
            <w:rStyle w:val="Hyperlink"/>
            <w:noProof/>
          </w:rPr>
          <w:t>Table 4</w:t>
        </w:r>
        <w:r w:rsidR="00942C19" w:rsidRPr="00942C19">
          <w:rPr>
            <w:rStyle w:val="Hyperlink"/>
            <w:noProof/>
          </w:rPr>
          <w:noBreakHyphen/>
          <w:t>49: INTEREST COST ON WORKING CAPITAL LOANS FOR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_Toc357719743 \h </w:instrText>
        </w:r>
        <w:r w:rsidRPr="00942C19">
          <w:rPr>
            <w:noProof/>
            <w:webHidden/>
          </w:rPr>
        </w:r>
        <w:r w:rsidRPr="00942C19">
          <w:rPr>
            <w:noProof/>
            <w:webHidden/>
          </w:rPr>
          <w:fldChar w:fldCharType="separate"/>
        </w:r>
        <w:r w:rsidR="008E7C6A">
          <w:rPr>
            <w:noProof/>
            <w:webHidden/>
          </w:rPr>
          <w:t>133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4" w:history="1">
        <w:r w:rsidR="00942C19" w:rsidRPr="00942C19">
          <w:rPr>
            <w:rStyle w:val="Hyperlink"/>
            <w:noProof/>
          </w:rPr>
          <w:t>Table 4</w:t>
        </w:r>
        <w:r w:rsidR="00942C19" w:rsidRPr="00942C19">
          <w:rPr>
            <w:rStyle w:val="Hyperlink"/>
            <w:noProof/>
          </w:rPr>
          <w:noBreakHyphen/>
          <w:t>50: INTEREST ON SECURITY DEPOSITS FOR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_Toc357719744 \h </w:instrText>
        </w:r>
        <w:r w:rsidRPr="00942C19">
          <w:rPr>
            <w:noProof/>
            <w:webHidden/>
          </w:rPr>
        </w:r>
        <w:r w:rsidRPr="00942C19">
          <w:rPr>
            <w:noProof/>
            <w:webHidden/>
          </w:rPr>
          <w:fldChar w:fldCharType="separate"/>
        </w:r>
        <w:r w:rsidR="008E7C6A">
          <w:rPr>
            <w:noProof/>
            <w:webHidden/>
          </w:rPr>
          <w:t>134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5" w:history="1">
        <w:r w:rsidR="00942C19" w:rsidRPr="00942C19">
          <w:rPr>
            <w:rStyle w:val="Hyperlink"/>
            <w:noProof/>
          </w:rPr>
          <w:t>Table 4</w:t>
        </w:r>
        <w:r w:rsidR="00942C19" w:rsidRPr="00942C19">
          <w:rPr>
            <w:rStyle w:val="Hyperlink"/>
            <w:noProof/>
          </w:rPr>
          <w:noBreakHyphen/>
          <w:t>51: INTEREST and FINANCE CHARGES FOR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_Toc357719745 \h </w:instrText>
        </w:r>
        <w:r w:rsidRPr="00942C19">
          <w:rPr>
            <w:noProof/>
            <w:webHidden/>
          </w:rPr>
        </w:r>
        <w:r w:rsidRPr="00942C19">
          <w:rPr>
            <w:noProof/>
            <w:webHidden/>
          </w:rPr>
          <w:fldChar w:fldCharType="separate"/>
        </w:r>
        <w:r w:rsidR="008E7C6A">
          <w:rPr>
            <w:noProof/>
            <w:webHidden/>
          </w:rPr>
          <w:t>134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6" w:history="1">
        <w:r w:rsidR="00942C19" w:rsidRPr="00942C19">
          <w:rPr>
            <w:rStyle w:val="Hyperlink"/>
            <w:noProof/>
          </w:rPr>
          <w:t>Table 4</w:t>
        </w:r>
        <w:r w:rsidR="00942C19" w:rsidRPr="00942C19">
          <w:rPr>
            <w:rStyle w:val="Hyperlink"/>
            <w:noProof/>
          </w:rPr>
          <w:noBreakHyphen/>
          <w:t>52: OTHER INCOME FOR FY 2013-14 (Rs. Crore)</w:t>
        </w:r>
        <w:r w:rsidR="00942C19" w:rsidRPr="00942C19">
          <w:rPr>
            <w:noProof/>
            <w:webHidden/>
          </w:rPr>
          <w:tab/>
        </w:r>
        <w:r w:rsidRPr="00942C19">
          <w:rPr>
            <w:noProof/>
            <w:webHidden/>
          </w:rPr>
          <w:fldChar w:fldCharType="begin"/>
        </w:r>
        <w:r w:rsidR="00942C19" w:rsidRPr="00942C19">
          <w:rPr>
            <w:noProof/>
            <w:webHidden/>
          </w:rPr>
          <w:instrText xml:space="preserve"> PAGEREF _Toc357719746 \h </w:instrText>
        </w:r>
        <w:r w:rsidRPr="00942C19">
          <w:rPr>
            <w:noProof/>
            <w:webHidden/>
          </w:rPr>
        </w:r>
        <w:r w:rsidRPr="00942C19">
          <w:rPr>
            <w:noProof/>
            <w:webHidden/>
          </w:rPr>
          <w:fldChar w:fldCharType="separate"/>
        </w:r>
        <w:r w:rsidR="008E7C6A">
          <w:rPr>
            <w:noProof/>
            <w:webHidden/>
          </w:rPr>
          <w:t>135</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7" w:history="1">
        <w:r w:rsidR="00942C19" w:rsidRPr="00942C19">
          <w:rPr>
            <w:rStyle w:val="Hyperlink"/>
            <w:noProof/>
          </w:rPr>
          <w:t>Table 4</w:t>
        </w:r>
        <w:r w:rsidR="00942C19" w:rsidRPr="00942C19">
          <w:rPr>
            <w:rStyle w:val="Hyperlink"/>
            <w:noProof/>
          </w:rPr>
          <w:noBreakHyphen/>
          <w:t>53: APPROVED GoUP SUBSIDY FOR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_Toc357719747 \h </w:instrText>
        </w:r>
        <w:r w:rsidRPr="00942C19">
          <w:rPr>
            <w:noProof/>
            <w:webHidden/>
          </w:rPr>
        </w:r>
        <w:r w:rsidRPr="00942C19">
          <w:rPr>
            <w:noProof/>
            <w:webHidden/>
          </w:rPr>
          <w:fldChar w:fldCharType="separate"/>
        </w:r>
        <w:r w:rsidR="008E7C6A">
          <w:rPr>
            <w:noProof/>
            <w:webHidden/>
          </w:rPr>
          <w:t>137</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8" w:history="1">
        <w:r w:rsidR="00942C19" w:rsidRPr="00942C19">
          <w:rPr>
            <w:rStyle w:val="Hyperlink"/>
            <w:noProof/>
          </w:rPr>
          <w:t>Table 4</w:t>
        </w:r>
        <w:r w:rsidR="00942C19" w:rsidRPr="00942C19">
          <w:rPr>
            <w:rStyle w:val="Hyperlink"/>
            <w:noProof/>
          </w:rPr>
          <w:noBreakHyphen/>
          <w:t xml:space="preserve">54: </w:t>
        </w:r>
        <w:r w:rsidR="00942C19" w:rsidRPr="00942C19">
          <w:rPr>
            <w:rStyle w:val="Hyperlink"/>
            <w:caps/>
            <w:noProof/>
          </w:rPr>
          <w:t>Additional Subsidy Requirement from GoUP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_Toc357719748 \h </w:instrText>
        </w:r>
        <w:r w:rsidRPr="00942C19">
          <w:rPr>
            <w:noProof/>
            <w:webHidden/>
          </w:rPr>
        </w:r>
        <w:r w:rsidRPr="00942C19">
          <w:rPr>
            <w:noProof/>
            <w:webHidden/>
          </w:rPr>
          <w:fldChar w:fldCharType="separate"/>
        </w:r>
        <w:r w:rsidR="008E7C6A">
          <w:rPr>
            <w:noProof/>
            <w:webHidden/>
          </w:rPr>
          <w:t>138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49" w:history="1">
        <w:r w:rsidR="00942C19" w:rsidRPr="00942C19">
          <w:rPr>
            <w:rStyle w:val="Hyperlink"/>
            <w:noProof/>
          </w:rPr>
          <w:t>Table 4</w:t>
        </w:r>
        <w:r w:rsidR="00942C19" w:rsidRPr="00942C19">
          <w:rPr>
            <w:rStyle w:val="Hyperlink"/>
            <w:noProof/>
          </w:rPr>
          <w:noBreakHyphen/>
          <w:t>55: CONTRIBUTION TO CONTINGENCY RESERVE FOR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_Toc357719749 \h </w:instrText>
        </w:r>
        <w:r w:rsidRPr="00942C19">
          <w:rPr>
            <w:noProof/>
            <w:webHidden/>
          </w:rPr>
        </w:r>
        <w:r w:rsidRPr="00942C19">
          <w:rPr>
            <w:noProof/>
            <w:webHidden/>
          </w:rPr>
          <w:fldChar w:fldCharType="separate"/>
        </w:r>
        <w:r w:rsidR="008E7C6A">
          <w:rPr>
            <w:noProof/>
            <w:webHidden/>
          </w:rPr>
          <w:t>139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0" w:history="1">
        <w:r w:rsidR="00942C19" w:rsidRPr="00942C19">
          <w:rPr>
            <w:rStyle w:val="Hyperlink"/>
            <w:noProof/>
          </w:rPr>
          <w:t>Table 4</w:t>
        </w:r>
        <w:r w:rsidR="00942C19" w:rsidRPr="00942C19">
          <w:rPr>
            <w:rStyle w:val="Hyperlink"/>
            <w:noProof/>
          </w:rPr>
          <w:noBreakHyphen/>
          <w:t>56: EXISTING &amp; APPROVED TARIFF REVENUES: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_Toc357719750 \h </w:instrText>
        </w:r>
        <w:r w:rsidRPr="00942C19">
          <w:rPr>
            <w:noProof/>
            <w:webHidden/>
          </w:rPr>
        </w:r>
        <w:r w:rsidRPr="00942C19">
          <w:rPr>
            <w:noProof/>
            <w:webHidden/>
          </w:rPr>
          <w:fldChar w:fldCharType="separate"/>
        </w:r>
        <w:r w:rsidR="008E7C6A">
          <w:rPr>
            <w:noProof/>
            <w:webHidden/>
          </w:rPr>
          <w:t>139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1" w:history="1">
        <w:r w:rsidR="00942C19" w:rsidRPr="00942C19">
          <w:rPr>
            <w:rStyle w:val="Hyperlink"/>
            <w:noProof/>
          </w:rPr>
          <w:t>Table 4</w:t>
        </w:r>
        <w:r w:rsidR="00942C19" w:rsidRPr="00942C19">
          <w:rPr>
            <w:rStyle w:val="Hyperlink"/>
            <w:noProof/>
          </w:rPr>
          <w:noBreakHyphen/>
          <w:t>57: ARR, REVENUE AND GAP SUMMARY FOR FY 2013-14 (Rs. Crore)</w:t>
        </w:r>
        <w:r w:rsidR="00942C19" w:rsidRPr="00942C19">
          <w:rPr>
            <w:noProof/>
            <w:webHidden/>
          </w:rPr>
          <w:tab/>
        </w:r>
        <w:r w:rsidRPr="00942C19">
          <w:rPr>
            <w:noProof/>
            <w:webHidden/>
          </w:rPr>
          <w:fldChar w:fldCharType="begin"/>
        </w:r>
        <w:r w:rsidR="00942C19" w:rsidRPr="00942C19">
          <w:rPr>
            <w:noProof/>
            <w:webHidden/>
          </w:rPr>
          <w:instrText xml:space="preserve"> PAGEREF _Toc357719751 \h </w:instrText>
        </w:r>
        <w:r w:rsidRPr="00942C19">
          <w:rPr>
            <w:noProof/>
            <w:webHidden/>
          </w:rPr>
        </w:r>
        <w:r w:rsidRPr="00942C19">
          <w:rPr>
            <w:noProof/>
            <w:webHidden/>
          </w:rPr>
          <w:fldChar w:fldCharType="separate"/>
        </w:r>
        <w:r w:rsidR="008E7C6A">
          <w:rPr>
            <w:noProof/>
            <w:webHidden/>
          </w:rPr>
          <w:t>141</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2" w:history="1">
        <w:r w:rsidR="00942C19" w:rsidRPr="00942C19">
          <w:rPr>
            <w:rStyle w:val="Hyperlink"/>
            <w:noProof/>
          </w:rPr>
          <w:t>Table 5</w:t>
        </w:r>
        <w:r w:rsidR="00942C19" w:rsidRPr="00942C19">
          <w:rPr>
            <w:rStyle w:val="Hyperlink"/>
            <w:noProof/>
          </w:rPr>
          <w:noBreakHyphen/>
          <w:t>1: WHEELING &amp; RETAIL SUPPLY ARR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_Toc357719752 \h </w:instrText>
        </w:r>
        <w:r w:rsidRPr="00942C19">
          <w:rPr>
            <w:noProof/>
            <w:webHidden/>
          </w:rPr>
        </w:r>
        <w:r w:rsidRPr="00942C19">
          <w:rPr>
            <w:noProof/>
            <w:webHidden/>
          </w:rPr>
          <w:fldChar w:fldCharType="separate"/>
        </w:r>
        <w:r w:rsidR="008E7C6A">
          <w:rPr>
            <w:noProof/>
            <w:webHidden/>
          </w:rPr>
          <w:t>143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3" w:history="1">
        <w:r w:rsidR="00942C19" w:rsidRPr="00942C19">
          <w:rPr>
            <w:rStyle w:val="Hyperlink"/>
            <w:noProof/>
          </w:rPr>
          <w:t>Table 5</w:t>
        </w:r>
        <w:r w:rsidR="00942C19" w:rsidRPr="00942C19">
          <w:rPr>
            <w:rStyle w:val="Hyperlink"/>
            <w:noProof/>
          </w:rPr>
          <w:noBreakHyphen/>
          <w:t>2: WHEELING CHARGES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_Toc357719753 \h </w:instrText>
        </w:r>
        <w:r w:rsidRPr="00942C19">
          <w:rPr>
            <w:noProof/>
            <w:webHidden/>
          </w:rPr>
        </w:r>
        <w:r w:rsidRPr="00942C19">
          <w:rPr>
            <w:noProof/>
            <w:webHidden/>
          </w:rPr>
          <w:fldChar w:fldCharType="separate"/>
        </w:r>
        <w:r w:rsidR="008E7C6A">
          <w:rPr>
            <w:noProof/>
            <w:webHidden/>
          </w:rPr>
          <w:t>144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4" w:history="1">
        <w:r w:rsidR="00942C19" w:rsidRPr="00942C19">
          <w:rPr>
            <w:rStyle w:val="Hyperlink"/>
            <w:noProof/>
          </w:rPr>
          <w:t>Table 5</w:t>
        </w:r>
        <w:r w:rsidR="00942C19" w:rsidRPr="00942C19">
          <w:rPr>
            <w:rStyle w:val="Hyperlink"/>
            <w:noProof/>
          </w:rPr>
          <w:noBreakHyphen/>
          <w:t>3: APPROVED VOLTAGE-WISE WHEELING CHARGES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_Toc357719754 \h </w:instrText>
        </w:r>
        <w:r w:rsidRPr="00942C19">
          <w:rPr>
            <w:noProof/>
            <w:webHidden/>
          </w:rPr>
        </w:r>
        <w:r w:rsidRPr="00942C19">
          <w:rPr>
            <w:noProof/>
            <w:webHidden/>
          </w:rPr>
          <w:fldChar w:fldCharType="separate"/>
        </w:r>
        <w:r w:rsidR="008E7C6A">
          <w:rPr>
            <w:noProof/>
            <w:webHidden/>
          </w:rPr>
          <w:t>145</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5" w:history="1">
        <w:r w:rsidR="00942C19" w:rsidRPr="00942C19">
          <w:rPr>
            <w:rStyle w:val="Hyperlink"/>
            <w:noProof/>
          </w:rPr>
          <w:t>Table 7</w:t>
        </w:r>
        <w:r w:rsidR="00942C19" w:rsidRPr="00942C19">
          <w:rPr>
            <w:rStyle w:val="Hyperlink"/>
            <w:noProof/>
          </w:rPr>
          <w:noBreakHyphen/>
          <w:t>1: REVENUE FROM SALE OF POWER AT APPROVED TARIFF - FY 2013-14 (Rs. Crores)</w:t>
        </w:r>
        <w:r w:rsidR="00942C19" w:rsidRPr="00942C19">
          <w:rPr>
            <w:noProof/>
            <w:webHidden/>
          </w:rPr>
          <w:tab/>
        </w:r>
        <w:r w:rsidRPr="00942C19">
          <w:rPr>
            <w:noProof/>
            <w:webHidden/>
          </w:rPr>
          <w:fldChar w:fldCharType="begin"/>
        </w:r>
        <w:r w:rsidR="00942C19" w:rsidRPr="00942C19">
          <w:rPr>
            <w:noProof/>
            <w:webHidden/>
          </w:rPr>
          <w:instrText xml:space="preserve"> PAGEREF _Toc357719755 \h </w:instrText>
        </w:r>
        <w:r w:rsidRPr="00942C19">
          <w:rPr>
            <w:noProof/>
            <w:webHidden/>
          </w:rPr>
        </w:r>
        <w:r w:rsidRPr="00942C19">
          <w:rPr>
            <w:noProof/>
            <w:webHidden/>
          </w:rPr>
          <w:fldChar w:fldCharType="separate"/>
        </w:r>
        <w:r w:rsidR="008E7C6A">
          <w:rPr>
            <w:noProof/>
            <w:webHidden/>
          </w:rPr>
          <w:t>152</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6" w:history="1">
        <w:r w:rsidR="00942C19" w:rsidRPr="00942C19">
          <w:rPr>
            <w:rStyle w:val="Hyperlink"/>
            <w:noProof/>
          </w:rPr>
          <w:t>Table 7</w:t>
        </w:r>
        <w:r w:rsidR="00942C19" w:rsidRPr="00942C19">
          <w:rPr>
            <w:rStyle w:val="Hyperlink"/>
            <w:noProof/>
          </w:rPr>
          <w:noBreakHyphen/>
          <w:t>2: ESTIMATION OF ARR GAP/SURPLUS AT REVISED TARIFF FOR FY 2013-14 (Rs. Crore)</w:t>
        </w:r>
        <w:r w:rsidR="00942C19" w:rsidRPr="00942C19">
          <w:rPr>
            <w:noProof/>
            <w:webHidden/>
          </w:rPr>
          <w:tab/>
        </w:r>
        <w:r w:rsidRPr="00942C19">
          <w:rPr>
            <w:noProof/>
            <w:webHidden/>
          </w:rPr>
          <w:fldChar w:fldCharType="begin"/>
        </w:r>
        <w:r w:rsidR="00942C19" w:rsidRPr="00942C19">
          <w:rPr>
            <w:noProof/>
            <w:webHidden/>
          </w:rPr>
          <w:instrText xml:space="preserve"> PAGEREF _Toc357719756 \h </w:instrText>
        </w:r>
        <w:r w:rsidRPr="00942C19">
          <w:rPr>
            <w:noProof/>
            <w:webHidden/>
          </w:rPr>
        </w:r>
        <w:r w:rsidRPr="00942C19">
          <w:rPr>
            <w:noProof/>
            <w:webHidden/>
          </w:rPr>
          <w:fldChar w:fldCharType="separate"/>
        </w:r>
        <w:r w:rsidR="008E7C6A">
          <w:rPr>
            <w:noProof/>
            <w:webHidden/>
          </w:rPr>
          <w:t>153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7" w:history="1">
        <w:r w:rsidR="00942C19" w:rsidRPr="00942C19">
          <w:rPr>
            <w:rStyle w:val="Hyperlink"/>
            <w:noProof/>
          </w:rPr>
          <w:t>Table 7</w:t>
        </w:r>
        <w:r w:rsidR="00942C19" w:rsidRPr="00942C19">
          <w:rPr>
            <w:rStyle w:val="Hyperlink"/>
            <w:noProof/>
          </w:rPr>
          <w:noBreakHyphen/>
          <w:t>3: REVENUE REALIZED AS % OF ACOS</w:t>
        </w:r>
        <w:r w:rsidR="00942C19" w:rsidRPr="00942C19">
          <w:rPr>
            <w:noProof/>
            <w:webHidden/>
          </w:rPr>
          <w:tab/>
        </w:r>
        <w:r w:rsidRPr="00942C19">
          <w:rPr>
            <w:noProof/>
            <w:webHidden/>
          </w:rPr>
          <w:fldChar w:fldCharType="begin"/>
        </w:r>
        <w:r w:rsidR="00942C19" w:rsidRPr="00942C19">
          <w:rPr>
            <w:noProof/>
            <w:webHidden/>
          </w:rPr>
          <w:instrText xml:space="preserve"> PAGEREF _Toc357719757 \h </w:instrText>
        </w:r>
        <w:r w:rsidRPr="00942C19">
          <w:rPr>
            <w:noProof/>
            <w:webHidden/>
          </w:rPr>
        </w:r>
        <w:r w:rsidRPr="00942C19">
          <w:rPr>
            <w:noProof/>
            <w:webHidden/>
          </w:rPr>
          <w:fldChar w:fldCharType="separate"/>
        </w:r>
        <w:r w:rsidR="008E7C6A">
          <w:rPr>
            <w:noProof/>
            <w:webHidden/>
          </w:rPr>
          <w:t>154</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8" w:history="1">
        <w:r w:rsidR="00942C19" w:rsidRPr="00942C19">
          <w:rPr>
            <w:rStyle w:val="Hyperlink"/>
            <w:noProof/>
          </w:rPr>
          <w:t>Table 7</w:t>
        </w:r>
        <w:r w:rsidR="00942C19" w:rsidRPr="00942C19">
          <w:rPr>
            <w:rStyle w:val="Hyperlink"/>
            <w:noProof/>
          </w:rPr>
          <w:noBreakHyphen/>
          <w:t>4: REGULATORY SURCHARGE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_Toc357719758 \h </w:instrText>
        </w:r>
        <w:r w:rsidRPr="00942C19">
          <w:rPr>
            <w:noProof/>
            <w:webHidden/>
          </w:rPr>
        </w:r>
        <w:r w:rsidRPr="00942C19">
          <w:rPr>
            <w:noProof/>
            <w:webHidden/>
          </w:rPr>
          <w:fldChar w:fldCharType="separate"/>
        </w:r>
        <w:r w:rsidR="008E7C6A">
          <w:rPr>
            <w:noProof/>
            <w:webHidden/>
          </w:rPr>
          <w:t>156</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59" w:history="1">
        <w:r w:rsidR="00942C19" w:rsidRPr="00942C19">
          <w:rPr>
            <w:rStyle w:val="Hyperlink"/>
            <w:noProof/>
          </w:rPr>
          <w:t>TABLE 8</w:t>
        </w:r>
        <w:r w:rsidR="00942C19" w:rsidRPr="00942C19">
          <w:rPr>
            <w:rStyle w:val="Hyperlink"/>
            <w:noProof/>
          </w:rPr>
          <w:noBreakHyphen/>
          <w:t>1: DIRECTIVES</w:t>
        </w:r>
        <w:r w:rsidR="00942C19" w:rsidRPr="00942C19">
          <w:rPr>
            <w:noProof/>
            <w:webHidden/>
          </w:rPr>
          <w:tab/>
        </w:r>
        <w:r w:rsidRPr="00942C19">
          <w:rPr>
            <w:noProof/>
            <w:webHidden/>
          </w:rPr>
          <w:fldChar w:fldCharType="begin"/>
        </w:r>
        <w:r w:rsidR="00942C19" w:rsidRPr="00942C19">
          <w:rPr>
            <w:noProof/>
            <w:webHidden/>
          </w:rPr>
          <w:instrText xml:space="preserve"> PAGEREF _Toc357719759 \h </w:instrText>
        </w:r>
        <w:r w:rsidRPr="00942C19">
          <w:rPr>
            <w:noProof/>
            <w:webHidden/>
          </w:rPr>
        </w:r>
        <w:r w:rsidRPr="00942C19">
          <w:rPr>
            <w:noProof/>
            <w:webHidden/>
          </w:rPr>
          <w:fldChar w:fldCharType="separate"/>
        </w:r>
        <w:r w:rsidR="008E7C6A">
          <w:rPr>
            <w:noProof/>
            <w:webHidden/>
          </w:rPr>
          <w:t>159</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60" w:history="1">
        <w:r w:rsidR="00942C19" w:rsidRPr="00942C19">
          <w:rPr>
            <w:rStyle w:val="Hyperlink"/>
            <w:noProof/>
          </w:rPr>
          <w:t>TABLE 10.1</w:t>
        </w:r>
        <w:r w:rsidR="00942C19" w:rsidRPr="00942C19">
          <w:rPr>
            <w:rStyle w:val="Hyperlink"/>
            <w:noProof/>
          </w:rPr>
          <w:noBreakHyphen/>
          <w:t>1: COMMISSION’S APPROVAL OF NUMBER OF CONSUMERS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_Toc357719760 \h </w:instrText>
        </w:r>
        <w:r w:rsidRPr="00942C19">
          <w:rPr>
            <w:noProof/>
            <w:webHidden/>
          </w:rPr>
        </w:r>
        <w:r w:rsidRPr="00942C19">
          <w:rPr>
            <w:noProof/>
            <w:webHidden/>
          </w:rPr>
          <w:fldChar w:fldCharType="separate"/>
        </w:r>
        <w:r w:rsidR="008E7C6A">
          <w:rPr>
            <w:noProof/>
            <w:webHidden/>
          </w:rPr>
          <w:t>167</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61" w:history="1">
        <w:r w:rsidR="00942C19" w:rsidRPr="00942C19">
          <w:rPr>
            <w:rStyle w:val="Hyperlink"/>
            <w:noProof/>
          </w:rPr>
          <w:t>TABLE 10.1</w:t>
        </w:r>
        <w:r w:rsidR="00942C19" w:rsidRPr="00942C19">
          <w:rPr>
            <w:rStyle w:val="Hyperlink"/>
            <w:noProof/>
          </w:rPr>
          <w:noBreakHyphen/>
          <w:t>2: COMMISSION’S APPROVAL OF CONNECTED LOAD (KW)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_Toc357719761 \h </w:instrText>
        </w:r>
        <w:r w:rsidRPr="00942C19">
          <w:rPr>
            <w:noProof/>
            <w:webHidden/>
          </w:rPr>
        </w:r>
        <w:r w:rsidRPr="00942C19">
          <w:rPr>
            <w:noProof/>
            <w:webHidden/>
          </w:rPr>
          <w:fldChar w:fldCharType="separate"/>
        </w:r>
        <w:r w:rsidR="008E7C6A">
          <w:rPr>
            <w:noProof/>
            <w:webHidden/>
          </w:rPr>
          <w:t>173</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62" w:history="1">
        <w:r w:rsidR="00942C19" w:rsidRPr="00942C19">
          <w:rPr>
            <w:rStyle w:val="Hyperlink"/>
            <w:noProof/>
          </w:rPr>
          <w:t>TABLE 10.1</w:t>
        </w:r>
        <w:r w:rsidR="00942C19" w:rsidRPr="00942C19">
          <w:rPr>
            <w:rStyle w:val="Hyperlink"/>
            <w:noProof/>
          </w:rPr>
          <w:noBreakHyphen/>
          <w:t>3: COMMISSION’S APPROVAL OF ENERGY SALES (MU) FOR FY 2013-14</w:t>
        </w:r>
        <w:r w:rsidR="00942C19" w:rsidRPr="00942C19">
          <w:rPr>
            <w:noProof/>
            <w:webHidden/>
          </w:rPr>
          <w:tab/>
        </w:r>
        <w:r w:rsidRPr="00942C19">
          <w:rPr>
            <w:noProof/>
            <w:webHidden/>
          </w:rPr>
          <w:fldChar w:fldCharType="begin"/>
        </w:r>
        <w:r w:rsidR="00942C19" w:rsidRPr="00942C19">
          <w:rPr>
            <w:noProof/>
            <w:webHidden/>
          </w:rPr>
          <w:instrText xml:space="preserve"> PAGEREF _Toc357719762 \h </w:instrText>
        </w:r>
        <w:r w:rsidRPr="00942C19">
          <w:rPr>
            <w:noProof/>
            <w:webHidden/>
          </w:rPr>
        </w:r>
        <w:r w:rsidRPr="00942C19">
          <w:rPr>
            <w:noProof/>
            <w:webHidden/>
          </w:rPr>
          <w:fldChar w:fldCharType="separate"/>
        </w:r>
        <w:r w:rsidR="008E7C6A">
          <w:rPr>
            <w:noProof/>
            <w:webHidden/>
          </w:rPr>
          <w:t>178</w:t>
        </w:r>
        <w:r w:rsidRPr="00942C19">
          <w:rPr>
            <w:noProof/>
            <w:webHidden/>
          </w:rPr>
          <w:fldChar w:fldCharType="end"/>
        </w:r>
      </w:hyperlink>
    </w:p>
    <w:p w:rsidR="00942C19" w:rsidRPr="00942C19" w:rsidRDefault="000C642E">
      <w:pPr>
        <w:pStyle w:val="TableofFigures"/>
        <w:tabs>
          <w:tab w:val="right" w:leader="dot" w:pos="8659"/>
        </w:tabs>
        <w:rPr>
          <w:rFonts w:eastAsiaTheme="minorEastAsia" w:cstheme="minorBidi"/>
          <w:smallCaps w:val="0"/>
          <w:noProof/>
          <w:sz w:val="22"/>
          <w:szCs w:val="22"/>
          <w:lang w:val="en-IN" w:eastAsia="en-IN"/>
        </w:rPr>
      </w:pPr>
      <w:hyperlink w:anchor="_Toc357719763" w:history="1">
        <w:r w:rsidR="00942C19" w:rsidRPr="00942C19">
          <w:rPr>
            <w:rStyle w:val="Hyperlink"/>
            <w:noProof/>
          </w:rPr>
          <w:t>TABLE 10.6</w:t>
        </w:r>
        <w:r w:rsidR="00942C19" w:rsidRPr="00942C19">
          <w:rPr>
            <w:rStyle w:val="Hyperlink"/>
            <w:noProof/>
          </w:rPr>
          <w:noBreakHyphen/>
          <w:t>1: APPROPRIATION OF APPROVED POWER PURCHASE FOR FY 2013-14: FPPCA</w:t>
        </w:r>
        <w:r w:rsidR="00942C19" w:rsidRPr="00942C19">
          <w:rPr>
            <w:noProof/>
            <w:webHidden/>
          </w:rPr>
          <w:tab/>
        </w:r>
        <w:r w:rsidRPr="00942C19">
          <w:rPr>
            <w:noProof/>
            <w:webHidden/>
          </w:rPr>
          <w:fldChar w:fldCharType="begin"/>
        </w:r>
        <w:r w:rsidR="00942C19" w:rsidRPr="00942C19">
          <w:rPr>
            <w:noProof/>
            <w:webHidden/>
          </w:rPr>
          <w:instrText xml:space="preserve"> PAGEREF _Toc357719763 \h </w:instrText>
        </w:r>
        <w:r w:rsidRPr="00942C19">
          <w:rPr>
            <w:noProof/>
            <w:webHidden/>
          </w:rPr>
        </w:r>
        <w:r w:rsidRPr="00942C19">
          <w:rPr>
            <w:noProof/>
            <w:webHidden/>
          </w:rPr>
          <w:fldChar w:fldCharType="separate"/>
        </w:r>
        <w:r w:rsidR="008E7C6A">
          <w:rPr>
            <w:noProof/>
            <w:webHidden/>
          </w:rPr>
          <w:t>237</w:t>
        </w:r>
        <w:r w:rsidRPr="00942C19">
          <w:rPr>
            <w:noProof/>
            <w:webHidden/>
          </w:rPr>
          <w:fldChar w:fldCharType="end"/>
        </w:r>
      </w:hyperlink>
    </w:p>
    <w:p w:rsidR="00180A33" w:rsidRPr="00942C19" w:rsidRDefault="000C642E" w:rsidP="007C08A7">
      <w:pPr>
        <w:pStyle w:val="TableofFigures"/>
        <w:tabs>
          <w:tab w:val="right" w:leader="dot" w:pos="8659"/>
        </w:tabs>
      </w:pPr>
      <w:r w:rsidRPr="00942C19">
        <w:rPr>
          <w:rStyle w:val="Hyperlink"/>
          <w:noProof/>
        </w:rPr>
        <w:fldChar w:fldCharType="end"/>
      </w:r>
    </w:p>
    <w:p w:rsidR="00AC2512" w:rsidRPr="00942C19" w:rsidRDefault="00D37337" w:rsidP="009E2740">
      <w:pPr>
        <w:jc w:val="center"/>
        <w:rPr>
          <w:b/>
        </w:rPr>
      </w:pPr>
      <w:r w:rsidRPr="00942C19">
        <w:rPr>
          <w:rFonts w:asciiTheme="minorHAnsi" w:hAnsiTheme="minorHAnsi" w:cstheme="minorHAnsi"/>
          <w:caps/>
        </w:rPr>
        <w:br w:type="page"/>
      </w:r>
      <w:r w:rsidR="00AC2512" w:rsidRPr="00942C19">
        <w:rPr>
          <w:b/>
        </w:rPr>
        <w:lastRenderedPageBreak/>
        <w:t>Before</w:t>
      </w:r>
    </w:p>
    <w:p w:rsidR="00AC2512" w:rsidRPr="00942C19" w:rsidRDefault="00AC2512" w:rsidP="00AC2512">
      <w:pPr>
        <w:jc w:val="center"/>
        <w:rPr>
          <w:b/>
        </w:rPr>
      </w:pPr>
    </w:p>
    <w:p w:rsidR="00AC2512" w:rsidRPr="00942C19" w:rsidRDefault="00AC2512" w:rsidP="00AC2512">
      <w:pPr>
        <w:jc w:val="center"/>
        <w:rPr>
          <w:b/>
        </w:rPr>
      </w:pPr>
      <w:r w:rsidRPr="00942C19">
        <w:rPr>
          <w:b/>
        </w:rPr>
        <w:t>UTTAR PRADESH ELECTRICITY REGULATORY COMMISSION</w:t>
      </w:r>
    </w:p>
    <w:p w:rsidR="00AC2512" w:rsidRPr="00942C19" w:rsidRDefault="00AC2512" w:rsidP="00AC2512">
      <w:pPr>
        <w:jc w:val="center"/>
        <w:rPr>
          <w:b/>
        </w:rPr>
      </w:pPr>
    </w:p>
    <w:p w:rsidR="009756E5" w:rsidRPr="00942C19" w:rsidRDefault="00D9599A" w:rsidP="00D9599A">
      <w:pPr>
        <w:pStyle w:val="Default"/>
        <w:spacing w:line="276" w:lineRule="auto"/>
        <w:jc w:val="center"/>
        <w:rPr>
          <w:rFonts w:asciiTheme="minorHAnsi" w:hAnsiTheme="minorHAnsi" w:cstheme="minorHAnsi"/>
        </w:rPr>
      </w:pPr>
      <w:proofErr w:type="spellStart"/>
      <w:r w:rsidRPr="00942C19">
        <w:t>Suo</w:t>
      </w:r>
      <w:proofErr w:type="spellEnd"/>
      <w:r w:rsidRPr="00942C19">
        <w:t xml:space="preserve"> - </w:t>
      </w:r>
      <w:proofErr w:type="spellStart"/>
      <w:r w:rsidRPr="00942C19">
        <w:t>Motu</w:t>
      </w:r>
      <w:proofErr w:type="spellEnd"/>
      <w:r w:rsidRPr="00942C19">
        <w:t xml:space="preserve"> Case No. </w:t>
      </w:r>
      <w:r w:rsidR="00B377F5" w:rsidRPr="00942C19">
        <w:t>0</w:t>
      </w:r>
      <w:r w:rsidR="004A205B" w:rsidRPr="00942C19">
        <w:t>3</w:t>
      </w:r>
      <w:r w:rsidR="00B377F5" w:rsidRPr="00942C19">
        <w:t xml:space="preserve"> </w:t>
      </w:r>
      <w:r w:rsidRPr="00942C19">
        <w:t>of 2013</w:t>
      </w:r>
    </w:p>
    <w:p w:rsidR="00D9599A" w:rsidRPr="00942C19" w:rsidRDefault="00D9599A" w:rsidP="00447DA3">
      <w:pPr>
        <w:pStyle w:val="Default"/>
        <w:spacing w:line="276" w:lineRule="auto"/>
        <w:jc w:val="both"/>
        <w:rPr>
          <w:rFonts w:asciiTheme="minorHAnsi" w:hAnsiTheme="minorHAnsi" w:cstheme="minorHAnsi"/>
          <w:b/>
          <w:bCs/>
        </w:rPr>
      </w:pPr>
    </w:p>
    <w:p w:rsidR="00D9599A" w:rsidRPr="00942C19" w:rsidRDefault="00D9599A" w:rsidP="00447DA3">
      <w:pPr>
        <w:pStyle w:val="Default"/>
        <w:spacing w:line="276" w:lineRule="auto"/>
        <w:jc w:val="both"/>
        <w:rPr>
          <w:rFonts w:asciiTheme="minorHAnsi" w:hAnsiTheme="minorHAnsi" w:cstheme="minorHAnsi"/>
          <w:b/>
          <w:bCs/>
        </w:rPr>
      </w:pPr>
    </w:p>
    <w:p w:rsidR="00D9599A" w:rsidRPr="00942C19" w:rsidRDefault="00D9599A" w:rsidP="00447DA3">
      <w:pPr>
        <w:pStyle w:val="Default"/>
        <w:spacing w:line="276" w:lineRule="auto"/>
        <w:jc w:val="both"/>
        <w:rPr>
          <w:rFonts w:asciiTheme="minorHAnsi" w:hAnsiTheme="minorHAnsi" w:cstheme="minorHAnsi"/>
          <w:b/>
          <w:bCs/>
        </w:rPr>
      </w:pPr>
    </w:p>
    <w:p w:rsidR="00D9599A" w:rsidRPr="00942C19" w:rsidRDefault="00D9599A" w:rsidP="00D9599A">
      <w:pPr>
        <w:rPr>
          <w:b/>
        </w:rPr>
      </w:pPr>
      <w:r w:rsidRPr="00942C19">
        <w:rPr>
          <w:b/>
        </w:rPr>
        <w:t>IN THE MATTER OF:</w:t>
      </w:r>
    </w:p>
    <w:p w:rsidR="00D9599A" w:rsidRPr="00942C19" w:rsidRDefault="00D9599A" w:rsidP="00D9599A">
      <w:pPr>
        <w:jc w:val="center"/>
        <w:rPr>
          <w:b/>
        </w:rPr>
      </w:pPr>
    </w:p>
    <w:p w:rsidR="009756E5" w:rsidRPr="00942C19" w:rsidRDefault="00574A89" w:rsidP="00D9599A">
      <w:pPr>
        <w:jc w:val="left"/>
      </w:pPr>
      <w:proofErr w:type="spellStart"/>
      <w:r w:rsidRPr="00942C19">
        <w:t>Suo</w:t>
      </w:r>
      <w:r w:rsidR="00232C13" w:rsidRPr="00942C19">
        <w:t>-motu</w:t>
      </w:r>
      <w:proofErr w:type="spellEnd"/>
      <w:r w:rsidR="007C4987" w:rsidRPr="00942C19">
        <w:t xml:space="preserve"> Determination </w:t>
      </w:r>
      <w:r w:rsidRPr="00942C19">
        <w:t xml:space="preserve">of </w:t>
      </w:r>
      <w:r w:rsidR="00530254" w:rsidRPr="00942C19">
        <w:t xml:space="preserve">Aggregate Revenue Requirement and Tariff for FY </w:t>
      </w:r>
      <w:r w:rsidR="00313878" w:rsidRPr="00942C19">
        <w:t>201</w:t>
      </w:r>
      <w:r w:rsidR="007E057F" w:rsidRPr="00942C19">
        <w:t>3</w:t>
      </w:r>
      <w:r w:rsidR="00313878" w:rsidRPr="00942C19">
        <w:t>-1</w:t>
      </w:r>
      <w:r w:rsidR="007E057F" w:rsidRPr="00942C19">
        <w:t>4</w:t>
      </w:r>
      <w:r w:rsidR="007C4987" w:rsidRPr="00942C19">
        <w:t xml:space="preserve"> of </w:t>
      </w:r>
      <w:proofErr w:type="spellStart"/>
      <w:r w:rsidR="00DC3B91" w:rsidRPr="00942C19">
        <w:rPr>
          <w:rFonts w:asciiTheme="minorHAnsi" w:hAnsiTheme="minorHAnsi" w:cstheme="minorHAnsi"/>
        </w:rPr>
        <w:t>Madhyanchal</w:t>
      </w:r>
      <w:proofErr w:type="spellEnd"/>
      <w:r w:rsidR="00155ABB" w:rsidRPr="00942C19">
        <w:rPr>
          <w:rFonts w:asciiTheme="minorHAnsi" w:hAnsiTheme="minorHAnsi" w:cstheme="minorHAnsi"/>
        </w:rPr>
        <w:t xml:space="preserve"> </w:t>
      </w:r>
      <w:proofErr w:type="spellStart"/>
      <w:r w:rsidR="00155ABB" w:rsidRPr="00942C19">
        <w:rPr>
          <w:rFonts w:asciiTheme="minorHAnsi" w:hAnsiTheme="minorHAnsi" w:cstheme="minorHAnsi"/>
        </w:rPr>
        <w:t>Vidyut</w:t>
      </w:r>
      <w:proofErr w:type="spellEnd"/>
      <w:r w:rsidR="00155ABB" w:rsidRPr="00942C19">
        <w:rPr>
          <w:rFonts w:asciiTheme="minorHAnsi" w:hAnsiTheme="minorHAnsi" w:cstheme="minorHAnsi"/>
        </w:rPr>
        <w:t xml:space="preserve"> </w:t>
      </w:r>
      <w:proofErr w:type="spellStart"/>
      <w:r w:rsidR="00155ABB" w:rsidRPr="00942C19">
        <w:rPr>
          <w:rFonts w:asciiTheme="minorHAnsi" w:hAnsiTheme="minorHAnsi" w:cstheme="minorHAnsi"/>
        </w:rPr>
        <w:t>Vitran</w:t>
      </w:r>
      <w:proofErr w:type="spellEnd"/>
      <w:r w:rsidR="00155ABB" w:rsidRPr="00942C19">
        <w:rPr>
          <w:rFonts w:asciiTheme="minorHAnsi" w:hAnsiTheme="minorHAnsi" w:cstheme="minorHAnsi"/>
        </w:rPr>
        <w:t xml:space="preserve"> Nigam Limited (</w:t>
      </w:r>
      <w:r w:rsidR="00DC3B91" w:rsidRPr="00942C19">
        <w:rPr>
          <w:rFonts w:asciiTheme="minorHAnsi" w:hAnsiTheme="minorHAnsi" w:cstheme="minorHAnsi"/>
        </w:rPr>
        <w:t>MVVNL</w:t>
      </w:r>
      <w:r w:rsidR="007D1506" w:rsidRPr="00942C19">
        <w:rPr>
          <w:rFonts w:asciiTheme="minorHAnsi" w:hAnsiTheme="minorHAnsi" w:cstheme="minorHAnsi"/>
        </w:rPr>
        <w:t>)</w:t>
      </w:r>
    </w:p>
    <w:p w:rsidR="009756E5" w:rsidRPr="00942C19" w:rsidRDefault="009756E5" w:rsidP="00447DA3">
      <w:pPr>
        <w:pStyle w:val="Default"/>
        <w:spacing w:line="276" w:lineRule="auto"/>
        <w:jc w:val="both"/>
        <w:rPr>
          <w:rFonts w:asciiTheme="minorHAnsi" w:hAnsiTheme="minorHAnsi" w:cstheme="minorHAnsi"/>
        </w:rPr>
      </w:pPr>
    </w:p>
    <w:p w:rsidR="009756E5" w:rsidRPr="00942C19" w:rsidRDefault="009756E5" w:rsidP="00447DA3">
      <w:pPr>
        <w:pStyle w:val="Default"/>
        <w:spacing w:line="276" w:lineRule="auto"/>
        <w:jc w:val="both"/>
        <w:rPr>
          <w:rFonts w:asciiTheme="minorHAnsi" w:hAnsiTheme="minorHAnsi" w:cstheme="minorHAnsi"/>
        </w:rPr>
      </w:pPr>
    </w:p>
    <w:p w:rsidR="009756E5" w:rsidRPr="00942C19" w:rsidRDefault="009756E5" w:rsidP="00447DA3">
      <w:pPr>
        <w:pStyle w:val="Default"/>
        <w:spacing w:line="276" w:lineRule="auto"/>
        <w:jc w:val="both"/>
        <w:rPr>
          <w:rFonts w:asciiTheme="minorHAnsi" w:hAnsiTheme="minorHAnsi" w:cstheme="minorHAnsi"/>
          <w:b/>
          <w:bCs/>
        </w:rPr>
      </w:pPr>
      <w:r w:rsidRPr="00942C19">
        <w:rPr>
          <w:rFonts w:asciiTheme="minorHAnsi" w:hAnsiTheme="minorHAnsi" w:cstheme="minorHAnsi"/>
          <w:b/>
          <w:bCs/>
        </w:rPr>
        <w:t xml:space="preserve"> </w:t>
      </w:r>
    </w:p>
    <w:p w:rsidR="009756E5" w:rsidRPr="00942C19" w:rsidRDefault="009756E5" w:rsidP="00447DA3">
      <w:pPr>
        <w:pStyle w:val="Default"/>
        <w:spacing w:line="276" w:lineRule="auto"/>
        <w:jc w:val="both"/>
        <w:rPr>
          <w:rFonts w:asciiTheme="minorHAnsi" w:hAnsiTheme="minorHAnsi" w:cstheme="minorHAnsi"/>
        </w:rPr>
      </w:pPr>
    </w:p>
    <w:p w:rsidR="009756E5" w:rsidRPr="00942C19" w:rsidRDefault="009756E5" w:rsidP="00447DA3">
      <w:pPr>
        <w:pStyle w:val="Default"/>
        <w:spacing w:line="276" w:lineRule="auto"/>
        <w:jc w:val="center"/>
        <w:rPr>
          <w:rFonts w:asciiTheme="minorHAnsi" w:hAnsiTheme="minorHAnsi" w:cstheme="minorHAnsi"/>
          <w:b/>
          <w:bCs/>
          <w:u w:val="single"/>
        </w:rPr>
      </w:pPr>
      <w:r w:rsidRPr="00942C19">
        <w:rPr>
          <w:rFonts w:asciiTheme="minorHAnsi" w:hAnsiTheme="minorHAnsi" w:cstheme="minorHAnsi"/>
          <w:b/>
          <w:bCs/>
          <w:u w:val="single"/>
        </w:rPr>
        <w:t>ORDER</w:t>
      </w:r>
    </w:p>
    <w:p w:rsidR="009756E5" w:rsidRPr="00942C19" w:rsidRDefault="009756E5" w:rsidP="00447DA3">
      <w:pPr>
        <w:pStyle w:val="Default"/>
        <w:spacing w:line="276" w:lineRule="auto"/>
        <w:jc w:val="both"/>
        <w:rPr>
          <w:rFonts w:asciiTheme="minorHAnsi" w:hAnsiTheme="minorHAnsi" w:cstheme="minorHAnsi"/>
        </w:rPr>
      </w:pPr>
    </w:p>
    <w:p w:rsidR="00B377F5" w:rsidRPr="00942C19" w:rsidRDefault="004A205B" w:rsidP="00447DA3">
      <w:pPr>
        <w:rPr>
          <w:rFonts w:asciiTheme="minorHAnsi" w:hAnsiTheme="minorHAnsi" w:cstheme="minorHAnsi"/>
        </w:rPr>
      </w:pPr>
      <w:r w:rsidRPr="00942C19">
        <w:rPr>
          <w:rFonts w:asciiTheme="minorHAnsi" w:hAnsiTheme="minorHAnsi" w:cstheme="minorHAnsi"/>
        </w:rPr>
        <w:t xml:space="preserve">The Commission having initiated </w:t>
      </w:r>
      <w:proofErr w:type="spellStart"/>
      <w:r w:rsidRPr="00942C19">
        <w:rPr>
          <w:rFonts w:asciiTheme="minorHAnsi" w:hAnsiTheme="minorHAnsi" w:cstheme="minorHAnsi"/>
        </w:rPr>
        <w:t>suo-motu</w:t>
      </w:r>
      <w:proofErr w:type="spellEnd"/>
      <w:r w:rsidRPr="00942C19">
        <w:rPr>
          <w:rFonts w:asciiTheme="minorHAnsi" w:hAnsiTheme="minorHAnsi" w:cstheme="minorHAnsi"/>
        </w:rPr>
        <w:t xml:space="preserve"> proceedings for determination of Aggregate Revenue Requirement (ARR) and Determination of Tariff for FY 2013-14 and having considered the views / comments / suggestions / objections / representations received from the stakeholders during the course of the above proceedings and also in the public hearings held, in exercise of power vested under Sections 61, 62, 64 and 86 of the Electricity Act, 2003 (hereinafter referred to as ‘the Act’), hereby pass this Order signed, dated and issued on 31st May, 2013. The Licensee, in accordance with Section 139 of the Uttar Pradesh Electricity Regulatory Commission (Conduct of Business) Regulations, 2004, shall publish the approved tariffs and regulatory surcharge within three days from the date of this Order. The tariffs so published shall become the notified tariffs and shall come into force after seven days from the date of such publication of the tariffs, and unless amended or revoked, shall continue to be in force till issuance of the next Tariff Order. The regulatory surcharge so published shall come into force after seven days from the date of its publication and shall be in force till 31st March, 201</w:t>
      </w:r>
      <w:r w:rsidR="00525905" w:rsidRPr="00942C19">
        <w:rPr>
          <w:rFonts w:asciiTheme="minorHAnsi" w:hAnsiTheme="minorHAnsi" w:cstheme="minorHAnsi"/>
        </w:rPr>
        <w:t>4</w:t>
      </w:r>
      <w:r w:rsidRPr="00942C19">
        <w:rPr>
          <w:rFonts w:asciiTheme="minorHAnsi" w:hAnsiTheme="minorHAnsi" w:cstheme="minorHAnsi"/>
        </w:rPr>
        <w:t>, unless amended or extended by the Commission through an Order.</w:t>
      </w:r>
    </w:p>
    <w:p w:rsidR="009756E5" w:rsidRPr="00942C19" w:rsidRDefault="009756E5" w:rsidP="007E7104">
      <w:pPr>
        <w:pStyle w:val="Heading1"/>
      </w:pPr>
      <w:bookmarkStart w:id="0" w:name="_Toc357679698"/>
      <w:bookmarkStart w:id="1" w:name="_Toc357679832"/>
      <w:bookmarkStart w:id="2" w:name="_Toc357679954"/>
      <w:bookmarkStart w:id="3" w:name="_Toc357680052"/>
      <w:bookmarkStart w:id="4" w:name="_Toc357684050"/>
      <w:bookmarkStart w:id="5" w:name="_Toc357685490"/>
      <w:bookmarkStart w:id="6" w:name="_Toc357696064"/>
      <w:bookmarkStart w:id="7" w:name="_Toc357714346"/>
      <w:bookmarkEnd w:id="0"/>
      <w:bookmarkEnd w:id="1"/>
      <w:bookmarkEnd w:id="2"/>
      <w:bookmarkEnd w:id="3"/>
      <w:bookmarkEnd w:id="4"/>
      <w:bookmarkEnd w:id="5"/>
      <w:bookmarkEnd w:id="6"/>
      <w:r w:rsidRPr="00942C19">
        <w:lastRenderedPageBreak/>
        <w:t>BACKGROUND</w:t>
      </w:r>
      <w:r w:rsidR="00FA6307" w:rsidRPr="00942C19">
        <w:t xml:space="preserve"> </w:t>
      </w:r>
      <w:r w:rsidRPr="00942C19">
        <w:t>AND BRIEF HISTORY</w:t>
      </w:r>
      <w:bookmarkEnd w:id="7"/>
    </w:p>
    <w:p w:rsidR="007F0CF2" w:rsidRPr="00942C19" w:rsidRDefault="007F0CF2" w:rsidP="007F0CF2">
      <w:pPr>
        <w:pStyle w:val="Heading2"/>
        <w:numPr>
          <w:ilvl w:val="0"/>
          <w:numId w:val="0"/>
        </w:numPr>
        <w:ind w:left="780"/>
      </w:pPr>
    </w:p>
    <w:p w:rsidR="009756E5" w:rsidRPr="00942C19" w:rsidRDefault="009756E5" w:rsidP="009727FE">
      <w:pPr>
        <w:pStyle w:val="Heading2"/>
        <w:numPr>
          <w:ilvl w:val="1"/>
          <w:numId w:val="6"/>
        </w:numPr>
      </w:pPr>
      <w:bookmarkStart w:id="8" w:name="_Toc357714347"/>
      <w:r w:rsidRPr="00942C19">
        <w:t>BACKGROUND:</w:t>
      </w:r>
      <w:bookmarkEnd w:id="8"/>
    </w:p>
    <w:p w:rsidR="0037072A" w:rsidRPr="00942C19" w:rsidRDefault="0037072A" w:rsidP="004277C0">
      <w:pPr>
        <w:pStyle w:val="Heading3"/>
        <w:tabs>
          <w:tab w:val="clear" w:pos="720"/>
          <w:tab w:val="clear" w:pos="936"/>
          <w:tab w:val="num" w:pos="993"/>
        </w:tabs>
        <w:spacing w:before="240" w:after="240"/>
        <w:ind w:left="993"/>
      </w:pPr>
      <w:r w:rsidRPr="00942C19">
        <w:t>The Uttar Pradesh Electricity Regulatory Commission (UPERC) was formed under U.P. Electricity Reform Act, 1999 by Government of Uttar Pradesh (</w:t>
      </w:r>
      <w:proofErr w:type="spellStart"/>
      <w:r w:rsidRPr="00942C19">
        <w:t>GoUP</w:t>
      </w:r>
      <w:proofErr w:type="spellEnd"/>
      <w:r w:rsidRPr="00942C19">
        <w:t>) in one of the first steps of reforms &amp; restructuring process of the power sector in the State. Thereafter, in pursuance of the reforms &amp; restructuring process</w:t>
      </w:r>
      <w:r w:rsidR="00244A32" w:rsidRPr="00942C19">
        <w:t>,</w:t>
      </w:r>
      <w:r w:rsidRPr="00942C19">
        <w:t xml:space="preserve"> the erstwhile Uttar Pradesh State Electricity Board (UPSEB) was unbundled into the following three separate entities through the first reforms </w:t>
      </w:r>
      <w:r w:rsidR="00A24A40" w:rsidRPr="00942C19">
        <w:t>T</w:t>
      </w:r>
      <w:r w:rsidRPr="00942C19">
        <w:t xml:space="preserve">ransfer </w:t>
      </w:r>
      <w:r w:rsidR="00A24A40" w:rsidRPr="00942C19">
        <w:t>S</w:t>
      </w:r>
      <w:r w:rsidRPr="00942C19">
        <w:t>cheme dated 14</w:t>
      </w:r>
      <w:r w:rsidRPr="00942C19">
        <w:rPr>
          <w:vertAlign w:val="superscript"/>
        </w:rPr>
        <w:t>th</w:t>
      </w:r>
      <w:r w:rsidRPr="00942C19">
        <w:t xml:space="preserve"> January, 2000: </w:t>
      </w:r>
    </w:p>
    <w:p w:rsidR="0037072A" w:rsidRPr="00942C19" w:rsidRDefault="0037072A" w:rsidP="0037072A">
      <w:pPr>
        <w:autoSpaceDE w:val="0"/>
        <w:autoSpaceDN w:val="0"/>
        <w:adjustRightInd w:val="0"/>
        <w:ind w:left="1440"/>
        <w:rPr>
          <w:rFonts w:asciiTheme="minorHAnsi" w:hAnsiTheme="minorHAnsi" w:cstheme="minorHAnsi"/>
          <w:color w:val="000000"/>
        </w:rPr>
      </w:pPr>
      <w:r w:rsidRPr="00942C19">
        <w:rPr>
          <w:rFonts w:asciiTheme="minorHAnsi" w:hAnsiTheme="minorHAnsi" w:cstheme="minorHAnsi"/>
          <w:color w:val="000000"/>
        </w:rPr>
        <w:t xml:space="preserve">- Uttar Pradesh Power Corporation Limited (UPPCL): vested with the function of Transmission and Distribution within the State. </w:t>
      </w:r>
    </w:p>
    <w:p w:rsidR="0037072A" w:rsidRPr="00942C19" w:rsidRDefault="0037072A" w:rsidP="0037072A">
      <w:pPr>
        <w:autoSpaceDE w:val="0"/>
        <w:autoSpaceDN w:val="0"/>
        <w:adjustRightInd w:val="0"/>
        <w:ind w:left="1440"/>
        <w:rPr>
          <w:rFonts w:asciiTheme="minorHAnsi" w:hAnsiTheme="minorHAnsi" w:cstheme="minorHAnsi"/>
          <w:color w:val="000000"/>
        </w:rPr>
      </w:pPr>
      <w:r w:rsidRPr="00942C19">
        <w:rPr>
          <w:rFonts w:asciiTheme="minorHAnsi" w:hAnsiTheme="minorHAnsi" w:cstheme="minorHAnsi"/>
          <w:color w:val="000000"/>
        </w:rPr>
        <w:t xml:space="preserve">- Uttar Pradesh </w:t>
      </w:r>
      <w:proofErr w:type="spellStart"/>
      <w:r w:rsidRPr="00942C19">
        <w:rPr>
          <w:rFonts w:asciiTheme="minorHAnsi" w:hAnsiTheme="minorHAnsi" w:cstheme="minorHAnsi"/>
          <w:color w:val="000000"/>
        </w:rPr>
        <w:t>Rajya</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Vidyut</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Utpadan</w:t>
      </w:r>
      <w:proofErr w:type="spellEnd"/>
      <w:r w:rsidRPr="00942C19">
        <w:rPr>
          <w:rFonts w:asciiTheme="minorHAnsi" w:hAnsiTheme="minorHAnsi" w:cstheme="minorHAnsi"/>
          <w:color w:val="000000"/>
        </w:rPr>
        <w:t xml:space="preserve"> Nigam Limited (UPRVUNL): vested with the function of Thermal Generation within the State </w:t>
      </w:r>
    </w:p>
    <w:p w:rsidR="0037072A" w:rsidRPr="00942C19" w:rsidRDefault="0037072A" w:rsidP="0037072A">
      <w:pPr>
        <w:autoSpaceDE w:val="0"/>
        <w:autoSpaceDN w:val="0"/>
        <w:adjustRightInd w:val="0"/>
        <w:ind w:left="1440"/>
        <w:rPr>
          <w:rFonts w:asciiTheme="minorHAnsi" w:hAnsiTheme="minorHAnsi" w:cstheme="minorHAnsi"/>
          <w:color w:val="000000"/>
        </w:rPr>
      </w:pPr>
      <w:r w:rsidRPr="00942C19">
        <w:rPr>
          <w:rFonts w:asciiTheme="minorHAnsi" w:hAnsiTheme="minorHAnsi" w:cstheme="minorHAnsi"/>
          <w:color w:val="000000"/>
        </w:rPr>
        <w:t xml:space="preserve">- Uttar Pradesh </w:t>
      </w:r>
      <w:proofErr w:type="spellStart"/>
      <w:r w:rsidRPr="00942C19">
        <w:rPr>
          <w:rFonts w:asciiTheme="minorHAnsi" w:hAnsiTheme="minorHAnsi" w:cstheme="minorHAnsi"/>
          <w:color w:val="000000"/>
        </w:rPr>
        <w:t>Jal</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Vidyut</w:t>
      </w:r>
      <w:proofErr w:type="spellEnd"/>
      <w:r w:rsidRPr="00942C19">
        <w:rPr>
          <w:rFonts w:asciiTheme="minorHAnsi" w:hAnsiTheme="minorHAnsi" w:cstheme="minorHAnsi"/>
          <w:color w:val="000000"/>
        </w:rPr>
        <w:t xml:space="preserve"> Nigam Limited (UPJVNL): vested with the function of Hydro Generation within the State. </w:t>
      </w:r>
    </w:p>
    <w:p w:rsidR="0037072A" w:rsidRPr="00942C19" w:rsidRDefault="0037072A" w:rsidP="0037072A">
      <w:pPr>
        <w:pStyle w:val="Heading3"/>
        <w:tabs>
          <w:tab w:val="clear" w:pos="720"/>
          <w:tab w:val="clear" w:pos="936"/>
          <w:tab w:val="num" w:pos="993"/>
        </w:tabs>
        <w:spacing w:before="240" w:after="240"/>
        <w:ind w:left="993"/>
      </w:pPr>
      <w:r w:rsidRPr="00942C19">
        <w:t xml:space="preserve">Through another </w:t>
      </w:r>
      <w:r w:rsidR="00A24A40" w:rsidRPr="00942C19">
        <w:t>Transfer Scheme</w:t>
      </w:r>
      <w:r w:rsidRPr="00942C19">
        <w:t xml:space="preserve"> dated 15</w:t>
      </w:r>
      <w:r w:rsidRPr="00942C19">
        <w:rPr>
          <w:vertAlign w:val="superscript"/>
        </w:rPr>
        <w:t>th</w:t>
      </w:r>
      <w:r w:rsidRPr="00942C19">
        <w:t xml:space="preserve"> January, 2000, assets, liabilities and personnel of Kanpur Electricity Supply Authority (KESA) under UPSEB were transferred to Kanpur Electricity Supply Company Limited (</w:t>
      </w:r>
      <w:r w:rsidR="00D31494" w:rsidRPr="00942C19">
        <w:t>KESCO</w:t>
      </w:r>
      <w:r w:rsidRPr="00942C19">
        <w:t>), a company registered under the Companies Act, 1956.</w:t>
      </w:r>
      <w:r w:rsidR="009756E5" w:rsidRPr="00942C19">
        <w:t xml:space="preserve"> </w:t>
      </w:r>
    </w:p>
    <w:p w:rsidR="0037072A" w:rsidRPr="00942C19" w:rsidRDefault="0037072A" w:rsidP="004277C0">
      <w:pPr>
        <w:pStyle w:val="Heading3"/>
        <w:tabs>
          <w:tab w:val="clear" w:pos="720"/>
          <w:tab w:val="clear" w:pos="936"/>
          <w:tab w:val="num" w:pos="993"/>
        </w:tabs>
        <w:spacing w:before="240" w:after="240"/>
        <w:ind w:left="993"/>
      </w:pPr>
      <w:r w:rsidRPr="00942C19">
        <w:t>After the enactment of the Electricity Act, 2003 (EA 2003) the need was felt for further unbundling of UPPCL (responsible for both Transmission and Distribution functions) along functional lines. Therefore, the following four new distribution companies (hereinafter collectively referred to as ‘</w:t>
      </w:r>
      <w:proofErr w:type="spellStart"/>
      <w:r w:rsidRPr="00942C19">
        <w:t>Discoms</w:t>
      </w:r>
      <w:proofErr w:type="spellEnd"/>
      <w:r w:rsidRPr="00942C19">
        <w:t>’) were created vide Uttar Pradesh Transfer of Distribution Undertaking Scheme, 2003 dated 12</w:t>
      </w:r>
      <w:r w:rsidRPr="00942C19">
        <w:rPr>
          <w:vertAlign w:val="superscript"/>
        </w:rPr>
        <w:t>th</w:t>
      </w:r>
      <w:r w:rsidRPr="00942C19">
        <w:t xml:space="preserve"> August, 2003 to undertake distribution and supply of electricity in the areas under their respective zones specified in the scheme: </w:t>
      </w:r>
    </w:p>
    <w:p w:rsidR="0037072A" w:rsidRPr="00942C19"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proofErr w:type="spellStart"/>
      <w:r w:rsidRPr="00942C19">
        <w:rPr>
          <w:rFonts w:asciiTheme="minorHAnsi" w:hAnsiTheme="minorHAnsi" w:cstheme="minorHAnsi"/>
          <w:color w:val="000000"/>
        </w:rPr>
        <w:t>Dakshinanchal</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Vidyut</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Vitran</w:t>
      </w:r>
      <w:proofErr w:type="spellEnd"/>
      <w:r w:rsidRPr="00942C19">
        <w:rPr>
          <w:rFonts w:asciiTheme="minorHAnsi" w:hAnsiTheme="minorHAnsi" w:cstheme="minorHAnsi"/>
          <w:color w:val="000000"/>
        </w:rPr>
        <w:t xml:space="preserve"> Nigam Limited (Agra </w:t>
      </w:r>
      <w:proofErr w:type="spellStart"/>
      <w:r w:rsidRPr="00942C19">
        <w:rPr>
          <w:rFonts w:asciiTheme="minorHAnsi" w:hAnsiTheme="minorHAnsi" w:cstheme="minorHAnsi"/>
          <w:color w:val="000000"/>
        </w:rPr>
        <w:t>Discom</w:t>
      </w:r>
      <w:proofErr w:type="spellEnd"/>
      <w:r w:rsidRPr="00942C19">
        <w:rPr>
          <w:rFonts w:asciiTheme="minorHAnsi" w:hAnsiTheme="minorHAnsi" w:cstheme="minorHAnsi"/>
          <w:color w:val="000000"/>
        </w:rPr>
        <w:t xml:space="preserve"> or DVVNL) </w:t>
      </w:r>
    </w:p>
    <w:p w:rsidR="0037072A" w:rsidRPr="00942C19"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proofErr w:type="spellStart"/>
      <w:r w:rsidRPr="00942C19">
        <w:rPr>
          <w:rFonts w:asciiTheme="minorHAnsi" w:hAnsiTheme="minorHAnsi" w:cstheme="minorHAnsi"/>
          <w:color w:val="000000"/>
        </w:rPr>
        <w:t>Madhyanchal</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Vidyut</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Vitran</w:t>
      </w:r>
      <w:proofErr w:type="spellEnd"/>
      <w:r w:rsidRPr="00942C19">
        <w:rPr>
          <w:rFonts w:asciiTheme="minorHAnsi" w:hAnsiTheme="minorHAnsi" w:cstheme="minorHAnsi"/>
          <w:color w:val="000000"/>
        </w:rPr>
        <w:t xml:space="preserve"> Nigam Limited (</w:t>
      </w:r>
      <w:proofErr w:type="spellStart"/>
      <w:r w:rsidRPr="00942C19">
        <w:rPr>
          <w:rFonts w:asciiTheme="minorHAnsi" w:hAnsiTheme="minorHAnsi" w:cstheme="minorHAnsi"/>
          <w:color w:val="000000"/>
        </w:rPr>
        <w:t>Lucknow</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Discom</w:t>
      </w:r>
      <w:proofErr w:type="spellEnd"/>
      <w:r w:rsidRPr="00942C19">
        <w:rPr>
          <w:rFonts w:asciiTheme="minorHAnsi" w:hAnsiTheme="minorHAnsi" w:cstheme="minorHAnsi"/>
          <w:color w:val="000000"/>
        </w:rPr>
        <w:t xml:space="preserve"> or MVVNL) </w:t>
      </w:r>
    </w:p>
    <w:p w:rsidR="0037072A" w:rsidRPr="00942C19"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proofErr w:type="spellStart"/>
      <w:r w:rsidRPr="00942C19">
        <w:rPr>
          <w:rFonts w:asciiTheme="minorHAnsi" w:hAnsiTheme="minorHAnsi" w:cstheme="minorHAnsi"/>
          <w:color w:val="000000"/>
        </w:rPr>
        <w:t>Paschimanchal</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Vidyut</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Vitran</w:t>
      </w:r>
      <w:proofErr w:type="spellEnd"/>
      <w:r w:rsidRPr="00942C19">
        <w:rPr>
          <w:rFonts w:asciiTheme="minorHAnsi" w:hAnsiTheme="minorHAnsi" w:cstheme="minorHAnsi"/>
          <w:color w:val="000000"/>
        </w:rPr>
        <w:t xml:space="preserve"> Nigam Limited (Meerut </w:t>
      </w:r>
      <w:proofErr w:type="spellStart"/>
      <w:r w:rsidRPr="00942C19">
        <w:rPr>
          <w:rFonts w:asciiTheme="minorHAnsi" w:hAnsiTheme="minorHAnsi" w:cstheme="minorHAnsi"/>
          <w:color w:val="000000"/>
        </w:rPr>
        <w:t>Discom</w:t>
      </w:r>
      <w:proofErr w:type="spellEnd"/>
      <w:r w:rsidRPr="00942C19">
        <w:rPr>
          <w:rFonts w:asciiTheme="minorHAnsi" w:hAnsiTheme="minorHAnsi" w:cstheme="minorHAnsi"/>
          <w:color w:val="000000"/>
        </w:rPr>
        <w:t xml:space="preserve"> or PVVNL) </w:t>
      </w:r>
    </w:p>
    <w:p w:rsidR="009756E5" w:rsidRPr="00942C19"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proofErr w:type="spellStart"/>
      <w:r w:rsidRPr="00942C19">
        <w:rPr>
          <w:rFonts w:asciiTheme="minorHAnsi" w:hAnsiTheme="minorHAnsi" w:cstheme="minorHAnsi"/>
          <w:color w:val="000000"/>
        </w:rPr>
        <w:t>Purvanchal</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Vidyut</w:t>
      </w:r>
      <w:proofErr w:type="spellEnd"/>
      <w:r w:rsidRPr="00942C19">
        <w:rPr>
          <w:rFonts w:asciiTheme="minorHAnsi" w:hAnsiTheme="minorHAnsi" w:cstheme="minorHAnsi"/>
          <w:color w:val="000000"/>
        </w:rPr>
        <w:t xml:space="preserve"> </w:t>
      </w:r>
      <w:proofErr w:type="spellStart"/>
      <w:r w:rsidRPr="00942C19">
        <w:rPr>
          <w:rFonts w:asciiTheme="minorHAnsi" w:hAnsiTheme="minorHAnsi" w:cstheme="minorHAnsi"/>
          <w:color w:val="000000"/>
        </w:rPr>
        <w:t>Vitran</w:t>
      </w:r>
      <w:proofErr w:type="spellEnd"/>
      <w:r w:rsidRPr="00942C19">
        <w:rPr>
          <w:rFonts w:asciiTheme="minorHAnsi" w:hAnsiTheme="minorHAnsi" w:cstheme="minorHAnsi"/>
          <w:color w:val="000000"/>
        </w:rPr>
        <w:t xml:space="preserve"> Nigam Limited (Varanasi </w:t>
      </w:r>
      <w:proofErr w:type="spellStart"/>
      <w:r w:rsidRPr="00942C19">
        <w:rPr>
          <w:rFonts w:asciiTheme="minorHAnsi" w:hAnsiTheme="minorHAnsi" w:cstheme="minorHAnsi"/>
          <w:color w:val="000000"/>
        </w:rPr>
        <w:t>Discom</w:t>
      </w:r>
      <w:proofErr w:type="spellEnd"/>
      <w:r w:rsidRPr="00942C19">
        <w:rPr>
          <w:rFonts w:asciiTheme="minorHAnsi" w:hAnsiTheme="minorHAnsi" w:cstheme="minorHAnsi"/>
          <w:color w:val="000000"/>
        </w:rPr>
        <w:t xml:space="preserve"> or </w:t>
      </w:r>
      <w:proofErr w:type="spellStart"/>
      <w:r w:rsidRPr="00942C19">
        <w:rPr>
          <w:rFonts w:asciiTheme="minorHAnsi" w:hAnsiTheme="minorHAnsi" w:cstheme="minorHAnsi"/>
          <w:color w:val="000000"/>
        </w:rPr>
        <w:t>PuVVNL</w:t>
      </w:r>
      <w:proofErr w:type="spellEnd"/>
      <w:r w:rsidRPr="00942C19">
        <w:rPr>
          <w:rFonts w:asciiTheme="minorHAnsi" w:hAnsiTheme="minorHAnsi" w:cstheme="minorHAnsi"/>
          <w:color w:val="000000"/>
        </w:rPr>
        <w:t>)</w:t>
      </w:r>
    </w:p>
    <w:p w:rsidR="00BB7051" w:rsidRPr="00942C19" w:rsidRDefault="0037072A" w:rsidP="004277C0">
      <w:pPr>
        <w:pStyle w:val="Heading3"/>
        <w:tabs>
          <w:tab w:val="clear" w:pos="720"/>
          <w:tab w:val="clear" w:pos="936"/>
          <w:tab w:val="num" w:pos="993"/>
        </w:tabs>
        <w:spacing w:before="240" w:after="240"/>
        <w:ind w:left="993"/>
        <w:rPr>
          <w:rFonts w:asciiTheme="minorHAnsi" w:hAnsiTheme="minorHAnsi" w:cstheme="minorHAnsi"/>
          <w:color w:val="000000"/>
        </w:rPr>
      </w:pPr>
      <w:r w:rsidRPr="00942C19">
        <w:lastRenderedPageBreak/>
        <w:t xml:space="preserve">Under this scheme, the role of UPPCL was specified as “Bulk Supply </w:t>
      </w:r>
      <w:r w:rsidR="009A3804" w:rsidRPr="00942C19">
        <w:t>Licensee</w:t>
      </w:r>
      <w:r w:rsidRPr="00942C19">
        <w:t>” as per the license granted by this Commission and as “State Transmission Utility” under sub-section (1) of Section 27-B of the Indian Electricity Act, 1910 as notified by the State Government.</w:t>
      </w:r>
    </w:p>
    <w:p w:rsidR="009756E5" w:rsidRPr="00942C19" w:rsidRDefault="0037072A" w:rsidP="004277C0">
      <w:pPr>
        <w:pStyle w:val="Heading3"/>
        <w:tabs>
          <w:tab w:val="clear" w:pos="720"/>
          <w:tab w:val="clear" w:pos="936"/>
          <w:tab w:val="num" w:pos="993"/>
        </w:tabs>
        <w:spacing w:before="240" w:after="240"/>
        <w:ind w:left="993"/>
      </w:pPr>
      <w:r w:rsidRPr="00942C19">
        <w:t xml:space="preserve">Subsequently, the Uttar Pradesh Power Transmission Corporation Limited (UPPTCL), a Transmission Company (Transco), was incorporated under the Companies Act, 1956 by an amendment in the ‘Object and Name’ clause of the Uttar Pradesh </w:t>
      </w:r>
      <w:proofErr w:type="spellStart"/>
      <w:r w:rsidRPr="00942C19">
        <w:t>Vidyut</w:t>
      </w:r>
      <w:proofErr w:type="spellEnd"/>
      <w:r w:rsidRPr="00942C19">
        <w:t xml:space="preserve"> </w:t>
      </w:r>
      <w:proofErr w:type="spellStart"/>
      <w:r w:rsidRPr="00942C19">
        <w:t>Vyapar</w:t>
      </w:r>
      <w:proofErr w:type="spellEnd"/>
      <w:r w:rsidRPr="00942C19">
        <w:t xml:space="preserve"> Nigam Limited. The Transco is entrusted with the business of transmission of electrical energy to various utilities within the State of Uttar Pradesh. This function was earlier vested with UPPCL. Further, Government of Uttar Pradesh (</w:t>
      </w:r>
      <w:proofErr w:type="spellStart"/>
      <w:r w:rsidRPr="00942C19">
        <w:t>GoUP</w:t>
      </w:r>
      <w:proofErr w:type="spellEnd"/>
      <w:r w:rsidRPr="00942C19">
        <w:t>), in exercise of power under the Section 30 of the EA 2003, vide notification No. 122/U.N.N.P/24-07 dated 18</w:t>
      </w:r>
      <w:r w:rsidRPr="00942C19">
        <w:rPr>
          <w:vertAlign w:val="superscript"/>
        </w:rPr>
        <w:t>th</w:t>
      </w:r>
      <w:r w:rsidRPr="00942C19">
        <w:t xml:space="preserve"> July, 2007 notified Uttar Pradesh Power Transmission Corporation Limited as the “State Transmission Utility” of Uttar Pradesh. Subsequently, on 23</w:t>
      </w:r>
      <w:r w:rsidRPr="00942C19">
        <w:rPr>
          <w:vertAlign w:val="superscript"/>
        </w:rPr>
        <w:t>rd</w:t>
      </w:r>
      <w:r w:rsidRPr="00942C19">
        <w:t xml:space="preserve"> December 2010, the Government of Uttar Pradesh notified the Uttar Pradesh Electricity Reforms (Transfer of Transmission and Related Activities Including the Assets, Liabilities and Related Proceedings) Scheme, 2010 which provided for the transfer of assets and liabilities from UPPCL to UPPTCL with effect from 1</w:t>
      </w:r>
      <w:r w:rsidRPr="00942C19">
        <w:rPr>
          <w:vertAlign w:val="superscript"/>
        </w:rPr>
        <w:t>st</w:t>
      </w:r>
      <w:r w:rsidRPr="00942C19">
        <w:t xml:space="preserve"> April, 2007.</w:t>
      </w:r>
    </w:p>
    <w:p w:rsidR="009756E5" w:rsidRPr="00942C19" w:rsidRDefault="0037072A" w:rsidP="004277C0">
      <w:pPr>
        <w:pStyle w:val="Heading3"/>
        <w:tabs>
          <w:tab w:val="clear" w:pos="720"/>
          <w:tab w:val="clear" w:pos="936"/>
          <w:tab w:val="num" w:pos="993"/>
        </w:tabs>
        <w:spacing w:before="240" w:after="240"/>
        <w:ind w:left="993"/>
      </w:pPr>
      <w:r w:rsidRPr="00942C19">
        <w:t>Thereafter, on 21</w:t>
      </w:r>
      <w:r w:rsidRPr="00942C19">
        <w:rPr>
          <w:vertAlign w:val="superscript"/>
        </w:rPr>
        <w:t>st</w:t>
      </w:r>
      <w:r w:rsidRPr="00942C19">
        <w:t xml:space="preserve"> January, 2010, as the successor distribution companies of UPPCL (a deemed </w:t>
      </w:r>
      <w:r w:rsidR="009A3804" w:rsidRPr="00942C19">
        <w:t>Licensee</w:t>
      </w:r>
      <w:r w:rsidRPr="00942C19">
        <w:t xml:space="preserve">), the </w:t>
      </w:r>
      <w:proofErr w:type="spellStart"/>
      <w:r w:rsidRPr="00942C19">
        <w:t>Discoms</w:t>
      </w:r>
      <w:proofErr w:type="spellEnd"/>
      <w:r w:rsidRPr="00942C19">
        <w:t xml:space="preserve"> which were created through the notification of the UP Power Sector Reforms (Transfer of Distribution Undertakings) Scheme, 2003 and were issued fresh distribution licenses which replaced the UP Power Corporation Ltd (UPPCL) Distribution, Retail &amp; Bulk Supply License, 2000.</w:t>
      </w:r>
    </w:p>
    <w:p w:rsidR="00BB7051" w:rsidRPr="00942C19" w:rsidRDefault="00BB7051" w:rsidP="00447DA3">
      <w:pPr>
        <w:pStyle w:val="Default"/>
        <w:spacing w:line="276" w:lineRule="auto"/>
        <w:jc w:val="both"/>
        <w:rPr>
          <w:rFonts w:asciiTheme="minorHAnsi" w:hAnsiTheme="minorHAnsi" w:cstheme="minorHAnsi"/>
        </w:rPr>
      </w:pPr>
    </w:p>
    <w:p w:rsidR="009756E5" w:rsidRPr="00942C19" w:rsidRDefault="009756E5" w:rsidP="009727FE">
      <w:pPr>
        <w:pStyle w:val="Heading2"/>
        <w:numPr>
          <w:ilvl w:val="1"/>
          <w:numId w:val="6"/>
        </w:numPr>
      </w:pPr>
      <w:bookmarkStart w:id="9" w:name="_Toc357714348"/>
      <w:r w:rsidRPr="00942C19">
        <w:t>DISTRIBUTION&amp; TRANSMISSION TARIFF REGULATIONS:</w:t>
      </w:r>
      <w:bookmarkEnd w:id="9"/>
    </w:p>
    <w:p w:rsidR="009756E5" w:rsidRPr="00942C19" w:rsidRDefault="0037072A" w:rsidP="004277C0">
      <w:pPr>
        <w:pStyle w:val="Heading3"/>
        <w:tabs>
          <w:tab w:val="clear" w:pos="720"/>
          <w:tab w:val="clear" w:pos="936"/>
          <w:tab w:val="num" w:pos="993"/>
        </w:tabs>
        <w:spacing w:before="240" w:after="240"/>
        <w:ind w:left="993"/>
      </w:pPr>
      <w:r w:rsidRPr="00942C19">
        <w:t>Uttar Pradesh Electricity Regulatory Commission (Terms and Conditions for Determination of Distribution Tariff) Regulations, 2006 (hereinafter referred to as the “Distribution Tariff Regulations”) were notified on 6</w:t>
      </w:r>
      <w:r w:rsidRPr="00942C19">
        <w:rPr>
          <w:vertAlign w:val="superscript"/>
        </w:rPr>
        <w:t>th</w:t>
      </w:r>
      <w:r w:rsidRPr="00942C19">
        <w:t xml:space="preserve"> October, 2006. These Regulations are applicable for the purposes of ARR filing and Tariff determination to all the </w:t>
      </w:r>
      <w:r w:rsidR="00244A32" w:rsidRPr="00942C19">
        <w:t>D</w:t>
      </w:r>
      <w:r w:rsidRPr="00942C19">
        <w:t xml:space="preserve">istribution </w:t>
      </w:r>
      <w:r w:rsidR="00244A32" w:rsidRPr="00942C19">
        <w:t>L</w:t>
      </w:r>
      <w:r w:rsidRPr="00942C19">
        <w:t>icensees within the State of Uttar Pradesh from FY 2007-08 onwards.</w:t>
      </w:r>
      <w:r w:rsidR="009756E5" w:rsidRPr="00942C19">
        <w:t xml:space="preserve"> </w:t>
      </w:r>
    </w:p>
    <w:p w:rsidR="009756E5" w:rsidRPr="00942C19" w:rsidRDefault="0037072A" w:rsidP="004277C0">
      <w:pPr>
        <w:pStyle w:val="Heading3"/>
        <w:tabs>
          <w:tab w:val="clear" w:pos="720"/>
          <w:tab w:val="clear" w:pos="936"/>
          <w:tab w:val="num" w:pos="993"/>
        </w:tabs>
        <w:spacing w:before="240" w:after="240"/>
        <w:ind w:left="993"/>
      </w:pPr>
      <w:r w:rsidRPr="00942C19">
        <w:lastRenderedPageBreak/>
        <w:t>Similarly, the Uttar Pradesh Electricity Regulatory Commission (Terms and Conditions for Determination of Transmission Tariff) Regulations, 2006 (hereinafter referred to as the “Transmission Tariff Regulations”) were notified on 6</w:t>
      </w:r>
      <w:r w:rsidRPr="00942C19">
        <w:rPr>
          <w:vertAlign w:val="superscript"/>
        </w:rPr>
        <w:t>th</w:t>
      </w:r>
      <w:r w:rsidRPr="00942C19">
        <w:t xml:space="preserve"> October, 2006. These Regulations are applicable for the purposes of ARR filing and Tariff determination of the </w:t>
      </w:r>
      <w:r w:rsidR="00244A32" w:rsidRPr="00942C19">
        <w:t>T</w:t>
      </w:r>
      <w:r w:rsidRPr="00942C19">
        <w:t xml:space="preserve">ransmission </w:t>
      </w:r>
      <w:r w:rsidR="00244A32" w:rsidRPr="00942C19">
        <w:t>L</w:t>
      </w:r>
      <w:r w:rsidRPr="00942C19">
        <w:t>icensees within the State of Uttar Pradesh from FY 2007-08 onwards.</w:t>
      </w:r>
      <w:r w:rsidR="009756E5" w:rsidRPr="00942C19">
        <w:t xml:space="preserve"> </w:t>
      </w:r>
    </w:p>
    <w:p w:rsidR="0037072A" w:rsidRPr="00942C19" w:rsidRDefault="0037072A" w:rsidP="004277C0">
      <w:pPr>
        <w:pStyle w:val="Heading3"/>
        <w:tabs>
          <w:tab w:val="clear" w:pos="720"/>
          <w:tab w:val="clear" w:pos="936"/>
          <w:tab w:val="num" w:pos="993"/>
        </w:tabs>
        <w:spacing w:before="240" w:after="240"/>
        <w:ind w:left="993"/>
      </w:pPr>
      <w:r w:rsidRPr="00942C19">
        <w:t xml:space="preserve">The Distribution Tariff Regulations and Transmission Tariff Regulations have been collectively referred to as ‘Tariff Regulations’ in this </w:t>
      </w:r>
      <w:r w:rsidR="00244A32" w:rsidRPr="00942C19">
        <w:t>O</w:t>
      </w:r>
      <w:r w:rsidRPr="00942C19">
        <w:t>rder.</w:t>
      </w:r>
    </w:p>
    <w:p w:rsidR="009756E5" w:rsidRPr="00942C19" w:rsidRDefault="009756E5" w:rsidP="006E016C">
      <w:pPr>
        <w:pStyle w:val="Default"/>
        <w:spacing w:line="276" w:lineRule="auto"/>
        <w:jc w:val="both"/>
        <w:rPr>
          <w:rFonts w:asciiTheme="minorHAnsi" w:hAnsiTheme="minorHAnsi" w:cstheme="minorHAnsi"/>
        </w:rPr>
      </w:pPr>
    </w:p>
    <w:p w:rsidR="009756E5" w:rsidRPr="00942C19" w:rsidRDefault="009756E5" w:rsidP="006E016C">
      <w:pPr>
        <w:pStyle w:val="Default"/>
        <w:spacing w:line="276" w:lineRule="auto"/>
        <w:jc w:val="both"/>
        <w:rPr>
          <w:rFonts w:asciiTheme="minorHAnsi" w:hAnsiTheme="minorHAnsi" w:cstheme="minorHAnsi"/>
          <w:b/>
          <w:bCs/>
          <w:caps/>
          <w:color w:val="333399"/>
          <w:kern w:val="32"/>
        </w:rPr>
      </w:pPr>
      <w:bookmarkStart w:id="10" w:name="_Toc337095407"/>
      <w:bookmarkStart w:id="11" w:name="_Toc337097073"/>
      <w:bookmarkStart w:id="12" w:name="_Toc337124787"/>
      <w:bookmarkStart w:id="13" w:name="_Toc337126623"/>
      <w:bookmarkStart w:id="14" w:name="_Toc337128118"/>
      <w:bookmarkStart w:id="15" w:name="_Toc337133878"/>
      <w:bookmarkStart w:id="16" w:name="_Toc337144486"/>
      <w:bookmarkStart w:id="17" w:name="_Toc337145071"/>
      <w:bookmarkStart w:id="18" w:name="_Toc337146391"/>
      <w:bookmarkStart w:id="19" w:name="_Toc337182826"/>
      <w:bookmarkStart w:id="20" w:name="_Toc337183799"/>
      <w:bookmarkStart w:id="21" w:name="_Toc337183990"/>
      <w:bookmarkStart w:id="22" w:name="_Toc337186733"/>
      <w:bookmarkStart w:id="23" w:name="_Toc337187822"/>
      <w:bookmarkStart w:id="24" w:name="_Toc337190139"/>
      <w:bookmarkStart w:id="25" w:name="_Toc337192435"/>
      <w:bookmarkStart w:id="26" w:name="_Toc337197967"/>
      <w:bookmarkStart w:id="27" w:name="_Toc337198820"/>
      <w:bookmarkStart w:id="28" w:name="_Toc337199166"/>
      <w:bookmarkStart w:id="29" w:name="_Toc337199408"/>
      <w:bookmarkStart w:id="30" w:name="_Toc337199636"/>
      <w:bookmarkStart w:id="31" w:name="_Toc337199953"/>
      <w:bookmarkStart w:id="32" w:name="_Toc33720012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7072A" w:rsidRPr="00942C19" w:rsidRDefault="0037072A">
      <w:pPr>
        <w:spacing w:before="0" w:line="240" w:lineRule="auto"/>
        <w:jc w:val="left"/>
        <w:rPr>
          <w:rFonts w:cs="Arial"/>
          <w:b/>
          <w:bCs/>
          <w:color w:val="333399"/>
          <w:kern w:val="32"/>
          <w:szCs w:val="32"/>
        </w:rPr>
      </w:pPr>
      <w:r w:rsidRPr="00942C19">
        <w:br w:type="page"/>
      </w:r>
    </w:p>
    <w:p w:rsidR="009756E5" w:rsidRPr="00942C19" w:rsidRDefault="009756E5" w:rsidP="00772582">
      <w:pPr>
        <w:pStyle w:val="Heading1"/>
      </w:pPr>
      <w:bookmarkStart w:id="33" w:name="_Toc357714349"/>
      <w:r w:rsidRPr="00942C19">
        <w:lastRenderedPageBreak/>
        <w:t>PROCEDURAL HISTORY</w:t>
      </w:r>
      <w:bookmarkEnd w:id="33"/>
    </w:p>
    <w:p w:rsidR="00A44CA7" w:rsidRPr="00942C19" w:rsidRDefault="00A44CA7">
      <w:pPr>
        <w:autoSpaceDE w:val="0"/>
        <w:autoSpaceDN w:val="0"/>
        <w:adjustRightInd w:val="0"/>
        <w:spacing w:before="0"/>
        <w:rPr>
          <w:rFonts w:asciiTheme="minorHAnsi" w:hAnsiTheme="minorHAnsi" w:cstheme="minorHAnsi"/>
          <w:color w:val="000000"/>
        </w:rPr>
      </w:pPr>
    </w:p>
    <w:p w:rsidR="00A44CA7" w:rsidRPr="00942C19" w:rsidRDefault="009756E5">
      <w:pPr>
        <w:pStyle w:val="Heading2"/>
        <w:numPr>
          <w:ilvl w:val="1"/>
          <w:numId w:val="7"/>
        </w:numPr>
        <w:spacing w:before="0" w:after="240"/>
        <w:ind w:left="782" w:hanging="782"/>
        <w:contextualSpacing w:val="0"/>
      </w:pPr>
      <w:bookmarkStart w:id="34" w:name="_Toc357714350"/>
      <w:r w:rsidRPr="00942C19">
        <w:t>ARR &amp;</w:t>
      </w:r>
      <w:r w:rsidR="00574A89" w:rsidRPr="00942C19">
        <w:t xml:space="preserve"> </w:t>
      </w:r>
      <w:r w:rsidRPr="00942C19">
        <w:t>TARIFF</w:t>
      </w:r>
      <w:r w:rsidR="00574A89" w:rsidRPr="00942C19">
        <w:t xml:space="preserve"> </w:t>
      </w:r>
      <w:r w:rsidRPr="00942C19">
        <w:t xml:space="preserve">PETITION FILING BY THE </w:t>
      </w:r>
      <w:r w:rsidR="009A3804" w:rsidRPr="00942C19">
        <w:t>LICENSEE</w:t>
      </w:r>
      <w:r w:rsidR="00574A89" w:rsidRPr="00942C19">
        <w:t>S</w:t>
      </w:r>
      <w:bookmarkEnd w:id="34"/>
    </w:p>
    <w:p w:rsidR="009756E5" w:rsidRPr="00942C19" w:rsidRDefault="00E6432A" w:rsidP="004277C0">
      <w:pPr>
        <w:pStyle w:val="Heading3"/>
        <w:tabs>
          <w:tab w:val="clear" w:pos="720"/>
          <w:tab w:val="clear" w:pos="936"/>
          <w:tab w:val="num" w:pos="993"/>
        </w:tabs>
        <w:spacing w:before="240" w:after="240"/>
        <w:ind w:left="993"/>
      </w:pPr>
      <w:r w:rsidRPr="00942C19">
        <w:t>As per the provisions of the UPERC (Term</w:t>
      </w:r>
      <w:r w:rsidR="00574A89" w:rsidRPr="00942C19">
        <w:t>s</w:t>
      </w:r>
      <w:r w:rsidRPr="00942C19">
        <w:t xml:space="preserve"> and Condition</w:t>
      </w:r>
      <w:r w:rsidR="00574A89" w:rsidRPr="00942C19">
        <w:t>s</w:t>
      </w:r>
      <w:r w:rsidRPr="00942C19">
        <w:t xml:space="preserve"> for Determination of Distribution Tariff) Regulations, 2006, the </w:t>
      </w:r>
      <w:r w:rsidR="00244A32" w:rsidRPr="00942C19">
        <w:t>D</w:t>
      </w:r>
      <w:r w:rsidRPr="00942C19">
        <w:t xml:space="preserve">istribution </w:t>
      </w:r>
      <w:r w:rsidR="00244A32" w:rsidRPr="00942C19">
        <w:t>L</w:t>
      </w:r>
      <w:r w:rsidRPr="00942C19">
        <w:t>icensees’ are</w:t>
      </w:r>
      <w:r w:rsidR="00C768F1" w:rsidRPr="00942C19">
        <w:t xml:space="preserve"> required to file</w:t>
      </w:r>
      <w:r w:rsidR="00853DFC" w:rsidRPr="00942C19">
        <w:t xml:space="preserve"> their ARR</w:t>
      </w:r>
      <w:r w:rsidR="00574A89" w:rsidRPr="00942C19">
        <w:t xml:space="preserve"> </w:t>
      </w:r>
      <w:r w:rsidR="00CE75C0" w:rsidRPr="00942C19">
        <w:t xml:space="preserve">/ Tariff </w:t>
      </w:r>
      <w:r w:rsidR="004277C0" w:rsidRPr="00942C19">
        <w:t>P</w:t>
      </w:r>
      <w:r w:rsidR="00CE75C0" w:rsidRPr="00942C19">
        <w:t xml:space="preserve">etitions </w:t>
      </w:r>
      <w:r w:rsidR="00C768F1" w:rsidRPr="00942C19">
        <w:t xml:space="preserve">before the Commission </w:t>
      </w:r>
      <w:r w:rsidR="00CE75C0" w:rsidRPr="00942C19">
        <w:t>latest by 30</w:t>
      </w:r>
      <w:r w:rsidR="00CE75C0" w:rsidRPr="00942C19">
        <w:rPr>
          <w:vertAlign w:val="superscript"/>
        </w:rPr>
        <w:t>th</w:t>
      </w:r>
      <w:r w:rsidR="00574A89" w:rsidRPr="00942C19">
        <w:rPr>
          <w:vertAlign w:val="superscript"/>
        </w:rPr>
        <w:t xml:space="preserve"> </w:t>
      </w:r>
      <w:r w:rsidR="00CE75C0" w:rsidRPr="00942C19">
        <w:t xml:space="preserve">November each year </w:t>
      </w:r>
      <w:r w:rsidR="00C768F1" w:rsidRPr="00942C19">
        <w:t xml:space="preserve">so that the tariff can be determined and </w:t>
      </w:r>
      <w:r w:rsidR="00CE75C0" w:rsidRPr="00942C19">
        <w:t xml:space="preserve">be made applicable </w:t>
      </w:r>
      <w:r w:rsidR="00244A32" w:rsidRPr="00942C19">
        <w:t>from the 1</w:t>
      </w:r>
      <w:r w:rsidR="00785E17" w:rsidRPr="00942C19">
        <w:rPr>
          <w:vertAlign w:val="superscript"/>
        </w:rPr>
        <w:t>st</w:t>
      </w:r>
      <w:r w:rsidR="00244A32" w:rsidRPr="00942C19">
        <w:t xml:space="preserve"> of April of the </w:t>
      </w:r>
      <w:r w:rsidR="00CE75C0" w:rsidRPr="00942C19">
        <w:t>subsequent financial year.</w:t>
      </w:r>
    </w:p>
    <w:p w:rsidR="004277C0" w:rsidRPr="00942C19" w:rsidRDefault="004277C0" w:rsidP="004277C0">
      <w:pPr>
        <w:pStyle w:val="Heading3"/>
        <w:tabs>
          <w:tab w:val="clear" w:pos="720"/>
          <w:tab w:val="clear" w:pos="936"/>
          <w:tab w:val="num" w:pos="993"/>
        </w:tabs>
        <w:spacing w:before="240" w:after="240"/>
        <w:ind w:left="993"/>
      </w:pPr>
      <w:r w:rsidRPr="00942C19">
        <w:t xml:space="preserve">The ARR / Tariff Petition for FY 2013-14 was filed by </w:t>
      </w:r>
      <w:r w:rsidR="00DC3B91" w:rsidRPr="00942C19">
        <w:t xml:space="preserve">MVVNL </w:t>
      </w:r>
      <w:r w:rsidRPr="00942C19">
        <w:t>(hereinafter referred to as the ‘</w:t>
      </w:r>
      <w:r w:rsidR="009A3804" w:rsidRPr="00942C19">
        <w:t>Licensee</w:t>
      </w:r>
      <w:r w:rsidRPr="00942C19">
        <w:t>’ or the ‘</w:t>
      </w:r>
      <w:r w:rsidR="00232C13" w:rsidRPr="00942C19">
        <w:t>Petitioner</w:t>
      </w:r>
      <w:r w:rsidRPr="00942C19">
        <w:t>’) under Section 64 of the Electricity Act, 2003 on 7</w:t>
      </w:r>
      <w:r w:rsidRPr="00942C19">
        <w:rPr>
          <w:vertAlign w:val="superscript"/>
        </w:rPr>
        <w:t>th</w:t>
      </w:r>
      <w:r w:rsidRPr="00942C19">
        <w:t xml:space="preserve"> December, 2012 (Petition No. 8</w:t>
      </w:r>
      <w:r w:rsidR="00DC3B91" w:rsidRPr="00942C19">
        <w:t>65</w:t>
      </w:r>
      <w:r w:rsidRPr="00942C19">
        <w:t xml:space="preserve"> / 2012).</w:t>
      </w:r>
    </w:p>
    <w:p w:rsidR="00151933" w:rsidRPr="00942C19" w:rsidRDefault="00DA226D" w:rsidP="004277C0">
      <w:pPr>
        <w:pStyle w:val="Heading3"/>
        <w:tabs>
          <w:tab w:val="clear" w:pos="720"/>
          <w:tab w:val="clear" w:pos="936"/>
          <w:tab w:val="num" w:pos="993"/>
        </w:tabs>
        <w:spacing w:before="240" w:after="240"/>
        <w:ind w:left="993"/>
      </w:pPr>
      <w:r w:rsidRPr="00942C19">
        <w:t xml:space="preserve">The Commission observed that the </w:t>
      </w:r>
      <w:r w:rsidR="009A3804" w:rsidRPr="00942C19">
        <w:t>Licensee</w:t>
      </w:r>
      <w:r w:rsidR="00232C13" w:rsidRPr="00942C19">
        <w:t xml:space="preserve"> </w:t>
      </w:r>
      <w:r w:rsidRPr="00942C19">
        <w:t>had submitted the provisional accounts for FY 2011-12 along with the calculations of revenue gap for FY 2013-14 and the projected revenue for FY 2013-14 based on current tariff in their ARR Petitions. However, the ARR Petitions did not contain a proposal to bridge the revenue gap through tariff hike or through any other mechanism</w:t>
      </w:r>
      <w:r w:rsidR="004277C0" w:rsidRPr="00942C19">
        <w:t>.</w:t>
      </w:r>
    </w:p>
    <w:p w:rsidR="009756E5" w:rsidRPr="00942C19" w:rsidRDefault="009756E5" w:rsidP="00AE7F3A">
      <w:pPr>
        <w:spacing w:before="0"/>
        <w:rPr>
          <w:rFonts w:asciiTheme="minorHAnsi" w:hAnsiTheme="minorHAnsi" w:cstheme="minorHAnsi"/>
        </w:rPr>
      </w:pPr>
    </w:p>
    <w:p w:rsidR="009756E5" w:rsidRPr="00942C19" w:rsidRDefault="009756E5" w:rsidP="009727FE">
      <w:pPr>
        <w:pStyle w:val="Heading2"/>
        <w:numPr>
          <w:ilvl w:val="1"/>
          <w:numId w:val="7"/>
        </w:numPr>
        <w:ind w:left="782" w:hanging="782"/>
      </w:pPr>
      <w:bookmarkStart w:id="35" w:name="_Toc357714351"/>
      <w:r w:rsidRPr="00942C19">
        <w:t>PRELIMINARY SCRUTINY OF THE PETITIONS:</w:t>
      </w:r>
      <w:bookmarkEnd w:id="35"/>
    </w:p>
    <w:p w:rsidR="00A6122D" w:rsidRPr="00942C19" w:rsidRDefault="00A6122D" w:rsidP="004277C0">
      <w:pPr>
        <w:pStyle w:val="Heading3"/>
        <w:tabs>
          <w:tab w:val="clear" w:pos="720"/>
          <w:tab w:val="clear" w:pos="936"/>
          <w:tab w:val="num" w:pos="993"/>
        </w:tabs>
        <w:spacing w:before="240" w:after="240"/>
        <w:ind w:left="993"/>
      </w:pPr>
      <w:r w:rsidRPr="00942C19">
        <w:t xml:space="preserve">A preliminary analysis of the Petition was conducted by the Commission wherein it was observed that the audited accounts for the period (i.e., FY 2010-11) as stipulated by the Regulations, were not submitted by the </w:t>
      </w:r>
      <w:r w:rsidR="009A3804" w:rsidRPr="00942C19">
        <w:t>Licensee</w:t>
      </w:r>
      <w:r w:rsidRPr="00942C19">
        <w:t>. The matter of submission of audited accounts was also reaffirmed in the Hon’ble Appellate Tribunal for Electricity (hereinafter referred to as the ‘Hon’ble APTEL’) judgment dated 21</w:t>
      </w:r>
      <w:r w:rsidR="004277C0" w:rsidRPr="00942C19">
        <w:rPr>
          <w:vertAlign w:val="superscript"/>
        </w:rPr>
        <w:t>st</w:t>
      </w:r>
      <w:r w:rsidR="004277C0" w:rsidRPr="00942C19">
        <w:t xml:space="preserve"> </w:t>
      </w:r>
      <w:r w:rsidRPr="00942C19">
        <w:t xml:space="preserve">October, 2011 in Appeal No. 121 of 2010 in the </w:t>
      </w:r>
      <w:r w:rsidR="009A3804" w:rsidRPr="00942C19">
        <w:t>Licensee</w:t>
      </w:r>
      <w:r w:rsidRPr="00942C19">
        <w:t>’s case.</w:t>
      </w:r>
    </w:p>
    <w:p w:rsidR="00A6122D" w:rsidRPr="00942C19" w:rsidRDefault="00A6122D" w:rsidP="004277C0">
      <w:pPr>
        <w:pStyle w:val="Heading3"/>
        <w:tabs>
          <w:tab w:val="clear" w:pos="720"/>
          <w:tab w:val="clear" w:pos="936"/>
          <w:tab w:val="num" w:pos="993"/>
        </w:tabs>
        <w:spacing w:before="240" w:after="240"/>
        <w:ind w:left="993"/>
      </w:pPr>
      <w:r w:rsidRPr="00942C19">
        <w:t xml:space="preserve">The ARR Petition did not propose any mechanism to bridge the revenue gap which was in contravention to the stipulation of Regulations 2.1.4 of the Distribution Tariff Regulations. </w:t>
      </w:r>
    </w:p>
    <w:p w:rsidR="00A6122D" w:rsidRPr="00942C19" w:rsidRDefault="00A6122D" w:rsidP="004277C0">
      <w:pPr>
        <w:pStyle w:val="Heading3"/>
        <w:tabs>
          <w:tab w:val="clear" w:pos="720"/>
          <w:tab w:val="clear" w:pos="936"/>
          <w:tab w:val="num" w:pos="993"/>
        </w:tabs>
        <w:spacing w:before="240" w:after="240"/>
        <w:ind w:left="993"/>
      </w:pPr>
      <w:r w:rsidRPr="00942C19">
        <w:t>In this regard, a deficiency note was issued by the Commission on 27</w:t>
      </w:r>
      <w:r w:rsidRPr="00942C19">
        <w:rPr>
          <w:vertAlign w:val="superscript"/>
        </w:rPr>
        <w:t>th</w:t>
      </w:r>
      <w:r w:rsidRPr="00942C19">
        <w:t xml:space="preserve"> December, 2012 directing the </w:t>
      </w:r>
      <w:r w:rsidR="009A3804" w:rsidRPr="00942C19">
        <w:t>Licensee</w:t>
      </w:r>
      <w:r w:rsidRPr="00942C19">
        <w:t xml:space="preserve"> to submit their proposal for bridging the revenue gap. Such deficiency note also sought clarifications on other </w:t>
      </w:r>
      <w:r w:rsidRPr="00942C19">
        <w:lastRenderedPageBreak/>
        <w:t>issues in regard to the ARR Petition filed. The Commission had granted a time of 2 weeks to respond on the deficiency note i.e., by 10</w:t>
      </w:r>
      <w:r w:rsidR="004277C0" w:rsidRPr="00942C19">
        <w:rPr>
          <w:vertAlign w:val="superscript"/>
        </w:rPr>
        <w:t>th</w:t>
      </w:r>
      <w:r w:rsidR="004277C0" w:rsidRPr="00942C19">
        <w:t xml:space="preserve"> </w:t>
      </w:r>
      <w:r w:rsidRPr="00942C19">
        <w:t>January, 2013.</w:t>
      </w:r>
    </w:p>
    <w:p w:rsidR="00A6122D" w:rsidRPr="00942C19" w:rsidRDefault="00A6122D" w:rsidP="004277C0">
      <w:pPr>
        <w:pStyle w:val="Heading3"/>
        <w:tabs>
          <w:tab w:val="clear" w:pos="720"/>
          <w:tab w:val="clear" w:pos="936"/>
          <w:tab w:val="num" w:pos="993"/>
        </w:tabs>
        <w:spacing w:before="240" w:after="240"/>
        <w:ind w:left="993"/>
      </w:pPr>
      <w:r w:rsidRPr="00942C19">
        <w:t xml:space="preserve">Thereafter, the </w:t>
      </w:r>
      <w:r w:rsidR="009A3804" w:rsidRPr="00942C19">
        <w:t>Licensee</w:t>
      </w:r>
      <w:r w:rsidRPr="00942C19">
        <w:t xml:space="preserve"> requested for a time extension by two weeks vide a letter dated 18</w:t>
      </w:r>
      <w:r w:rsidR="004277C0" w:rsidRPr="00942C19">
        <w:rPr>
          <w:vertAlign w:val="superscript"/>
        </w:rPr>
        <w:t>th</w:t>
      </w:r>
      <w:r w:rsidR="004277C0" w:rsidRPr="00942C19">
        <w:t xml:space="preserve"> </w:t>
      </w:r>
      <w:r w:rsidRPr="00942C19">
        <w:t>January, 2013 to respond on the deficiency note.</w:t>
      </w:r>
    </w:p>
    <w:p w:rsidR="002A7571" w:rsidRPr="00942C19" w:rsidRDefault="002A7571" w:rsidP="002A7571">
      <w:pPr>
        <w:pStyle w:val="Heading3"/>
        <w:tabs>
          <w:tab w:val="clear" w:pos="720"/>
          <w:tab w:val="clear" w:pos="936"/>
          <w:tab w:val="num" w:pos="993"/>
        </w:tabs>
        <w:spacing w:before="240" w:after="240"/>
        <w:ind w:left="993"/>
      </w:pPr>
      <w:r w:rsidRPr="00942C19">
        <w:t>Vide the judgement dated 11</w:t>
      </w:r>
      <w:r w:rsidRPr="00942C19">
        <w:rPr>
          <w:vertAlign w:val="superscript"/>
        </w:rPr>
        <w:t>th</w:t>
      </w:r>
      <w:r w:rsidRPr="00942C19">
        <w:t xml:space="preserve"> November, 2011 in the matter OP No. 1 of 2011, the Hon’ble APTEL has directed the State Commissions that </w:t>
      </w:r>
      <w:r w:rsidRPr="00942C19">
        <w:rPr>
          <w:i/>
        </w:rPr>
        <w:t>“In the event of delay in filing of the ARR, truing-up and Annual Performance Review, one month beyond the scheduled date of submission of the petition, the State Commission must initiate suo-moto proceedings for tariff determination in accordance with Section 64 of the Act read with clause 8.1 (7) of the Tariff Policy.”</w:t>
      </w:r>
    </w:p>
    <w:p w:rsidR="002A7571" w:rsidRPr="00942C19" w:rsidRDefault="002A7571" w:rsidP="002A7571">
      <w:pPr>
        <w:pStyle w:val="Heading3"/>
        <w:tabs>
          <w:tab w:val="clear" w:pos="720"/>
          <w:tab w:val="clear" w:pos="936"/>
          <w:tab w:val="num" w:pos="993"/>
        </w:tabs>
        <w:spacing w:before="240" w:after="240"/>
        <w:ind w:left="993"/>
      </w:pPr>
      <w:r w:rsidRPr="00942C19">
        <w:t>Considering the directives of the Hon’ble APTEL, the Commission issued a notice dated 16</w:t>
      </w:r>
      <w:r w:rsidRPr="00942C19">
        <w:rPr>
          <w:vertAlign w:val="superscript"/>
        </w:rPr>
        <w:t>th</w:t>
      </w:r>
      <w:r w:rsidRPr="00942C19">
        <w:t xml:space="preserve"> January, 2013 intimating the </w:t>
      </w:r>
      <w:r w:rsidR="009A3804" w:rsidRPr="00942C19">
        <w:t>Licensee</w:t>
      </w:r>
      <w:r w:rsidRPr="00942C19">
        <w:t xml:space="preserve"> to remain present on 28</w:t>
      </w:r>
      <w:r w:rsidRPr="00942C19">
        <w:rPr>
          <w:vertAlign w:val="superscript"/>
        </w:rPr>
        <w:t>th</w:t>
      </w:r>
      <w:r w:rsidRPr="00942C19">
        <w:t xml:space="preserve"> January, 2013 and explain the reasons to the Commission for non submission of audited accounts of relevant years as required by the Regulations, lack of proposal for bridging the revenue gap and as to why suo-motu proceedings for determination of ARR and Tariff not be initiated in the </w:t>
      </w:r>
      <w:r w:rsidR="009A3804" w:rsidRPr="00942C19">
        <w:t>Licensee</w:t>
      </w:r>
      <w:r w:rsidRPr="00942C19">
        <w:t>s’ case.</w:t>
      </w:r>
    </w:p>
    <w:p w:rsidR="002A7571" w:rsidRPr="00942C19" w:rsidRDefault="002A7571" w:rsidP="002A7571">
      <w:pPr>
        <w:pStyle w:val="Heading3"/>
        <w:tabs>
          <w:tab w:val="clear" w:pos="720"/>
          <w:tab w:val="clear" w:pos="936"/>
          <w:tab w:val="num" w:pos="993"/>
        </w:tabs>
        <w:spacing w:before="240" w:after="240"/>
        <w:ind w:left="993"/>
      </w:pPr>
      <w:r w:rsidRPr="00942C19">
        <w:t>During the hearings held on 28</w:t>
      </w:r>
      <w:r w:rsidRPr="00942C19">
        <w:rPr>
          <w:vertAlign w:val="superscript"/>
        </w:rPr>
        <w:t>th</w:t>
      </w:r>
      <w:r w:rsidRPr="00942C19">
        <w:t xml:space="preserve"> January, 2013, the following </w:t>
      </w:r>
      <w:r w:rsidR="00241AD8" w:rsidRPr="00942C19">
        <w:t xml:space="preserve">oral </w:t>
      </w:r>
      <w:r w:rsidRPr="00942C19">
        <w:t xml:space="preserve">submissions were made by the </w:t>
      </w:r>
      <w:r w:rsidR="009A3804" w:rsidRPr="00942C19">
        <w:t>Licensee</w:t>
      </w:r>
      <w:r w:rsidRPr="00942C19">
        <w:t>:</w:t>
      </w:r>
    </w:p>
    <w:p w:rsidR="002A7571" w:rsidRPr="00942C19" w:rsidRDefault="002A7571" w:rsidP="00A818DC">
      <w:pPr>
        <w:pStyle w:val="Heading3"/>
        <w:numPr>
          <w:ilvl w:val="0"/>
          <w:numId w:val="47"/>
        </w:numPr>
        <w:spacing w:before="240" w:after="240"/>
      </w:pPr>
      <w:r w:rsidRPr="00942C19">
        <w:rPr>
          <w:b/>
        </w:rPr>
        <w:t xml:space="preserve">On the </w:t>
      </w:r>
      <w:r w:rsidR="00D9470E" w:rsidRPr="00942C19">
        <w:rPr>
          <w:b/>
        </w:rPr>
        <w:t>i</w:t>
      </w:r>
      <w:r w:rsidRPr="00942C19">
        <w:rPr>
          <w:b/>
        </w:rPr>
        <w:t>ssue of Audited Accounts for FY 2010-11 –</w:t>
      </w:r>
      <w:r w:rsidRPr="00942C19">
        <w:t xml:space="preserve"> The </w:t>
      </w:r>
      <w:r w:rsidR="009A3804" w:rsidRPr="00942C19">
        <w:t>Licensee</w:t>
      </w:r>
      <w:r w:rsidRPr="00942C19">
        <w:t xml:space="preserve"> submitted that the statutory audited accounts for FY </w:t>
      </w:r>
      <w:r w:rsidR="00155ABB" w:rsidRPr="00942C19">
        <w:t xml:space="preserve">2010-11 would be submitted by </w:t>
      </w:r>
      <w:r w:rsidRPr="00942C19">
        <w:t>28</w:t>
      </w:r>
      <w:r w:rsidRPr="00942C19">
        <w:rPr>
          <w:vertAlign w:val="superscript"/>
        </w:rPr>
        <w:t>th</w:t>
      </w:r>
      <w:r w:rsidRPr="00942C19">
        <w:t xml:space="preserve"> February, 2013. The </w:t>
      </w:r>
      <w:r w:rsidR="009A3804" w:rsidRPr="00942C19">
        <w:t>Licensee</w:t>
      </w:r>
      <w:r w:rsidRPr="00942C19">
        <w:t xml:space="preserve"> informed that the statutory auditor in its case is an independent chartered accountant firm appointed by the Comptroller and Auditor General of India (CAG), New Delhi. </w:t>
      </w:r>
    </w:p>
    <w:p w:rsidR="002A7571" w:rsidRPr="00942C19" w:rsidRDefault="002A7571" w:rsidP="00A818DC">
      <w:pPr>
        <w:pStyle w:val="Heading3"/>
        <w:numPr>
          <w:ilvl w:val="0"/>
          <w:numId w:val="47"/>
        </w:numPr>
        <w:spacing w:before="240" w:after="240"/>
      </w:pPr>
      <w:r w:rsidRPr="00942C19">
        <w:rPr>
          <w:b/>
        </w:rPr>
        <w:t xml:space="preserve">On the issue of Supplementary Audit Report of the Accountant General of Uttar Pradesh for FY 2010-11 - </w:t>
      </w:r>
      <w:r w:rsidRPr="00942C19">
        <w:t xml:space="preserve">The </w:t>
      </w:r>
      <w:r w:rsidR="009A3804" w:rsidRPr="00942C19">
        <w:t>Licensee</w:t>
      </w:r>
      <w:r w:rsidRPr="00942C19">
        <w:t xml:space="preserve"> submitted that the supplementary audit report of the Accountant General of Uttar Pradesh (AGUP) would take further time as the office of the AGUP being a constitutional body is not under any control of the </w:t>
      </w:r>
      <w:r w:rsidR="009A3804" w:rsidRPr="00942C19">
        <w:t>Licensee</w:t>
      </w:r>
      <w:r w:rsidRPr="00942C19">
        <w:t xml:space="preserve"> </w:t>
      </w:r>
      <w:r w:rsidRPr="00942C19">
        <w:lastRenderedPageBreak/>
        <w:t xml:space="preserve">and hence the </w:t>
      </w:r>
      <w:r w:rsidR="009A3804" w:rsidRPr="00942C19">
        <w:t>Licensee</w:t>
      </w:r>
      <w:r w:rsidRPr="00942C19">
        <w:t xml:space="preserve"> is not in a position to expedite the process of their audit. </w:t>
      </w:r>
    </w:p>
    <w:p w:rsidR="002A7571" w:rsidRPr="00942C19" w:rsidRDefault="002A7571" w:rsidP="00A818DC">
      <w:pPr>
        <w:pStyle w:val="Heading3"/>
        <w:numPr>
          <w:ilvl w:val="0"/>
          <w:numId w:val="47"/>
        </w:numPr>
        <w:spacing w:before="240" w:after="240"/>
      </w:pPr>
      <w:r w:rsidRPr="00942C19">
        <w:rPr>
          <w:b/>
        </w:rPr>
        <w:t xml:space="preserve">On the issue of Tariff Proposal </w:t>
      </w:r>
      <w:r w:rsidR="00090678" w:rsidRPr="00942C19">
        <w:rPr>
          <w:b/>
        </w:rPr>
        <w:t>–</w:t>
      </w:r>
      <w:r w:rsidRPr="00942C19">
        <w:t xml:space="preserve"> </w:t>
      </w:r>
      <w:r w:rsidR="00090678" w:rsidRPr="00942C19">
        <w:t xml:space="preserve">The </w:t>
      </w:r>
      <w:r w:rsidR="009A3804" w:rsidRPr="00942C19">
        <w:t>Licensee</w:t>
      </w:r>
      <w:r w:rsidR="00090678" w:rsidRPr="00942C19">
        <w:t xml:space="preserve"> stated that the Tariff Proposal has been prepared and is pending approval by higher authorities.</w:t>
      </w:r>
    </w:p>
    <w:p w:rsidR="00090678" w:rsidRPr="00942C19" w:rsidRDefault="00090678" w:rsidP="00A818DC">
      <w:pPr>
        <w:pStyle w:val="Heading3"/>
        <w:numPr>
          <w:ilvl w:val="0"/>
          <w:numId w:val="47"/>
        </w:numPr>
        <w:spacing w:before="240" w:after="240"/>
      </w:pPr>
      <w:r w:rsidRPr="00942C19">
        <w:rPr>
          <w:b/>
        </w:rPr>
        <w:t xml:space="preserve">On the issue of Preparation of Fixed Asset Registers – </w:t>
      </w:r>
      <w:r w:rsidRPr="00942C19">
        <w:t xml:space="preserve">The </w:t>
      </w:r>
      <w:r w:rsidR="009A3804" w:rsidRPr="00942C19">
        <w:t>Licensee</w:t>
      </w:r>
      <w:r w:rsidRPr="00942C19">
        <w:t xml:space="preserve"> stated that in the </w:t>
      </w:r>
      <w:r w:rsidR="00A24A40" w:rsidRPr="00942C19">
        <w:t>Transfer Scheme</w:t>
      </w:r>
      <w:r w:rsidRPr="00942C19">
        <w:t xml:space="preserve">, only broad level balances were approved. The bifurcations of unit wise and asset wise balances, is still pending as the </w:t>
      </w:r>
      <w:r w:rsidR="00A24A40" w:rsidRPr="00942C19">
        <w:t>Transfer Scheme</w:t>
      </w:r>
      <w:r w:rsidRPr="00942C19">
        <w:t xml:space="preserve"> is still not finalised. The </w:t>
      </w:r>
      <w:r w:rsidR="009A3804" w:rsidRPr="00942C19">
        <w:t>Licensee</w:t>
      </w:r>
      <w:r w:rsidRPr="00942C19">
        <w:t xml:space="preserve"> stated that due to this reason, it was not in a position to prepare the Fixed Asset Registers and submit / publish them along with the proceedings for the ARR / Tariff determination for FY 2013-14.</w:t>
      </w:r>
    </w:p>
    <w:p w:rsidR="00090678" w:rsidRPr="00942C19" w:rsidRDefault="00090678" w:rsidP="008C72F4">
      <w:pPr>
        <w:pStyle w:val="Heading3"/>
        <w:tabs>
          <w:tab w:val="clear" w:pos="720"/>
          <w:tab w:val="clear" w:pos="936"/>
          <w:tab w:val="num" w:pos="993"/>
        </w:tabs>
        <w:spacing w:before="240" w:after="240"/>
        <w:ind w:left="993"/>
      </w:pPr>
      <w:r w:rsidRPr="00942C19">
        <w:t xml:space="preserve">The Commission observed that the </w:t>
      </w:r>
      <w:r w:rsidR="009A3804" w:rsidRPr="00942C19">
        <w:t>Licensee</w:t>
      </w:r>
      <w:r w:rsidRPr="00942C19">
        <w:t xml:space="preserve"> was not in a position to remove the deficiency in its ARR filings in respect of submission of audited accounts, supplementary audit report of the AGUP, fixed asset registers and tariff proposal. </w:t>
      </w:r>
      <w:r w:rsidR="008C72F4" w:rsidRPr="00942C19">
        <w:t xml:space="preserve">In this background, the Commission informed the </w:t>
      </w:r>
      <w:r w:rsidR="009A3804" w:rsidRPr="00942C19">
        <w:t>Licensee</w:t>
      </w:r>
      <w:r w:rsidR="008C72F4" w:rsidRPr="00942C19">
        <w:t xml:space="preserve"> that it would be constrained to initiate suo-motu proceedings for tariff determination if there is continuing failure of the </w:t>
      </w:r>
      <w:r w:rsidR="009A3804" w:rsidRPr="00942C19">
        <w:t>Licensee</w:t>
      </w:r>
      <w:r w:rsidR="008C72F4" w:rsidRPr="00942C19">
        <w:t xml:space="preserve"> to remove the deficiency in its ARR filings. In this regard, the Petition</w:t>
      </w:r>
      <w:r w:rsidR="005C7200" w:rsidRPr="00942C19">
        <w:t>er</w:t>
      </w:r>
      <w:r w:rsidR="008C72F4" w:rsidRPr="00942C19">
        <w:t xml:space="preserve"> stated </w:t>
      </w:r>
      <w:r w:rsidRPr="00942C19">
        <w:t>that the Commission may proceed further with suo-mot</w:t>
      </w:r>
      <w:r w:rsidR="008C72F4" w:rsidRPr="00942C19">
        <w:t>u</w:t>
      </w:r>
      <w:r w:rsidRPr="00942C19">
        <w:t xml:space="preserve"> proceedings</w:t>
      </w:r>
      <w:r w:rsidR="008C72F4" w:rsidRPr="00942C19">
        <w:t>,</w:t>
      </w:r>
      <w:r w:rsidRPr="00942C19">
        <w:t xml:space="preserve"> as it was not possible for it to ensure submission of supplementary audit report of the AGUP and fixed asset registers within the time frame indicated by the Commission. </w:t>
      </w:r>
    </w:p>
    <w:p w:rsidR="00256704" w:rsidRPr="00942C19" w:rsidRDefault="00256704" w:rsidP="004277C0">
      <w:pPr>
        <w:pStyle w:val="Heading3"/>
        <w:tabs>
          <w:tab w:val="clear" w:pos="720"/>
          <w:tab w:val="clear" w:pos="936"/>
          <w:tab w:val="num" w:pos="993"/>
        </w:tabs>
        <w:spacing w:before="240" w:after="240"/>
        <w:ind w:left="993"/>
      </w:pPr>
      <w:r w:rsidRPr="00942C19">
        <w:t>The oral submissions made in the hearing held on 28</w:t>
      </w:r>
      <w:r w:rsidR="00232C13" w:rsidRPr="00942C19">
        <w:rPr>
          <w:vertAlign w:val="superscript"/>
        </w:rPr>
        <w:t>th</w:t>
      </w:r>
      <w:r w:rsidR="00232C13" w:rsidRPr="00942C19">
        <w:t xml:space="preserve"> </w:t>
      </w:r>
      <w:r w:rsidRPr="00942C19">
        <w:t xml:space="preserve">January, 2013 were reaffirmed on affidavit by the </w:t>
      </w:r>
      <w:r w:rsidR="009A3804" w:rsidRPr="00942C19">
        <w:t>Licensee</w:t>
      </w:r>
      <w:r w:rsidRPr="00942C19">
        <w:t xml:space="preserve"> on 5</w:t>
      </w:r>
      <w:r w:rsidRPr="00942C19">
        <w:rPr>
          <w:vertAlign w:val="superscript"/>
        </w:rPr>
        <w:t>th</w:t>
      </w:r>
      <w:r w:rsidRPr="00942C19">
        <w:t xml:space="preserve"> February, 2013 on the directions of the Commission.</w:t>
      </w:r>
      <w:r w:rsidR="00D9470E" w:rsidRPr="00942C19">
        <w:t xml:space="preserve"> The Licensee submitted that the fixed asset registers are under preparation and would </w:t>
      </w:r>
      <w:r w:rsidR="00785E17" w:rsidRPr="00942C19">
        <w:rPr>
          <w:i/>
        </w:rPr>
        <w:t>“be submitted after the work is completed.”</w:t>
      </w:r>
      <w:r w:rsidR="00D9470E" w:rsidRPr="00942C19">
        <w:t xml:space="preserve"> However, the Licensee did not provide a timeframe for its submission. </w:t>
      </w:r>
    </w:p>
    <w:p w:rsidR="009756E5" w:rsidRPr="00942C19" w:rsidRDefault="002A7571" w:rsidP="004277C0">
      <w:pPr>
        <w:pStyle w:val="Heading3"/>
        <w:tabs>
          <w:tab w:val="clear" w:pos="720"/>
          <w:tab w:val="clear" w:pos="936"/>
          <w:tab w:val="num" w:pos="993"/>
        </w:tabs>
        <w:spacing w:before="240" w:after="240"/>
        <w:ind w:left="993"/>
      </w:pPr>
      <w:r w:rsidRPr="00942C19">
        <w:t xml:space="preserve">Subsequently, </w:t>
      </w:r>
      <w:r w:rsidR="00525905" w:rsidRPr="00942C19">
        <w:t xml:space="preserve">the Licensee submitted the response to the Deficiency Note on </w:t>
      </w:r>
      <w:r w:rsidR="00DC3B91" w:rsidRPr="00942C19">
        <w:t>7</w:t>
      </w:r>
      <w:r w:rsidRPr="00942C19">
        <w:rPr>
          <w:vertAlign w:val="superscript"/>
        </w:rPr>
        <w:t>th</w:t>
      </w:r>
      <w:r w:rsidRPr="00942C19">
        <w:t xml:space="preserve"> </w:t>
      </w:r>
      <w:r w:rsidR="00525905" w:rsidRPr="00942C19">
        <w:t>and 13</w:t>
      </w:r>
      <w:r w:rsidR="00155FB3" w:rsidRPr="00942C19">
        <w:rPr>
          <w:vertAlign w:val="superscript"/>
        </w:rPr>
        <w:t>th</w:t>
      </w:r>
      <w:r w:rsidR="00525905" w:rsidRPr="00942C19">
        <w:t xml:space="preserve"> February, 2013</w:t>
      </w:r>
      <w:r w:rsidRPr="00942C19">
        <w:t xml:space="preserve">. </w:t>
      </w:r>
      <w:r w:rsidR="00256704" w:rsidRPr="00942C19">
        <w:t>Thereafter, on 4</w:t>
      </w:r>
      <w:r w:rsidR="00256704" w:rsidRPr="00942C19">
        <w:rPr>
          <w:vertAlign w:val="superscript"/>
        </w:rPr>
        <w:t>th</w:t>
      </w:r>
      <w:r w:rsidR="00256704" w:rsidRPr="00942C19">
        <w:t xml:space="preserve"> March, 2013, the </w:t>
      </w:r>
      <w:r w:rsidR="009A3804" w:rsidRPr="00942C19">
        <w:t>Licensee</w:t>
      </w:r>
      <w:r w:rsidR="00256704" w:rsidRPr="00942C19">
        <w:t xml:space="preserve"> filed the Proposal for Revision of Tariff for FY 2013-14 along with a proposal for bridging the revenue gap.</w:t>
      </w:r>
    </w:p>
    <w:p w:rsidR="00256704" w:rsidRPr="00942C19" w:rsidRDefault="00155FB3" w:rsidP="004277C0">
      <w:pPr>
        <w:pStyle w:val="Heading3"/>
        <w:tabs>
          <w:tab w:val="clear" w:pos="720"/>
          <w:tab w:val="clear" w:pos="936"/>
          <w:tab w:val="num" w:pos="993"/>
        </w:tabs>
        <w:spacing w:before="240" w:after="240"/>
        <w:ind w:left="993"/>
      </w:pPr>
      <w:r w:rsidRPr="00942C19">
        <w:lastRenderedPageBreak/>
        <w:t>The statutory audited accounts for FY 2008-09</w:t>
      </w:r>
      <w:r w:rsidR="00525905" w:rsidRPr="00942C19">
        <w:t xml:space="preserve"> and </w:t>
      </w:r>
      <w:r w:rsidRPr="00942C19">
        <w:t>2009-10 were submitted by the Licensee vide Letter No. 129/RAU/ARR FY 2013-14 on 17th Jan</w:t>
      </w:r>
      <w:r w:rsidR="00525905" w:rsidRPr="00942C19">
        <w:t>uary,</w:t>
      </w:r>
      <w:r w:rsidRPr="00942C19">
        <w:t xml:space="preserve"> 2013</w:t>
      </w:r>
      <w:r w:rsidR="00525905" w:rsidRPr="00942C19">
        <w:t xml:space="preserve">; and for FY 2010-11 were submitted vide </w:t>
      </w:r>
      <w:r w:rsidRPr="00942C19">
        <w:t>Letter No. 572/RAU/ARR FY 2013-14 on 13</w:t>
      </w:r>
      <w:r w:rsidRPr="00942C19">
        <w:rPr>
          <w:vertAlign w:val="superscript"/>
        </w:rPr>
        <w:t>th</w:t>
      </w:r>
      <w:r w:rsidRPr="00942C19">
        <w:t xml:space="preserve"> March, 2013. The supplementary audit report of the AGUP for FY 2008-09 was submitted by the Licensee on 129/RAU/ARR FY 2013-14 on 17</w:t>
      </w:r>
      <w:r w:rsidRPr="00942C19">
        <w:rPr>
          <w:vertAlign w:val="superscript"/>
        </w:rPr>
        <w:t>th</w:t>
      </w:r>
      <w:r w:rsidR="00112A2A" w:rsidRPr="00942C19">
        <w:t xml:space="preserve"> </w:t>
      </w:r>
      <w:r w:rsidRPr="00942C19">
        <w:t>Jan</w:t>
      </w:r>
      <w:r w:rsidR="00112A2A" w:rsidRPr="00942C19">
        <w:t>uary,</w:t>
      </w:r>
      <w:r w:rsidRPr="00942C19">
        <w:t xml:space="preserve"> 2013.</w:t>
      </w:r>
      <w:r w:rsidR="00112A2A" w:rsidRPr="00942C19">
        <w:t xml:space="preserve"> The supplementary audit report of the AGUP for FY 2009-10 and 2010-11 has not been submitted by the Licensee.</w:t>
      </w:r>
    </w:p>
    <w:p w:rsidR="0086314E" w:rsidRPr="00942C19" w:rsidRDefault="0086314E" w:rsidP="0086314E">
      <w:pPr>
        <w:pStyle w:val="Heading3"/>
        <w:tabs>
          <w:tab w:val="clear" w:pos="720"/>
          <w:tab w:val="clear" w:pos="936"/>
          <w:tab w:val="num" w:pos="993"/>
        </w:tabs>
        <w:spacing w:before="240" w:after="240"/>
        <w:ind w:left="993"/>
      </w:pPr>
      <w:r w:rsidRPr="00942C19">
        <w:t>The role of the Commission in timely and regular tariff approval is paramount and has been fairly established in law. The same has also been reaffirmed in OP No. 1 of 2011 issued by the Hon’ble APTEL on 11</w:t>
      </w:r>
      <w:r w:rsidR="00232C13" w:rsidRPr="00942C19">
        <w:rPr>
          <w:vertAlign w:val="superscript"/>
        </w:rPr>
        <w:t>th</w:t>
      </w:r>
      <w:r w:rsidR="00232C13" w:rsidRPr="00942C19">
        <w:t xml:space="preserve"> </w:t>
      </w:r>
      <w:r w:rsidRPr="00942C19">
        <w:t xml:space="preserve">November, 2011. The Commission could not have waited beyond a point of time for the </w:t>
      </w:r>
      <w:r w:rsidR="009A3804" w:rsidRPr="00942C19">
        <w:t>Licensee</w:t>
      </w:r>
      <w:r w:rsidRPr="00942C19">
        <w:t xml:space="preserve">s to remove the deficiency in the ARR filings and delay the tariff determination process endlessly. At the same time, the </w:t>
      </w:r>
      <w:r w:rsidR="009A3804" w:rsidRPr="00942C19">
        <w:t>Licensee</w:t>
      </w:r>
      <w:r w:rsidRPr="00942C19">
        <w:t xml:space="preserve"> needs to be discouraged from delaying the tariff determination process on the pretext of unavailability of supplementary audit report of the AGUP and fixed asset registers.</w:t>
      </w:r>
    </w:p>
    <w:p w:rsidR="0086314E" w:rsidRPr="00942C19" w:rsidRDefault="00785E17" w:rsidP="00D95382">
      <w:pPr>
        <w:pStyle w:val="Heading3"/>
        <w:tabs>
          <w:tab w:val="clear" w:pos="720"/>
          <w:tab w:val="clear" w:pos="936"/>
          <w:tab w:val="num" w:pos="993"/>
        </w:tabs>
        <w:spacing w:before="240" w:after="240"/>
        <w:ind w:left="993"/>
      </w:pPr>
      <w:r w:rsidRPr="00942C19">
        <w:t>As the ARR filings were not accompanied by the audited accounts as stipulated by the Tariff Regulations, the Commission</w:t>
      </w:r>
      <w:r w:rsidR="00701907" w:rsidRPr="00942C19">
        <w:t>,</w:t>
      </w:r>
      <w:r w:rsidRPr="00942C19">
        <w:t xml:space="preserve"> in pursuance with the directions of the Hon’ble APTEL, powers conferred under Section 64 of the Electricity Act, 2003 and the Regulation 2.1.12 of the Distribution Tariff Regulations, initiated suo-motu proceedings for determination of ARR and Tariff for FY 2013-14</w:t>
      </w:r>
      <w:r w:rsidR="0086314E" w:rsidRPr="00942C19">
        <w:t xml:space="preserve">. </w:t>
      </w:r>
    </w:p>
    <w:p w:rsidR="00D62916" w:rsidRPr="00942C19" w:rsidRDefault="00D62916" w:rsidP="00D62916">
      <w:pPr>
        <w:pStyle w:val="Heading3"/>
        <w:tabs>
          <w:tab w:val="clear" w:pos="720"/>
          <w:tab w:val="clear" w:pos="936"/>
          <w:tab w:val="num" w:pos="993"/>
        </w:tabs>
        <w:spacing w:before="240" w:after="240"/>
        <w:ind w:left="993"/>
      </w:pPr>
      <w:r w:rsidRPr="00942C19">
        <w:t xml:space="preserve">The Commission even under suo-motu proceedings would require necessary data to assess the revenue requirement and fix the tariff. In this respect, it would place reliance on the audited accounts, provisional accounts and other submissions of the </w:t>
      </w:r>
      <w:r w:rsidR="009A3804" w:rsidRPr="00942C19">
        <w:t>Licensee</w:t>
      </w:r>
      <w:r w:rsidRPr="00942C19">
        <w:t xml:space="preserve">. The </w:t>
      </w:r>
      <w:r w:rsidR="009A3804" w:rsidRPr="00942C19">
        <w:t>Licensee</w:t>
      </w:r>
      <w:r w:rsidRPr="00942C19">
        <w:t xml:space="preserve"> had made a detailed ARR / Tariff Petition as per the </w:t>
      </w:r>
      <w:r w:rsidR="00583702" w:rsidRPr="00942C19">
        <w:t>t</w:t>
      </w:r>
      <w:r w:rsidRPr="00942C19">
        <w:t xml:space="preserve">erms and </w:t>
      </w:r>
      <w:r w:rsidR="00583702" w:rsidRPr="00942C19">
        <w:t>c</w:t>
      </w:r>
      <w:r w:rsidRPr="00942C19">
        <w:t xml:space="preserve">onditions of the Tariff Regulations. The Commission found that the ARR / Tariff filings for FY 2013-14 along with the provisional accounts for FY 2011-12 </w:t>
      </w:r>
      <w:r w:rsidR="005C7200" w:rsidRPr="00942C19">
        <w:t xml:space="preserve">enclosed therewith, </w:t>
      </w:r>
      <w:r w:rsidRPr="00942C19">
        <w:t>and statutory audited accounts for FY 201</w:t>
      </w:r>
      <w:r w:rsidR="005C7200" w:rsidRPr="00942C19">
        <w:t>0</w:t>
      </w:r>
      <w:r w:rsidRPr="00942C19">
        <w:t xml:space="preserve">-11 submitted thereafter were the most reliable data available with it for estimation of revenue requirement of the </w:t>
      </w:r>
      <w:r w:rsidR="009A3804" w:rsidRPr="00942C19">
        <w:t>Licensee</w:t>
      </w:r>
      <w:r w:rsidRPr="00942C19">
        <w:t xml:space="preserve">. </w:t>
      </w:r>
    </w:p>
    <w:p w:rsidR="0075482C" w:rsidRPr="00942C19" w:rsidRDefault="00D62916" w:rsidP="007C08A7">
      <w:pPr>
        <w:pStyle w:val="Heading3"/>
        <w:tabs>
          <w:tab w:val="clear" w:pos="720"/>
          <w:tab w:val="clear" w:pos="936"/>
          <w:tab w:val="num" w:pos="993"/>
        </w:tabs>
        <w:spacing w:before="240" w:after="240"/>
        <w:ind w:left="993"/>
      </w:pPr>
      <w:r w:rsidRPr="00942C19">
        <w:t xml:space="preserve">Considering this, the Commission </w:t>
      </w:r>
      <w:r w:rsidR="00D95382" w:rsidRPr="00942C19">
        <w:t>through Orders dated 11</w:t>
      </w:r>
      <w:r w:rsidR="00D95382" w:rsidRPr="00942C19">
        <w:rPr>
          <w:vertAlign w:val="superscript"/>
        </w:rPr>
        <w:t>th</w:t>
      </w:r>
      <w:r w:rsidR="00D95382" w:rsidRPr="00942C19">
        <w:t xml:space="preserve"> and 12</w:t>
      </w:r>
      <w:r w:rsidR="00D95382" w:rsidRPr="00942C19">
        <w:rPr>
          <w:vertAlign w:val="superscript"/>
        </w:rPr>
        <w:t>th</w:t>
      </w:r>
      <w:r w:rsidR="00D95382" w:rsidRPr="00942C19">
        <w:t xml:space="preserve"> March, 2013, </w:t>
      </w:r>
      <w:r w:rsidRPr="00942C19">
        <w:t xml:space="preserve">directed the </w:t>
      </w:r>
      <w:r w:rsidR="005C7200" w:rsidRPr="00942C19">
        <w:t>L</w:t>
      </w:r>
      <w:r w:rsidRPr="00942C19">
        <w:t>icensee to publish the salient features of the ARR / Tariff Petition</w:t>
      </w:r>
      <w:r w:rsidR="005C7200" w:rsidRPr="00942C19">
        <w:t>,</w:t>
      </w:r>
      <w:r w:rsidRPr="00942C19">
        <w:t xml:space="preserve"> in </w:t>
      </w:r>
      <w:r w:rsidR="00D95382" w:rsidRPr="00942C19">
        <w:t xml:space="preserve">at least two daily newspapers (one English and one Hindi) for two </w:t>
      </w:r>
      <w:r w:rsidR="00D95382" w:rsidRPr="00942C19">
        <w:lastRenderedPageBreak/>
        <w:t>successive days</w:t>
      </w:r>
      <w:r w:rsidR="005C7200" w:rsidRPr="00942C19">
        <w:t>,</w:t>
      </w:r>
      <w:r w:rsidR="00D95382" w:rsidRPr="00942C19">
        <w:t xml:space="preserve"> and </w:t>
      </w:r>
      <w:r w:rsidR="005C7200" w:rsidRPr="00942C19">
        <w:t xml:space="preserve">on </w:t>
      </w:r>
      <w:r w:rsidR="00D95382" w:rsidRPr="00942C19">
        <w:t xml:space="preserve">its websites for inviting views / comments / suggestions / objections / representations by all stakeholders and public at large </w:t>
      </w:r>
      <w:r w:rsidRPr="00942C19">
        <w:t>with a view to ensure wide publicity of the decision of the Commission to initiate suo-mot</w:t>
      </w:r>
      <w:r w:rsidR="005C7200" w:rsidRPr="00942C19">
        <w:t>u</w:t>
      </w:r>
      <w:r w:rsidRPr="00942C19">
        <w:t xml:space="preserve"> proceedings for tariff determination. </w:t>
      </w:r>
      <w:r w:rsidR="0075482C" w:rsidRPr="00942C19">
        <w:t xml:space="preserve">The Commission also directed the </w:t>
      </w:r>
      <w:r w:rsidR="009A3804" w:rsidRPr="00942C19">
        <w:t>Licensee</w:t>
      </w:r>
      <w:r w:rsidR="0075482C" w:rsidRPr="00942C19">
        <w:t xml:space="preserve"> to upload the submitted petitions along with the response to the deficiency note and all subsequent submissions made in respect of these proceedings on their &amp; UPPCL’s website for the same purpose. This was done to ensure that the suo-motu proceedings are initiated with greater transparency and wide participation of the stakeholders. </w:t>
      </w:r>
    </w:p>
    <w:p w:rsidR="00AE7F3A" w:rsidRPr="00942C19" w:rsidRDefault="00AE7F3A" w:rsidP="00AE7F3A">
      <w:pPr>
        <w:pStyle w:val="Heading2"/>
        <w:numPr>
          <w:ilvl w:val="0"/>
          <w:numId w:val="0"/>
        </w:numPr>
        <w:ind w:left="782"/>
      </w:pPr>
    </w:p>
    <w:p w:rsidR="0075482C" w:rsidRPr="00942C19" w:rsidRDefault="0075482C" w:rsidP="00AE7F3A">
      <w:pPr>
        <w:pStyle w:val="Heading2"/>
        <w:numPr>
          <w:ilvl w:val="0"/>
          <w:numId w:val="0"/>
        </w:numPr>
        <w:ind w:left="782"/>
      </w:pPr>
    </w:p>
    <w:p w:rsidR="00F95F3F" w:rsidRPr="00942C19" w:rsidRDefault="00F95F3F" w:rsidP="00A6232C">
      <w:pPr>
        <w:pStyle w:val="Heading2"/>
        <w:numPr>
          <w:ilvl w:val="1"/>
          <w:numId w:val="7"/>
        </w:numPr>
        <w:ind w:left="782" w:hanging="782"/>
      </w:pPr>
      <w:bookmarkStart w:id="36" w:name="_Toc357714352"/>
      <w:r w:rsidRPr="00942C19">
        <w:t>PUBLICITY OF THE PETITION</w:t>
      </w:r>
      <w:bookmarkEnd w:id="36"/>
    </w:p>
    <w:p w:rsidR="005C18BE" w:rsidRPr="00942C19" w:rsidRDefault="005C18BE" w:rsidP="00D95382">
      <w:pPr>
        <w:pStyle w:val="Heading3"/>
        <w:tabs>
          <w:tab w:val="clear" w:pos="720"/>
          <w:tab w:val="clear" w:pos="936"/>
          <w:tab w:val="num" w:pos="993"/>
        </w:tabs>
        <w:spacing w:before="240" w:after="240"/>
        <w:ind w:left="993"/>
      </w:pPr>
      <w:r w:rsidRPr="00942C19">
        <w:t xml:space="preserve">The Public Notice detailing the salient features of the ARR petitions were made by UPPCL on behalf of the </w:t>
      </w:r>
      <w:r w:rsidR="009A3804" w:rsidRPr="00942C19">
        <w:t>Licensee</w:t>
      </w:r>
      <w:r w:rsidRPr="00942C19">
        <w:t xml:space="preserve"> and they appeared in daily newspapers as detailed below inviting objections from the public at large and all stakeholders: </w:t>
      </w:r>
    </w:p>
    <w:p w:rsidR="00710020" w:rsidRPr="00942C19" w:rsidRDefault="00710020" w:rsidP="00A818DC">
      <w:pPr>
        <w:pStyle w:val="Heading3"/>
        <w:numPr>
          <w:ilvl w:val="0"/>
          <w:numId w:val="10"/>
        </w:numPr>
        <w:tabs>
          <w:tab w:val="clear" w:pos="720"/>
          <w:tab w:val="left" w:pos="864"/>
        </w:tabs>
        <w:snapToGrid w:val="0"/>
        <w:spacing w:after="120"/>
        <w:ind w:left="1440"/>
        <w:rPr>
          <w:szCs w:val="24"/>
        </w:rPr>
      </w:pPr>
      <w:r w:rsidRPr="00942C19">
        <w:rPr>
          <w:szCs w:val="24"/>
        </w:rPr>
        <w:t>Times of India (English)</w:t>
      </w:r>
      <w:r w:rsidR="004A64C1" w:rsidRPr="00942C19">
        <w:rPr>
          <w:szCs w:val="24"/>
        </w:rPr>
        <w:tab/>
      </w:r>
      <w:r w:rsidR="004A64C1" w:rsidRPr="00942C19">
        <w:rPr>
          <w:szCs w:val="24"/>
        </w:rPr>
        <w:tab/>
      </w:r>
      <w:r w:rsidRPr="00942C19">
        <w:rPr>
          <w:szCs w:val="24"/>
        </w:rPr>
        <w:t>: 22</w:t>
      </w:r>
      <w:r w:rsidRPr="00942C19">
        <w:rPr>
          <w:szCs w:val="24"/>
          <w:vertAlign w:val="superscript"/>
        </w:rPr>
        <w:t>nd</w:t>
      </w:r>
      <w:r w:rsidRPr="00942C19">
        <w:rPr>
          <w:szCs w:val="24"/>
        </w:rPr>
        <w:t xml:space="preserve"> March, 2013; 23</w:t>
      </w:r>
      <w:r w:rsidRPr="00942C19">
        <w:rPr>
          <w:szCs w:val="24"/>
          <w:vertAlign w:val="superscript"/>
        </w:rPr>
        <w:t>rd</w:t>
      </w:r>
      <w:r w:rsidRPr="00942C19">
        <w:rPr>
          <w:szCs w:val="24"/>
        </w:rPr>
        <w:t xml:space="preserve"> March, 2013</w:t>
      </w:r>
    </w:p>
    <w:p w:rsidR="00710020" w:rsidRPr="00942C19" w:rsidRDefault="00710020" w:rsidP="00A818DC">
      <w:pPr>
        <w:pStyle w:val="Heading3"/>
        <w:numPr>
          <w:ilvl w:val="0"/>
          <w:numId w:val="10"/>
        </w:numPr>
        <w:tabs>
          <w:tab w:val="clear" w:pos="720"/>
          <w:tab w:val="left" w:pos="864"/>
        </w:tabs>
        <w:snapToGrid w:val="0"/>
        <w:spacing w:after="120"/>
        <w:ind w:left="1440"/>
        <w:rPr>
          <w:szCs w:val="24"/>
        </w:rPr>
      </w:pPr>
      <w:r w:rsidRPr="00942C19">
        <w:rPr>
          <w:szCs w:val="24"/>
        </w:rPr>
        <w:t>Hindustan Times (English)</w:t>
      </w:r>
      <w:r w:rsidR="004A64C1" w:rsidRPr="00942C19">
        <w:rPr>
          <w:szCs w:val="24"/>
        </w:rPr>
        <w:tab/>
      </w:r>
      <w:r w:rsidR="004A64C1" w:rsidRPr="00942C19">
        <w:rPr>
          <w:szCs w:val="24"/>
        </w:rPr>
        <w:tab/>
      </w:r>
      <w:r w:rsidRPr="00942C19">
        <w:rPr>
          <w:szCs w:val="24"/>
        </w:rPr>
        <w:t>: 22</w:t>
      </w:r>
      <w:r w:rsidRPr="00942C19">
        <w:rPr>
          <w:szCs w:val="24"/>
          <w:vertAlign w:val="superscript"/>
        </w:rPr>
        <w:t>nd</w:t>
      </w:r>
      <w:r w:rsidRPr="00942C19">
        <w:rPr>
          <w:szCs w:val="24"/>
        </w:rPr>
        <w:t xml:space="preserve"> March, 2013; 23</w:t>
      </w:r>
      <w:r w:rsidRPr="00942C19">
        <w:rPr>
          <w:szCs w:val="24"/>
          <w:vertAlign w:val="superscript"/>
        </w:rPr>
        <w:t>rd</w:t>
      </w:r>
      <w:r w:rsidRPr="00942C19">
        <w:rPr>
          <w:szCs w:val="24"/>
        </w:rPr>
        <w:t xml:space="preserve"> March, 2013</w:t>
      </w:r>
    </w:p>
    <w:p w:rsidR="00710020" w:rsidRPr="00942C19" w:rsidRDefault="00710020" w:rsidP="00A818DC">
      <w:pPr>
        <w:pStyle w:val="Heading3"/>
        <w:numPr>
          <w:ilvl w:val="0"/>
          <w:numId w:val="10"/>
        </w:numPr>
        <w:tabs>
          <w:tab w:val="clear" w:pos="720"/>
          <w:tab w:val="left" w:pos="864"/>
        </w:tabs>
        <w:snapToGrid w:val="0"/>
        <w:spacing w:after="120"/>
        <w:ind w:left="1440"/>
        <w:rPr>
          <w:szCs w:val="24"/>
        </w:rPr>
      </w:pPr>
      <w:r w:rsidRPr="00942C19">
        <w:rPr>
          <w:szCs w:val="24"/>
        </w:rPr>
        <w:t xml:space="preserve">Dainik Jagran (Hindi) </w:t>
      </w:r>
      <w:r w:rsidR="004A64C1" w:rsidRPr="00942C19">
        <w:rPr>
          <w:szCs w:val="24"/>
        </w:rPr>
        <w:tab/>
      </w:r>
      <w:r w:rsidR="004A64C1" w:rsidRPr="00942C19">
        <w:rPr>
          <w:szCs w:val="24"/>
        </w:rPr>
        <w:tab/>
      </w:r>
      <w:r w:rsidR="004A64C1" w:rsidRPr="00942C19">
        <w:rPr>
          <w:szCs w:val="24"/>
        </w:rPr>
        <w:tab/>
      </w:r>
      <w:r w:rsidRPr="00942C19">
        <w:rPr>
          <w:szCs w:val="24"/>
        </w:rPr>
        <w:t>: 22</w:t>
      </w:r>
      <w:r w:rsidRPr="00942C19">
        <w:rPr>
          <w:szCs w:val="24"/>
          <w:vertAlign w:val="superscript"/>
        </w:rPr>
        <w:t>nd</w:t>
      </w:r>
      <w:r w:rsidRPr="00942C19">
        <w:rPr>
          <w:szCs w:val="24"/>
        </w:rPr>
        <w:t xml:space="preserve"> March, 2013; 23</w:t>
      </w:r>
      <w:r w:rsidRPr="00942C19">
        <w:rPr>
          <w:szCs w:val="24"/>
          <w:vertAlign w:val="superscript"/>
        </w:rPr>
        <w:t>rd</w:t>
      </w:r>
      <w:r w:rsidRPr="00942C19">
        <w:rPr>
          <w:szCs w:val="24"/>
        </w:rPr>
        <w:t xml:space="preserve"> March, 2013</w:t>
      </w:r>
    </w:p>
    <w:p w:rsidR="00710020" w:rsidRPr="00942C19" w:rsidRDefault="00710020" w:rsidP="00A818DC">
      <w:pPr>
        <w:pStyle w:val="Heading3"/>
        <w:numPr>
          <w:ilvl w:val="0"/>
          <w:numId w:val="10"/>
        </w:numPr>
        <w:tabs>
          <w:tab w:val="clear" w:pos="720"/>
          <w:tab w:val="left" w:pos="864"/>
        </w:tabs>
        <w:snapToGrid w:val="0"/>
        <w:spacing w:after="120"/>
        <w:ind w:left="1440"/>
        <w:rPr>
          <w:szCs w:val="24"/>
        </w:rPr>
      </w:pPr>
      <w:r w:rsidRPr="00942C19">
        <w:rPr>
          <w:szCs w:val="24"/>
        </w:rPr>
        <w:t xml:space="preserve">Amar Ujala (Hindi) </w:t>
      </w:r>
      <w:r w:rsidR="004A64C1" w:rsidRPr="00942C19">
        <w:rPr>
          <w:szCs w:val="24"/>
        </w:rPr>
        <w:tab/>
      </w:r>
      <w:r w:rsidR="004A64C1" w:rsidRPr="00942C19">
        <w:rPr>
          <w:szCs w:val="24"/>
        </w:rPr>
        <w:tab/>
      </w:r>
      <w:r w:rsidR="004A64C1" w:rsidRPr="00942C19">
        <w:rPr>
          <w:szCs w:val="24"/>
        </w:rPr>
        <w:tab/>
      </w:r>
      <w:r w:rsidRPr="00942C19">
        <w:rPr>
          <w:szCs w:val="24"/>
        </w:rPr>
        <w:t>: 22</w:t>
      </w:r>
      <w:r w:rsidRPr="00942C19">
        <w:rPr>
          <w:szCs w:val="24"/>
          <w:vertAlign w:val="superscript"/>
        </w:rPr>
        <w:t>nd</w:t>
      </w:r>
      <w:r w:rsidRPr="00942C19">
        <w:rPr>
          <w:szCs w:val="24"/>
        </w:rPr>
        <w:t xml:space="preserve"> March, 2013; 23</w:t>
      </w:r>
      <w:r w:rsidRPr="00942C19">
        <w:rPr>
          <w:szCs w:val="24"/>
          <w:vertAlign w:val="superscript"/>
        </w:rPr>
        <w:t>rd</w:t>
      </w:r>
      <w:r w:rsidRPr="00942C19">
        <w:rPr>
          <w:szCs w:val="24"/>
        </w:rPr>
        <w:t xml:space="preserve"> March, 2013</w:t>
      </w:r>
    </w:p>
    <w:p w:rsidR="00710020" w:rsidRPr="00942C19" w:rsidRDefault="00785E17" w:rsidP="00A818DC">
      <w:pPr>
        <w:pStyle w:val="Heading3"/>
        <w:numPr>
          <w:ilvl w:val="0"/>
          <w:numId w:val="10"/>
        </w:numPr>
        <w:tabs>
          <w:tab w:val="clear" w:pos="720"/>
          <w:tab w:val="left" w:pos="864"/>
        </w:tabs>
        <w:snapToGrid w:val="0"/>
        <w:spacing w:after="120"/>
        <w:ind w:left="1440"/>
      </w:pPr>
      <w:r w:rsidRPr="00942C19">
        <w:rPr>
          <w:szCs w:val="24"/>
        </w:rPr>
        <w:t xml:space="preserve">Rashtriya Sahara (Urdu) </w:t>
      </w:r>
      <w:r w:rsidR="004A64C1" w:rsidRPr="00942C19">
        <w:rPr>
          <w:szCs w:val="24"/>
        </w:rPr>
        <w:tab/>
      </w:r>
      <w:r w:rsidR="004A64C1" w:rsidRPr="00942C19">
        <w:rPr>
          <w:szCs w:val="24"/>
        </w:rPr>
        <w:tab/>
      </w:r>
      <w:r w:rsidRPr="00942C19">
        <w:rPr>
          <w:szCs w:val="24"/>
        </w:rPr>
        <w:t>: 22</w:t>
      </w:r>
      <w:r w:rsidRPr="00942C19">
        <w:rPr>
          <w:szCs w:val="24"/>
          <w:vertAlign w:val="superscript"/>
        </w:rPr>
        <w:t>nd</w:t>
      </w:r>
      <w:r w:rsidRPr="00942C19">
        <w:rPr>
          <w:szCs w:val="24"/>
        </w:rPr>
        <w:t xml:space="preserve"> March, 2013; 23</w:t>
      </w:r>
      <w:r w:rsidRPr="00942C19">
        <w:rPr>
          <w:szCs w:val="24"/>
          <w:vertAlign w:val="superscript"/>
        </w:rPr>
        <w:t>rd</w:t>
      </w:r>
      <w:r w:rsidRPr="00942C19">
        <w:rPr>
          <w:szCs w:val="24"/>
        </w:rPr>
        <w:t xml:space="preserve"> March, 2013</w:t>
      </w:r>
    </w:p>
    <w:p w:rsidR="00710020" w:rsidRPr="00942C19" w:rsidRDefault="00785E17" w:rsidP="00A818DC">
      <w:pPr>
        <w:pStyle w:val="Heading3"/>
        <w:numPr>
          <w:ilvl w:val="0"/>
          <w:numId w:val="10"/>
        </w:numPr>
        <w:tabs>
          <w:tab w:val="clear" w:pos="720"/>
          <w:tab w:val="left" w:pos="864"/>
        </w:tabs>
        <w:snapToGrid w:val="0"/>
        <w:spacing w:after="120"/>
        <w:ind w:left="1440"/>
      </w:pPr>
      <w:r w:rsidRPr="00942C19">
        <w:rPr>
          <w:szCs w:val="24"/>
        </w:rPr>
        <w:t xml:space="preserve">Rashtriya Sahara (Hindi) </w:t>
      </w:r>
      <w:r w:rsidR="004A64C1" w:rsidRPr="00942C19">
        <w:rPr>
          <w:szCs w:val="24"/>
        </w:rPr>
        <w:tab/>
      </w:r>
      <w:r w:rsidR="004A64C1" w:rsidRPr="00942C19">
        <w:rPr>
          <w:szCs w:val="24"/>
        </w:rPr>
        <w:tab/>
      </w:r>
      <w:r w:rsidRPr="00942C19">
        <w:rPr>
          <w:szCs w:val="24"/>
        </w:rPr>
        <w:t>: 22</w:t>
      </w:r>
      <w:r w:rsidRPr="00942C19">
        <w:rPr>
          <w:szCs w:val="24"/>
          <w:vertAlign w:val="superscript"/>
        </w:rPr>
        <w:t>nd</w:t>
      </w:r>
      <w:r w:rsidRPr="00942C19">
        <w:rPr>
          <w:szCs w:val="24"/>
        </w:rPr>
        <w:t xml:space="preserve"> March, 2013; 23</w:t>
      </w:r>
      <w:r w:rsidRPr="00942C19">
        <w:rPr>
          <w:szCs w:val="24"/>
          <w:vertAlign w:val="superscript"/>
        </w:rPr>
        <w:t>rd</w:t>
      </w:r>
      <w:r w:rsidRPr="00942C19">
        <w:rPr>
          <w:szCs w:val="24"/>
        </w:rPr>
        <w:t xml:space="preserve"> March, 2013</w:t>
      </w:r>
    </w:p>
    <w:p w:rsidR="00710020" w:rsidRPr="00942C19" w:rsidRDefault="00785E17" w:rsidP="00A818DC">
      <w:pPr>
        <w:pStyle w:val="Heading3"/>
        <w:numPr>
          <w:ilvl w:val="0"/>
          <w:numId w:val="10"/>
        </w:numPr>
        <w:tabs>
          <w:tab w:val="clear" w:pos="720"/>
          <w:tab w:val="left" w:pos="864"/>
        </w:tabs>
        <w:snapToGrid w:val="0"/>
        <w:spacing w:after="120"/>
        <w:ind w:left="1440"/>
        <w:rPr>
          <w:szCs w:val="24"/>
        </w:rPr>
      </w:pPr>
      <w:r w:rsidRPr="00942C19">
        <w:rPr>
          <w:szCs w:val="24"/>
        </w:rPr>
        <w:t>HIndustan (Hindi), Bareli Edition</w:t>
      </w:r>
      <w:r w:rsidR="004A64C1" w:rsidRPr="00942C19">
        <w:rPr>
          <w:szCs w:val="24"/>
        </w:rPr>
        <w:tab/>
      </w:r>
      <w:r w:rsidRPr="00942C19">
        <w:rPr>
          <w:szCs w:val="24"/>
        </w:rPr>
        <w:t>: 22</w:t>
      </w:r>
      <w:r w:rsidRPr="00942C19">
        <w:rPr>
          <w:szCs w:val="24"/>
          <w:vertAlign w:val="superscript"/>
        </w:rPr>
        <w:t>nd</w:t>
      </w:r>
      <w:r w:rsidRPr="00942C19">
        <w:rPr>
          <w:szCs w:val="24"/>
        </w:rPr>
        <w:t xml:space="preserve"> March, 2013; 23</w:t>
      </w:r>
      <w:r w:rsidRPr="00942C19">
        <w:rPr>
          <w:szCs w:val="24"/>
          <w:vertAlign w:val="superscript"/>
        </w:rPr>
        <w:t>rd</w:t>
      </w:r>
      <w:r w:rsidRPr="00942C19">
        <w:rPr>
          <w:szCs w:val="24"/>
        </w:rPr>
        <w:t xml:space="preserve"> March, 2013</w:t>
      </w:r>
    </w:p>
    <w:p w:rsidR="00336DDA" w:rsidRPr="00942C19" w:rsidRDefault="00336DDA" w:rsidP="00710020">
      <w:pPr>
        <w:pStyle w:val="Default"/>
        <w:spacing w:before="120" w:after="120" w:line="276" w:lineRule="auto"/>
        <w:ind w:left="630" w:firstLine="90"/>
        <w:jc w:val="both"/>
        <w:rPr>
          <w:rFonts w:asciiTheme="minorHAnsi" w:hAnsiTheme="minorHAnsi" w:cstheme="minorHAnsi"/>
        </w:rPr>
      </w:pPr>
    </w:p>
    <w:p w:rsidR="0075482C" w:rsidRPr="00942C19" w:rsidRDefault="0075482C" w:rsidP="00074426">
      <w:pPr>
        <w:pStyle w:val="Default"/>
        <w:spacing w:line="276" w:lineRule="auto"/>
        <w:ind w:left="630" w:firstLine="90"/>
        <w:jc w:val="both"/>
        <w:rPr>
          <w:rFonts w:asciiTheme="minorHAnsi" w:hAnsiTheme="minorHAnsi" w:cstheme="minorHAnsi"/>
        </w:rPr>
      </w:pPr>
    </w:p>
    <w:p w:rsidR="00A44CA7" w:rsidRPr="00942C19" w:rsidRDefault="00A44CA7">
      <w:pPr>
        <w:pStyle w:val="Default"/>
        <w:spacing w:before="80" w:line="276" w:lineRule="auto"/>
        <w:ind w:left="1168"/>
        <w:jc w:val="both"/>
        <w:rPr>
          <w:rFonts w:asciiTheme="minorHAnsi" w:hAnsiTheme="minorHAnsi" w:cstheme="minorHAnsi"/>
          <w:color w:val="auto"/>
        </w:rPr>
      </w:pPr>
    </w:p>
    <w:p w:rsidR="005867F1" w:rsidRPr="00942C19" w:rsidRDefault="005867F1" w:rsidP="0075482C">
      <w:pPr>
        <w:spacing w:before="240"/>
        <w:ind w:left="360" w:firstLine="90"/>
        <w:rPr>
          <w:rFonts w:asciiTheme="minorHAnsi" w:hAnsiTheme="minorHAnsi" w:cstheme="minorHAnsi"/>
          <w:color w:val="000000"/>
          <w:lang w:val="en-US"/>
        </w:rPr>
      </w:pPr>
    </w:p>
    <w:p w:rsidR="00701907" w:rsidRPr="00942C19" w:rsidRDefault="00701907">
      <w:pPr>
        <w:spacing w:before="0" w:line="240" w:lineRule="auto"/>
        <w:jc w:val="left"/>
        <w:rPr>
          <w:rFonts w:cs="Arial"/>
          <w:b/>
          <w:bCs/>
          <w:color w:val="333399"/>
          <w:kern w:val="32"/>
          <w:szCs w:val="32"/>
        </w:rPr>
      </w:pPr>
      <w:r w:rsidRPr="00942C19">
        <w:br w:type="page"/>
      </w:r>
    </w:p>
    <w:p w:rsidR="005867F1" w:rsidRPr="00942C19" w:rsidRDefault="00E25937" w:rsidP="00D664F6">
      <w:pPr>
        <w:pStyle w:val="Heading1"/>
      </w:pPr>
      <w:bookmarkStart w:id="37" w:name="_Toc357714353"/>
      <w:r w:rsidRPr="00942C19">
        <w:lastRenderedPageBreak/>
        <w:t>PUBLIC HEARING PROCESS</w:t>
      </w:r>
      <w:bookmarkEnd w:id="37"/>
    </w:p>
    <w:p w:rsidR="00367576" w:rsidRPr="00942C19" w:rsidRDefault="00367576" w:rsidP="00772582"/>
    <w:p w:rsidR="00E25937" w:rsidRPr="00942C19" w:rsidRDefault="00E25937" w:rsidP="00A818DC">
      <w:pPr>
        <w:pStyle w:val="Heading2"/>
        <w:numPr>
          <w:ilvl w:val="1"/>
          <w:numId w:val="21"/>
        </w:numPr>
        <w:ind w:left="782" w:hanging="782"/>
      </w:pPr>
      <w:bookmarkStart w:id="38" w:name="_Toc357714354"/>
      <w:r w:rsidRPr="00942C19">
        <w:t>OBJECTIVE</w:t>
      </w:r>
      <w:bookmarkEnd w:id="38"/>
    </w:p>
    <w:p w:rsidR="00E25937" w:rsidRPr="00942C19" w:rsidRDefault="00E25937" w:rsidP="00D95382">
      <w:pPr>
        <w:pStyle w:val="Heading3"/>
        <w:tabs>
          <w:tab w:val="clear" w:pos="720"/>
          <w:tab w:val="clear" w:pos="936"/>
          <w:tab w:val="num" w:pos="993"/>
        </w:tabs>
        <w:spacing w:before="240" w:after="240"/>
        <w:ind w:left="993"/>
      </w:pPr>
      <w:r w:rsidRPr="00942C19">
        <w:t xml:space="preserve">The Commission, in order to achieve the twin objective i.e. to observe transparency in its proceedings and functions and to protect interest of </w:t>
      </w:r>
      <w:r w:rsidR="00D95382" w:rsidRPr="00942C19">
        <w:t>consumers</w:t>
      </w:r>
      <w:r w:rsidRPr="00942C19">
        <w:t xml:space="preserve"> has always attached importance to the views / comments / suggestions / objections / representations of the public on the ARR / Tariff </w:t>
      </w:r>
      <w:r w:rsidR="00D95382" w:rsidRPr="00942C19">
        <w:t xml:space="preserve">determination process. </w:t>
      </w:r>
      <w:r w:rsidRPr="00942C19">
        <w:t xml:space="preserve">The process gains significant importance in a “cost plus regime”, where the entire cost allowed to the </w:t>
      </w:r>
      <w:r w:rsidR="009A3804" w:rsidRPr="00942C19">
        <w:t>Licensee</w:t>
      </w:r>
      <w:r w:rsidRPr="00942C19">
        <w:t xml:space="preserve"> gets transferred to the consumer. </w:t>
      </w:r>
    </w:p>
    <w:p w:rsidR="00E25937" w:rsidRPr="00942C19" w:rsidRDefault="00E25937" w:rsidP="00D95382">
      <w:pPr>
        <w:pStyle w:val="Heading3"/>
        <w:tabs>
          <w:tab w:val="clear" w:pos="720"/>
          <w:tab w:val="clear" w:pos="936"/>
          <w:tab w:val="num" w:pos="993"/>
        </w:tabs>
        <w:spacing w:before="240" w:after="240"/>
        <w:ind w:left="993"/>
      </w:pPr>
      <w:r w:rsidRPr="00942C19">
        <w:t xml:space="preserve">The comments of the consumers play an important role in the determination of tariff and the design of the rate schedule. Factors such </w:t>
      </w:r>
      <w:r w:rsidR="00C922D4" w:rsidRPr="00942C19">
        <w:t xml:space="preserve">as </w:t>
      </w:r>
      <w:r w:rsidRPr="00942C19">
        <w:t xml:space="preserve">quality of electricity supply and the service levels need to be considered while determining the tariff. The Commission takes into consideration the submissions of the consumers before it embarks upon the exercise of determining the tariff. </w:t>
      </w:r>
    </w:p>
    <w:p w:rsidR="00E25937" w:rsidRPr="00942C19" w:rsidRDefault="00E25937" w:rsidP="00D95382">
      <w:pPr>
        <w:pStyle w:val="Heading3"/>
        <w:tabs>
          <w:tab w:val="clear" w:pos="720"/>
          <w:tab w:val="clear" w:pos="936"/>
          <w:tab w:val="num" w:pos="993"/>
        </w:tabs>
        <w:spacing w:before="240" w:after="240"/>
        <w:ind w:left="993"/>
      </w:pPr>
      <w:r w:rsidRPr="00942C19">
        <w:t>The Commission, by holding public hearings, has provided the various stakeholders as well as the public at large</w:t>
      </w:r>
      <w:r w:rsidR="005C7200" w:rsidRPr="00942C19">
        <w:t>,</w:t>
      </w:r>
      <w:r w:rsidRPr="00942C19">
        <w:t xml:space="preserve"> a platform where they were able to share their views / comments / suggestions / objections / representations </w:t>
      </w:r>
      <w:r w:rsidR="00C922D4" w:rsidRPr="00942C19">
        <w:t xml:space="preserve">for determination of the retail tariff </w:t>
      </w:r>
      <w:r w:rsidRPr="00942C19">
        <w:t xml:space="preserve">for FY </w:t>
      </w:r>
      <w:r w:rsidR="00313878" w:rsidRPr="00942C19">
        <w:t>201</w:t>
      </w:r>
      <w:r w:rsidR="003E3FAD" w:rsidRPr="00942C19">
        <w:t>3</w:t>
      </w:r>
      <w:r w:rsidR="00313878" w:rsidRPr="00942C19">
        <w:t xml:space="preserve"> - 1</w:t>
      </w:r>
      <w:r w:rsidR="003E3FAD" w:rsidRPr="00942C19">
        <w:t>4</w:t>
      </w:r>
      <w:r w:rsidRPr="00942C19">
        <w:t xml:space="preserve">. </w:t>
      </w:r>
      <w:r w:rsidR="00C922D4" w:rsidRPr="00942C19">
        <w:t xml:space="preserve">This process </w:t>
      </w:r>
      <w:r w:rsidRPr="00942C19">
        <w:t>also enable</w:t>
      </w:r>
      <w:r w:rsidR="00C922D4" w:rsidRPr="00942C19">
        <w:t>s</w:t>
      </w:r>
      <w:r w:rsidRPr="00942C19">
        <w:t xml:space="preserve"> the Commission to adopt a transparent and participative approach in the process of tariff determination</w:t>
      </w:r>
    </w:p>
    <w:p w:rsidR="00E25937" w:rsidRPr="00942C19" w:rsidRDefault="00E25937" w:rsidP="00E25937">
      <w:pPr>
        <w:pStyle w:val="Default"/>
        <w:spacing w:line="276" w:lineRule="auto"/>
        <w:ind w:firstLine="90"/>
        <w:jc w:val="both"/>
        <w:rPr>
          <w:rFonts w:asciiTheme="minorHAnsi" w:hAnsiTheme="minorHAnsi" w:cstheme="minorHAnsi"/>
          <w:b/>
          <w:bCs/>
          <w:color w:val="auto"/>
        </w:rPr>
      </w:pPr>
    </w:p>
    <w:p w:rsidR="00E25937" w:rsidRPr="00942C19" w:rsidRDefault="00E25937" w:rsidP="00A818DC">
      <w:pPr>
        <w:pStyle w:val="Heading2"/>
        <w:numPr>
          <w:ilvl w:val="1"/>
          <w:numId w:val="21"/>
        </w:numPr>
        <w:ind w:left="782" w:hanging="782"/>
        <w:rPr>
          <w:color w:val="auto"/>
        </w:rPr>
      </w:pPr>
      <w:bookmarkStart w:id="39" w:name="_Toc337201333"/>
      <w:bookmarkStart w:id="40" w:name="_Toc337459174"/>
      <w:bookmarkStart w:id="41" w:name="_Toc357714355"/>
      <w:r w:rsidRPr="00942C19">
        <w:t>PUBLIC</w:t>
      </w:r>
      <w:r w:rsidRPr="00942C19">
        <w:rPr>
          <w:color w:val="auto"/>
        </w:rPr>
        <w:t xml:space="preserve"> HEARING:</w:t>
      </w:r>
      <w:bookmarkEnd w:id="39"/>
      <w:bookmarkEnd w:id="40"/>
      <w:bookmarkEnd w:id="41"/>
    </w:p>
    <w:p w:rsidR="00E25937" w:rsidRPr="00942C19" w:rsidRDefault="00E25937" w:rsidP="00D95382">
      <w:pPr>
        <w:pStyle w:val="Heading3"/>
        <w:tabs>
          <w:tab w:val="clear" w:pos="720"/>
          <w:tab w:val="clear" w:pos="936"/>
          <w:tab w:val="num" w:pos="993"/>
        </w:tabs>
        <w:spacing w:before="240" w:after="240"/>
        <w:ind w:left="993"/>
      </w:pPr>
      <w:r w:rsidRPr="00942C19">
        <w:t xml:space="preserve">To provide an opportunity to all sections of the population in the State to air their views and to also obtain feedback from them, </w:t>
      </w:r>
      <w:r w:rsidR="00701907" w:rsidRPr="00942C19">
        <w:t xml:space="preserve">combined </w:t>
      </w:r>
      <w:r w:rsidRPr="00942C19">
        <w:t xml:space="preserve">public hearings were held by the Commission at various places in the State. The public hearings were conducted from </w:t>
      </w:r>
      <w:r w:rsidR="00514B4A" w:rsidRPr="00942C19">
        <w:t>15</w:t>
      </w:r>
      <w:r w:rsidR="00DA226D" w:rsidRPr="00942C19">
        <w:rPr>
          <w:vertAlign w:val="superscript"/>
        </w:rPr>
        <w:t>th</w:t>
      </w:r>
      <w:r w:rsidR="00C922D4" w:rsidRPr="00942C19">
        <w:t xml:space="preserve"> </w:t>
      </w:r>
      <w:r w:rsidR="00514B4A" w:rsidRPr="00942C19">
        <w:t>April</w:t>
      </w:r>
      <w:r w:rsidR="00C922D4" w:rsidRPr="00942C19">
        <w:t>,</w:t>
      </w:r>
      <w:r w:rsidR="00514B4A" w:rsidRPr="00942C19">
        <w:t xml:space="preserve"> </w:t>
      </w:r>
      <w:r w:rsidRPr="00942C19">
        <w:t>201</w:t>
      </w:r>
      <w:r w:rsidR="00514B4A" w:rsidRPr="00942C19">
        <w:t>3</w:t>
      </w:r>
      <w:r w:rsidRPr="00942C19">
        <w:t xml:space="preserve"> to </w:t>
      </w:r>
      <w:r w:rsidR="00514B4A" w:rsidRPr="00942C19">
        <w:t>22</w:t>
      </w:r>
      <w:r w:rsidR="00514B4A" w:rsidRPr="00942C19">
        <w:rPr>
          <w:vertAlign w:val="superscript"/>
        </w:rPr>
        <w:t>nd</w:t>
      </w:r>
      <w:r w:rsidRPr="00942C19">
        <w:t xml:space="preserve"> </w:t>
      </w:r>
      <w:r w:rsidR="00514B4A" w:rsidRPr="00942C19">
        <w:t>April</w:t>
      </w:r>
      <w:r w:rsidR="00C922D4" w:rsidRPr="00942C19">
        <w:t>,</w:t>
      </w:r>
      <w:r w:rsidR="00514B4A" w:rsidRPr="00942C19">
        <w:t xml:space="preserve"> </w:t>
      </w:r>
      <w:r w:rsidRPr="00942C19">
        <w:t>201</w:t>
      </w:r>
      <w:r w:rsidR="00514B4A" w:rsidRPr="00942C19">
        <w:t>3</w:t>
      </w:r>
      <w:r w:rsidRPr="00942C19">
        <w:t xml:space="preserve"> as per details given below. </w:t>
      </w:r>
    </w:p>
    <w:p w:rsidR="00E25937" w:rsidRPr="00942C19" w:rsidRDefault="00E25937" w:rsidP="00E25937">
      <w:pPr>
        <w:pStyle w:val="Heading3"/>
        <w:numPr>
          <w:ilvl w:val="0"/>
          <w:numId w:val="0"/>
        </w:numPr>
        <w:ind w:left="720"/>
        <w:rPr>
          <w:rFonts w:asciiTheme="minorHAnsi" w:hAnsiTheme="minorHAnsi" w:cstheme="minorHAnsi"/>
        </w:rPr>
      </w:pPr>
    </w:p>
    <w:p w:rsidR="00E25937" w:rsidRPr="00942C19" w:rsidRDefault="00E25937" w:rsidP="00E25937">
      <w:pPr>
        <w:pStyle w:val="Caption"/>
        <w:keepNext/>
        <w:jc w:val="center"/>
      </w:pPr>
      <w:bookmarkStart w:id="42" w:name="_Toc337201459"/>
      <w:bookmarkStart w:id="43" w:name="_Toc337459303"/>
      <w:bookmarkStart w:id="44" w:name="_Toc357719694"/>
      <w:r w:rsidRPr="00942C19">
        <w:lastRenderedPageBreak/>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3</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w:t>
      </w:r>
      <w:r w:rsidR="000C642E" w:rsidRPr="00942C19">
        <w:fldChar w:fldCharType="end"/>
      </w:r>
      <w:r w:rsidRPr="00942C19">
        <w:t xml:space="preserve">: SCHEDULE OF PUBLIC HEARING AT VARIOUS LOCATIONS OF </w:t>
      </w:r>
      <w:r w:rsidR="005C7200" w:rsidRPr="00942C19">
        <w:t>THE STATE</w:t>
      </w:r>
      <w:bookmarkEnd w:id="42"/>
      <w:bookmarkEnd w:id="43"/>
      <w:bookmarkEnd w:id="44"/>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45"/>
        <w:gridCol w:w="1773"/>
        <w:gridCol w:w="1843"/>
        <w:gridCol w:w="4524"/>
      </w:tblGrid>
      <w:tr w:rsidR="00701907" w:rsidRPr="00942C19" w:rsidTr="00701907">
        <w:trPr>
          <w:trHeight w:val="457"/>
          <w:tblHeader/>
          <w:jc w:val="center"/>
        </w:trPr>
        <w:tc>
          <w:tcPr>
            <w:tcW w:w="419" w:type="pct"/>
            <w:shd w:val="clear" w:color="auto" w:fill="DBE5F1"/>
          </w:tcPr>
          <w:p w:rsidR="00A44CA7" w:rsidRPr="00942C19" w:rsidRDefault="00701907">
            <w:pPr>
              <w:tabs>
                <w:tab w:val="left" w:pos="1260"/>
              </w:tabs>
              <w:jc w:val="center"/>
              <w:rPr>
                <w:rFonts w:asciiTheme="minorHAnsi" w:hAnsiTheme="minorHAnsi" w:cstheme="minorHAnsi"/>
                <w:b/>
                <w:bCs/>
                <w:color w:val="333399"/>
                <w:kern w:val="32"/>
                <w:szCs w:val="32"/>
              </w:rPr>
            </w:pPr>
            <w:r w:rsidRPr="00942C19">
              <w:rPr>
                <w:rFonts w:asciiTheme="minorHAnsi" w:hAnsiTheme="minorHAnsi" w:cstheme="minorHAnsi"/>
                <w:b/>
              </w:rPr>
              <w:t>S.No</w:t>
            </w:r>
          </w:p>
        </w:tc>
        <w:tc>
          <w:tcPr>
            <w:tcW w:w="998" w:type="pct"/>
            <w:shd w:val="clear" w:color="auto" w:fill="DBE5F1"/>
          </w:tcPr>
          <w:p w:rsidR="00701907" w:rsidRPr="00942C19" w:rsidRDefault="00701907" w:rsidP="00F27B63">
            <w:pPr>
              <w:tabs>
                <w:tab w:val="left" w:pos="1260"/>
              </w:tabs>
              <w:jc w:val="center"/>
              <w:rPr>
                <w:rFonts w:asciiTheme="minorHAnsi" w:hAnsiTheme="minorHAnsi" w:cstheme="minorHAnsi"/>
                <w:b/>
              </w:rPr>
            </w:pPr>
            <w:r w:rsidRPr="00942C19">
              <w:rPr>
                <w:rFonts w:asciiTheme="minorHAnsi" w:hAnsiTheme="minorHAnsi" w:cstheme="minorHAnsi"/>
                <w:b/>
              </w:rPr>
              <w:t>Date</w:t>
            </w:r>
          </w:p>
        </w:tc>
        <w:tc>
          <w:tcPr>
            <w:tcW w:w="1037" w:type="pct"/>
            <w:shd w:val="clear" w:color="auto" w:fill="DBE5F1"/>
          </w:tcPr>
          <w:p w:rsidR="00701907" w:rsidRPr="00942C19" w:rsidRDefault="00701907">
            <w:pPr>
              <w:tabs>
                <w:tab w:val="left" w:pos="1260"/>
              </w:tabs>
              <w:jc w:val="center"/>
              <w:rPr>
                <w:rFonts w:asciiTheme="minorHAnsi" w:hAnsiTheme="minorHAnsi" w:cstheme="minorHAnsi"/>
                <w:b/>
              </w:rPr>
            </w:pPr>
            <w:r w:rsidRPr="00942C19">
              <w:rPr>
                <w:rFonts w:asciiTheme="minorHAnsi" w:hAnsiTheme="minorHAnsi" w:cstheme="minorHAnsi"/>
                <w:b/>
              </w:rPr>
              <w:t>Place of Hearing</w:t>
            </w:r>
          </w:p>
        </w:tc>
        <w:tc>
          <w:tcPr>
            <w:tcW w:w="2546" w:type="pct"/>
            <w:shd w:val="clear" w:color="auto" w:fill="DBE5F1"/>
          </w:tcPr>
          <w:p w:rsidR="00701907" w:rsidRPr="00942C19" w:rsidRDefault="00701907">
            <w:pPr>
              <w:tabs>
                <w:tab w:val="left" w:pos="1260"/>
              </w:tabs>
              <w:jc w:val="center"/>
              <w:rPr>
                <w:rFonts w:asciiTheme="minorHAnsi" w:hAnsiTheme="minorHAnsi" w:cstheme="minorHAnsi"/>
                <w:b/>
              </w:rPr>
            </w:pPr>
            <w:r w:rsidRPr="00942C19">
              <w:rPr>
                <w:rFonts w:asciiTheme="minorHAnsi" w:hAnsiTheme="minorHAnsi" w:cstheme="minorHAnsi"/>
                <w:b/>
              </w:rPr>
              <w:t>Hearings in the matter of</w:t>
            </w:r>
          </w:p>
        </w:tc>
      </w:tr>
      <w:tr w:rsidR="00701907" w:rsidRPr="00942C19" w:rsidTr="00701907">
        <w:trPr>
          <w:trHeight w:val="457"/>
          <w:jc w:val="center"/>
        </w:trPr>
        <w:tc>
          <w:tcPr>
            <w:tcW w:w="419" w:type="pct"/>
            <w:vAlign w:val="center"/>
          </w:tcPr>
          <w:p w:rsidR="00701907" w:rsidRPr="00942C19"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15.04.2013</w:t>
            </w:r>
          </w:p>
        </w:tc>
        <w:tc>
          <w:tcPr>
            <w:tcW w:w="1037"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Kanpur</w:t>
            </w:r>
          </w:p>
        </w:tc>
        <w:tc>
          <w:tcPr>
            <w:tcW w:w="2546" w:type="pct"/>
          </w:tcPr>
          <w:p w:rsidR="00A44CA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UPPTCL, DVVNL, MVVNL, PVVNL, PuVVNL and UPPTCL</w:t>
            </w:r>
          </w:p>
        </w:tc>
      </w:tr>
      <w:tr w:rsidR="00701907" w:rsidRPr="00942C19" w:rsidTr="00701907">
        <w:trPr>
          <w:trHeight w:val="457"/>
          <w:jc w:val="center"/>
        </w:trPr>
        <w:tc>
          <w:tcPr>
            <w:tcW w:w="419" w:type="pct"/>
            <w:vAlign w:val="center"/>
          </w:tcPr>
          <w:p w:rsidR="00701907" w:rsidRPr="00942C19"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17.04.2013</w:t>
            </w:r>
          </w:p>
        </w:tc>
        <w:tc>
          <w:tcPr>
            <w:tcW w:w="1037"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Lucknow</w:t>
            </w:r>
            <w:r w:rsidRPr="00942C19" w:rsidDel="00514B4A">
              <w:rPr>
                <w:rFonts w:asciiTheme="minorHAnsi" w:hAnsiTheme="minorHAnsi" w:cstheme="minorHAnsi"/>
              </w:rPr>
              <w:t xml:space="preserve"> </w:t>
            </w:r>
          </w:p>
        </w:tc>
        <w:tc>
          <w:tcPr>
            <w:tcW w:w="2546" w:type="pct"/>
          </w:tcPr>
          <w:p w:rsidR="00A44CA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UPPTCL, DVVNL, MVVNL, PVVNL, PuVVNL and UPPTCL</w:t>
            </w:r>
          </w:p>
        </w:tc>
      </w:tr>
      <w:tr w:rsidR="00701907" w:rsidRPr="00942C19" w:rsidTr="00701907">
        <w:trPr>
          <w:trHeight w:val="457"/>
          <w:jc w:val="center"/>
        </w:trPr>
        <w:tc>
          <w:tcPr>
            <w:tcW w:w="419" w:type="pct"/>
            <w:vAlign w:val="center"/>
          </w:tcPr>
          <w:p w:rsidR="00701907" w:rsidRPr="00942C19"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22.04.2013</w:t>
            </w:r>
          </w:p>
        </w:tc>
        <w:tc>
          <w:tcPr>
            <w:tcW w:w="1037"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Greater Noida</w:t>
            </w:r>
          </w:p>
        </w:tc>
        <w:tc>
          <w:tcPr>
            <w:tcW w:w="2546" w:type="pct"/>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NPCL</w:t>
            </w:r>
          </w:p>
        </w:tc>
      </w:tr>
      <w:tr w:rsidR="00701907" w:rsidRPr="00942C19" w:rsidTr="00701907">
        <w:trPr>
          <w:trHeight w:val="457"/>
          <w:jc w:val="center"/>
        </w:trPr>
        <w:tc>
          <w:tcPr>
            <w:tcW w:w="419" w:type="pct"/>
            <w:vAlign w:val="center"/>
          </w:tcPr>
          <w:p w:rsidR="00701907" w:rsidRPr="00942C19"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22.04.2013</w:t>
            </w:r>
          </w:p>
        </w:tc>
        <w:tc>
          <w:tcPr>
            <w:tcW w:w="1037" w:type="pct"/>
            <w:vAlign w:val="center"/>
          </w:tcPr>
          <w:p w:rsidR="0070190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Noida</w:t>
            </w:r>
          </w:p>
        </w:tc>
        <w:tc>
          <w:tcPr>
            <w:tcW w:w="2546" w:type="pct"/>
          </w:tcPr>
          <w:p w:rsidR="00A44CA7" w:rsidRPr="00942C19" w:rsidRDefault="00701907">
            <w:pPr>
              <w:tabs>
                <w:tab w:val="left" w:pos="1260"/>
              </w:tabs>
              <w:spacing w:before="0"/>
              <w:jc w:val="center"/>
              <w:rPr>
                <w:rFonts w:asciiTheme="minorHAnsi" w:hAnsiTheme="minorHAnsi" w:cstheme="minorHAnsi"/>
              </w:rPr>
            </w:pPr>
            <w:r w:rsidRPr="00942C19">
              <w:rPr>
                <w:rFonts w:asciiTheme="minorHAnsi" w:hAnsiTheme="minorHAnsi" w:cstheme="minorHAnsi"/>
              </w:rPr>
              <w:t>UPPTCL, DVVNL, MVVNL, PVVNL, PuVVNL and UPPTCL</w:t>
            </w:r>
          </w:p>
        </w:tc>
      </w:tr>
    </w:tbl>
    <w:p w:rsidR="00E25937" w:rsidRPr="00942C19" w:rsidRDefault="00E25937" w:rsidP="009269B7">
      <w:pPr>
        <w:pStyle w:val="Heading3"/>
        <w:tabs>
          <w:tab w:val="clear" w:pos="720"/>
          <w:tab w:val="clear" w:pos="936"/>
          <w:tab w:val="num" w:pos="993"/>
        </w:tabs>
        <w:spacing w:before="240" w:after="240"/>
        <w:ind w:left="993"/>
      </w:pPr>
      <w:r w:rsidRPr="00942C19">
        <w:t xml:space="preserve">Consumer representatives, industry associations as well as several individual consumers participated actively in the public hearing process. </w:t>
      </w:r>
    </w:p>
    <w:p w:rsidR="00E25937" w:rsidRPr="00942C19" w:rsidRDefault="00E25937" w:rsidP="009269B7">
      <w:pPr>
        <w:pStyle w:val="Heading3"/>
        <w:tabs>
          <w:tab w:val="clear" w:pos="720"/>
          <w:tab w:val="clear" w:pos="936"/>
          <w:tab w:val="num" w:pos="993"/>
        </w:tabs>
        <w:spacing w:before="240" w:after="240"/>
        <w:ind w:left="993"/>
      </w:pPr>
      <w:r w:rsidRPr="00942C19">
        <w:t>The views</w:t>
      </w:r>
      <w:r w:rsidR="00C922D4" w:rsidRPr="00942C19">
        <w:t xml:space="preserve"> </w:t>
      </w:r>
      <w:r w:rsidRPr="00942C19">
        <w:t>/ suggestions</w:t>
      </w:r>
      <w:r w:rsidR="00C922D4" w:rsidRPr="00942C19">
        <w:t xml:space="preserve"> </w:t>
      </w:r>
      <w:r w:rsidRPr="00942C19">
        <w:t>/ comments</w:t>
      </w:r>
      <w:r w:rsidR="00C922D4" w:rsidRPr="00942C19">
        <w:t xml:space="preserve"> </w:t>
      </w:r>
      <w:r w:rsidRPr="00942C19">
        <w:t>/ objections</w:t>
      </w:r>
      <w:r w:rsidR="00C922D4" w:rsidRPr="00942C19">
        <w:t xml:space="preserve"> </w:t>
      </w:r>
      <w:r w:rsidRPr="00942C19">
        <w:t xml:space="preserve">/ representations received from the </w:t>
      </w:r>
      <w:r w:rsidR="004A64C1" w:rsidRPr="00942C19">
        <w:t xml:space="preserve">stakeholders and </w:t>
      </w:r>
      <w:r w:rsidRPr="00942C19">
        <w:t xml:space="preserve">public </w:t>
      </w:r>
      <w:r w:rsidR="004A64C1" w:rsidRPr="00942C19">
        <w:t xml:space="preserve">at large </w:t>
      </w:r>
      <w:r w:rsidRPr="00942C19">
        <w:t xml:space="preserve">were forwarded to the </w:t>
      </w:r>
      <w:r w:rsidR="009A3804" w:rsidRPr="00942C19">
        <w:t>Licensee</w:t>
      </w:r>
      <w:r w:rsidRPr="00942C19">
        <w:t xml:space="preserve"> for their comments / response. The Commission considers these submissions of the consumers and the response of the </w:t>
      </w:r>
      <w:r w:rsidR="009A3804" w:rsidRPr="00942C19">
        <w:t>Licensee</w:t>
      </w:r>
      <w:r w:rsidRPr="00942C19">
        <w:t xml:space="preserve"> before it embarks upon the exercise of determining the tariff for </w:t>
      </w:r>
      <w:r w:rsidR="00C922D4" w:rsidRPr="00942C19">
        <w:t>FY 2013-14.</w:t>
      </w:r>
      <w:r w:rsidRPr="00942C19">
        <w:t xml:space="preserve"> </w:t>
      </w:r>
    </w:p>
    <w:p w:rsidR="00E25937" w:rsidRPr="00942C19" w:rsidRDefault="00E25937" w:rsidP="009269B7">
      <w:pPr>
        <w:pStyle w:val="Heading3"/>
        <w:tabs>
          <w:tab w:val="clear" w:pos="720"/>
          <w:tab w:val="clear" w:pos="936"/>
          <w:tab w:val="num" w:pos="993"/>
        </w:tabs>
        <w:spacing w:before="240" w:after="240"/>
        <w:ind w:left="993"/>
      </w:pPr>
      <w:r w:rsidRPr="00942C19">
        <w:t>Besides this</w:t>
      </w:r>
      <w:r w:rsidR="00C922D4" w:rsidRPr="00942C19">
        <w:t>,</w:t>
      </w:r>
      <w:r w:rsidRPr="00942C19">
        <w:t xml:space="preserve"> the Commission, while </w:t>
      </w:r>
      <w:r w:rsidR="00C922D4" w:rsidRPr="00942C19">
        <w:t xml:space="preserve">determining the </w:t>
      </w:r>
      <w:r w:rsidRPr="00942C19">
        <w:t xml:space="preserve">ARR / Tariff </w:t>
      </w:r>
      <w:r w:rsidR="00C922D4" w:rsidRPr="00942C19">
        <w:t>for FY 2013-14</w:t>
      </w:r>
      <w:r w:rsidRPr="00942C19">
        <w:t>, has also taken into consideration the oral and written views / comments / suggestions / objections / representations received from various stakeholders during the public hearings or through post or by e-mail</w:t>
      </w:r>
      <w:r w:rsidR="00C922D4" w:rsidRPr="00942C19">
        <w:t>.</w:t>
      </w:r>
    </w:p>
    <w:p w:rsidR="00E25937" w:rsidRPr="00942C19" w:rsidRDefault="00E25937" w:rsidP="009269B7">
      <w:pPr>
        <w:pStyle w:val="Heading3"/>
        <w:tabs>
          <w:tab w:val="clear" w:pos="720"/>
          <w:tab w:val="clear" w:pos="936"/>
          <w:tab w:val="num" w:pos="993"/>
        </w:tabs>
        <w:spacing w:before="240" w:after="240"/>
        <w:ind w:left="993"/>
      </w:pPr>
      <w:r w:rsidRPr="00942C19">
        <w:t>The Commission has taken note of the views and suggestions submitted by the various stakeholders which provided useful feedback on various issues and the Commission appreciates their keen participation in the entire process.</w:t>
      </w:r>
    </w:p>
    <w:p w:rsidR="00ED1F79" w:rsidRPr="00942C19" w:rsidRDefault="00ED1F79" w:rsidP="00ED1F79">
      <w:pPr>
        <w:pStyle w:val="Default"/>
        <w:spacing w:line="276" w:lineRule="auto"/>
        <w:ind w:firstLine="90"/>
        <w:jc w:val="both"/>
        <w:rPr>
          <w:rFonts w:asciiTheme="minorHAnsi" w:hAnsiTheme="minorHAnsi" w:cstheme="minorHAnsi"/>
          <w:b/>
          <w:bCs/>
          <w:color w:val="auto"/>
        </w:rPr>
      </w:pPr>
    </w:p>
    <w:p w:rsidR="00ED1F79" w:rsidRPr="00942C19" w:rsidRDefault="00ED1F79" w:rsidP="00A818DC">
      <w:pPr>
        <w:pStyle w:val="Heading2"/>
        <w:numPr>
          <w:ilvl w:val="1"/>
          <w:numId w:val="21"/>
        </w:numPr>
        <w:rPr>
          <w:b w:val="0"/>
          <w:i/>
        </w:rPr>
      </w:pPr>
      <w:bookmarkStart w:id="45" w:name="_Toc338354647"/>
      <w:bookmarkStart w:id="46" w:name="_Toc357714356"/>
      <w:r w:rsidRPr="00942C19">
        <w:t>VIEWS / COMMENTS / SUGGESTIONS / OBJECTIONS / REPRESENTATIONS ON ARR / TARIFF</w:t>
      </w:r>
      <w:bookmarkEnd w:id="45"/>
      <w:bookmarkEnd w:id="46"/>
    </w:p>
    <w:p w:rsidR="00ED1F79" w:rsidRPr="00942C19" w:rsidRDefault="00ED1F79" w:rsidP="00ED1F79">
      <w:pPr>
        <w:tabs>
          <w:tab w:val="left" w:pos="720"/>
          <w:tab w:val="left" w:pos="990"/>
          <w:tab w:val="left" w:pos="1260"/>
        </w:tabs>
        <w:ind w:left="90"/>
        <w:rPr>
          <w:rFonts w:asciiTheme="minorHAnsi" w:hAnsiTheme="minorHAnsi" w:cstheme="minorHAnsi"/>
          <w:b/>
          <w:i/>
        </w:rPr>
      </w:pPr>
    </w:p>
    <w:p w:rsidR="00ED1F79" w:rsidRPr="00942C19" w:rsidRDefault="00ED1F79" w:rsidP="004961F1">
      <w:pPr>
        <w:pStyle w:val="Heading3"/>
        <w:tabs>
          <w:tab w:val="clear" w:pos="720"/>
          <w:tab w:val="clear" w:pos="936"/>
          <w:tab w:val="num" w:pos="993"/>
        </w:tabs>
        <w:spacing w:before="240" w:after="240"/>
        <w:ind w:left="993"/>
      </w:pPr>
      <w:r w:rsidRPr="00942C19">
        <w:t xml:space="preserve">The Commission has taken note of the various views / comments / suggestions / objections / representations made by the stakeholders and </w:t>
      </w:r>
      <w:r w:rsidRPr="00942C19">
        <w:lastRenderedPageBreak/>
        <w:t>would like to make specific mention of the following stakeholders for their valuable inputs:</w:t>
      </w:r>
    </w:p>
    <w:p w:rsidR="00ED1F79" w:rsidRPr="00942C19" w:rsidRDefault="00ED1F79" w:rsidP="00A818DC">
      <w:pPr>
        <w:pStyle w:val="ListParagraph"/>
        <w:numPr>
          <w:ilvl w:val="2"/>
          <w:numId w:val="11"/>
        </w:numPr>
        <w:rPr>
          <w:lang w:val="en-US"/>
        </w:rPr>
      </w:pPr>
      <w:r w:rsidRPr="00942C19">
        <w:rPr>
          <w:lang w:val="en-US"/>
        </w:rPr>
        <w:t xml:space="preserve">Mr. </w:t>
      </w:r>
      <w:r w:rsidR="009A3804" w:rsidRPr="00942C19">
        <w:rPr>
          <w:lang w:val="en-US"/>
        </w:rPr>
        <w:t>Awadhesh</w:t>
      </w:r>
      <w:r w:rsidRPr="00942C19">
        <w:rPr>
          <w:lang w:val="en-US"/>
        </w:rPr>
        <w:t xml:space="preserve"> Kumar Verma, Chairman, U</w:t>
      </w:r>
      <w:r w:rsidR="004961F1" w:rsidRPr="00942C19">
        <w:rPr>
          <w:lang w:val="en-US"/>
        </w:rPr>
        <w:t>ttar Pradesh Rajya Vidyut Upbokta Parishad (UPRVUP)</w:t>
      </w:r>
    </w:p>
    <w:p w:rsidR="00ED1F79" w:rsidRPr="00942C19" w:rsidRDefault="00ED1F79" w:rsidP="00A818DC">
      <w:pPr>
        <w:pStyle w:val="ListParagraph"/>
        <w:numPr>
          <w:ilvl w:val="2"/>
          <w:numId w:val="11"/>
        </w:numPr>
        <w:rPr>
          <w:lang w:val="en-US"/>
        </w:rPr>
      </w:pPr>
      <w:r w:rsidRPr="00942C19">
        <w:rPr>
          <w:lang w:val="en-US"/>
        </w:rPr>
        <w:t>Mr. Rama Shankar Awasthi</w:t>
      </w:r>
      <w:r w:rsidR="004961F1" w:rsidRPr="00942C19">
        <w:rPr>
          <w:lang w:val="en-US"/>
        </w:rPr>
        <w:t>, Lucknow</w:t>
      </w:r>
    </w:p>
    <w:p w:rsidR="00ED1F79" w:rsidRPr="00942C19" w:rsidRDefault="00ED1F79" w:rsidP="004961F1">
      <w:pPr>
        <w:pStyle w:val="Heading3"/>
        <w:tabs>
          <w:tab w:val="clear" w:pos="720"/>
          <w:tab w:val="clear" w:pos="936"/>
          <w:tab w:val="num" w:pos="993"/>
        </w:tabs>
        <w:spacing w:before="240" w:after="240"/>
        <w:ind w:left="993"/>
      </w:pPr>
      <w:r w:rsidRPr="00942C19">
        <w:t>The list of the consumers, who have submitted their views / comments / suggestions / objections / representations, is appended at the end of this chapter</w:t>
      </w:r>
      <w:r w:rsidR="007E5E07" w:rsidRPr="00942C19">
        <w:t xml:space="preserve"> at Annexure 10.5</w:t>
      </w:r>
      <w:r w:rsidRPr="00942C19">
        <w:t xml:space="preserve">. The major issues raised therein, the replies given by the </w:t>
      </w:r>
      <w:r w:rsidR="009A3804" w:rsidRPr="00942C19">
        <w:t>Licensee</w:t>
      </w:r>
      <w:r w:rsidRPr="00942C19">
        <w:t xml:space="preserve"> and the views of the Commission have been summarised as detailed below</w:t>
      </w:r>
    </w:p>
    <w:p w:rsidR="00E25937" w:rsidRPr="00942C19" w:rsidRDefault="00E25937" w:rsidP="00E25937">
      <w:pPr>
        <w:pStyle w:val="ListParagraph"/>
      </w:pPr>
    </w:p>
    <w:p w:rsidR="007D7371" w:rsidRPr="00942C19" w:rsidRDefault="007D7371">
      <w:pPr>
        <w:spacing w:before="0" w:line="240" w:lineRule="auto"/>
        <w:jc w:val="left"/>
        <w:rPr>
          <w:rFonts w:asciiTheme="minorHAnsi" w:hAnsiTheme="minorHAnsi" w:cstheme="minorHAnsi"/>
        </w:rPr>
      </w:pPr>
      <w:bookmarkStart w:id="47" w:name="_Toc337124801"/>
      <w:bookmarkStart w:id="48" w:name="_Toc337126637"/>
      <w:bookmarkStart w:id="49" w:name="_Toc337128132"/>
      <w:bookmarkStart w:id="50" w:name="_Toc337133892"/>
      <w:bookmarkStart w:id="51" w:name="_Toc337144500"/>
      <w:bookmarkStart w:id="52" w:name="_Toc337145085"/>
      <w:bookmarkStart w:id="53" w:name="_Toc337146404"/>
      <w:bookmarkStart w:id="54" w:name="_Toc337182839"/>
      <w:bookmarkStart w:id="55" w:name="_Toc337183812"/>
      <w:bookmarkStart w:id="56" w:name="_Toc337184003"/>
      <w:bookmarkStart w:id="57" w:name="_Toc337186746"/>
      <w:bookmarkStart w:id="58" w:name="_Toc337187835"/>
      <w:bookmarkStart w:id="59" w:name="_Toc337190152"/>
      <w:bookmarkStart w:id="60" w:name="_Toc337192448"/>
      <w:bookmarkStart w:id="61" w:name="_Toc337197980"/>
      <w:bookmarkStart w:id="62" w:name="_Toc337198833"/>
      <w:bookmarkStart w:id="63" w:name="_Toc337199179"/>
      <w:bookmarkStart w:id="64" w:name="_Toc337199421"/>
      <w:bookmarkStart w:id="65" w:name="_Toc337199649"/>
      <w:bookmarkStart w:id="66" w:name="_Toc337199966"/>
      <w:bookmarkStart w:id="67" w:name="_Toc337200133"/>
      <w:bookmarkStart w:id="68" w:name="_Toc337133916"/>
      <w:bookmarkStart w:id="69" w:name="_Toc337144524"/>
      <w:bookmarkStart w:id="70" w:name="_Toc337145109"/>
      <w:bookmarkStart w:id="71" w:name="_Toc337146428"/>
      <w:bookmarkStart w:id="72" w:name="_Toc337182863"/>
      <w:bookmarkStart w:id="73" w:name="_Toc337183836"/>
      <w:bookmarkStart w:id="74" w:name="_Toc337184027"/>
      <w:bookmarkStart w:id="75" w:name="_Toc337186770"/>
      <w:bookmarkStart w:id="76" w:name="_Toc337187859"/>
      <w:bookmarkStart w:id="77" w:name="_Toc337190176"/>
      <w:bookmarkStart w:id="78" w:name="_Toc337192472"/>
      <w:bookmarkStart w:id="79" w:name="_Toc337198004"/>
      <w:bookmarkStart w:id="80" w:name="_Toc337198857"/>
      <w:bookmarkStart w:id="81" w:name="_Toc337199203"/>
      <w:bookmarkStart w:id="82" w:name="_Toc337199445"/>
      <w:bookmarkStart w:id="83" w:name="_Toc337199673"/>
      <w:bookmarkStart w:id="84" w:name="_Toc337199990"/>
      <w:bookmarkStart w:id="85" w:name="_Toc337200157"/>
      <w:bookmarkStart w:id="86" w:name="_Toc337133917"/>
      <w:bookmarkStart w:id="87" w:name="_Toc337144525"/>
      <w:bookmarkStart w:id="88" w:name="_Toc337145110"/>
      <w:bookmarkStart w:id="89" w:name="_Toc337146429"/>
      <w:bookmarkStart w:id="90" w:name="_Toc337182864"/>
      <w:bookmarkStart w:id="91" w:name="_Toc337183837"/>
      <w:bookmarkStart w:id="92" w:name="_Toc337184028"/>
      <w:bookmarkStart w:id="93" w:name="_Toc337186771"/>
      <w:bookmarkStart w:id="94" w:name="_Toc337187860"/>
      <w:bookmarkStart w:id="95" w:name="_Toc337190177"/>
      <w:bookmarkStart w:id="96" w:name="_Toc337192473"/>
      <w:bookmarkStart w:id="97" w:name="_Toc337198005"/>
      <w:bookmarkStart w:id="98" w:name="_Toc337198858"/>
      <w:bookmarkStart w:id="99" w:name="_Toc337199204"/>
      <w:bookmarkStart w:id="100" w:name="_Toc337199446"/>
      <w:bookmarkStart w:id="101" w:name="_Toc337199674"/>
      <w:bookmarkStart w:id="102" w:name="_Toc337199991"/>
      <w:bookmarkStart w:id="103" w:name="_Toc337200158"/>
      <w:bookmarkStart w:id="104" w:name="_Toc337133918"/>
      <w:bookmarkStart w:id="105" w:name="_Toc337144526"/>
      <w:bookmarkStart w:id="106" w:name="_Toc337145111"/>
      <w:bookmarkStart w:id="107" w:name="_Toc337146430"/>
      <w:bookmarkStart w:id="108" w:name="_Toc337182865"/>
      <w:bookmarkStart w:id="109" w:name="_Toc337183838"/>
      <w:bookmarkStart w:id="110" w:name="_Toc337184029"/>
      <w:bookmarkStart w:id="111" w:name="_Toc337186772"/>
      <w:bookmarkStart w:id="112" w:name="_Toc337187861"/>
      <w:bookmarkStart w:id="113" w:name="_Toc337190178"/>
      <w:bookmarkStart w:id="114" w:name="_Toc337192474"/>
      <w:bookmarkStart w:id="115" w:name="_Toc337198006"/>
      <w:bookmarkStart w:id="116" w:name="_Toc337198859"/>
      <w:bookmarkStart w:id="117" w:name="_Toc337199205"/>
      <w:bookmarkStart w:id="118" w:name="_Toc337199447"/>
      <w:bookmarkStart w:id="119" w:name="_Toc337199675"/>
      <w:bookmarkStart w:id="120" w:name="_Toc337199992"/>
      <w:bookmarkStart w:id="121" w:name="_Toc337200159"/>
      <w:bookmarkStart w:id="122" w:name="_Toc337133922"/>
      <w:bookmarkStart w:id="123" w:name="_Toc337144530"/>
      <w:bookmarkStart w:id="124" w:name="_Toc337145115"/>
      <w:bookmarkStart w:id="125" w:name="_Toc337146434"/>
      <w:bookmarkStart w:id="126" w:name="_Toc337182869"/>
      <w:bookmarkStart w:id="127" w:name="_Toc337183842"/>
      <w:bookmarkStart w:id="128" w:name="_Toc337184033"/>
      <w:bookmarkStart w:id="129" w:name="_Toc337186776"/>
      <w:bookmarkStart w:id="130" w:name="_Toc337187865"/>
      <w:bookmarkStart w:id="131" w:name="_Toc337190182"/>
      <w:bookmarkStart w:id="132" w:name="_Toc337192478"/>
      <w:bookmarkStart w:id="133" w:name="_Toc337198010"/>
      <w:bookmarkStart w:id="134" w:name="_Toc337198863"/>
      <w:bookmarkStart w:id="135" w:name="_Toc337199209"/>
      <w:bookmarkStart w:id="136" w:name="_Toc337199451"/>
      <w:bookmarkStart w:id="137" w:name="_Toc337199679"/>
      <w:bookmarkStart w:id="138" w:name="_Toc337199996"/>
      <w:bookmarkStart w:id="139" w:name="_Toc337200163"/>
      <w:bookmarkStart w:id="140" w:name="_Toc337133923"/>
      <w:bookmarkStart w:id="141" w:name="_Toc337144531"/>
      <w:bookmarkStart w:id="142" w:name="_Toc337145116"/>
      <w:bookmarkStart w:id="143" w:name="_Toc337146435"/>
      <w:bookmarkStart w:id="144" w:name="_Toc337182870"/>
      <w:bookmarkStart w:id="145" w:name="_Toc337183843"/>
      <w:bookmarkStart w:id="146" w:name="_Toc337184034"/>
      <w:bookmarkStart w:id="147" w:name="_Toc337186777"/>
      <w:bookmarkStart w:id="148" w:name="_Toc337187866"/>
      <w:bookmarkStart w:id="149" w:name="_Toc337190183"/>
      <w:bookmarkStart w:id="150" w:name="_Toc337192479"/>
      <w:bookmarkStart w:id="151" w:name="_Toc337198011"/>
      <w:bookmarkStart w:id="152" w:name="_Toc337198864"/>
      <w:bookmarkStart w:id="153" w:name="_Toc337199210"/>
      <w:bookmarkStart w:id="154" w:name="_Toc337199452"/>
      <w:bookmarkStart w:id="155" w:name="_Toc337199680"/>
      <w:bookmarkStart w:id="156" w:name="_Toc337199997"/>
      <w:bookmarkStart w:id="157" w:name="_Toc337200164"/>
      <w:bookmarkStart w:id="158" w:name="_Toc337133924"/>
      <w:bookmarkStart w:id="159" w:name="_Toc337144532"/>
      <w:bookmarkStart w:id="160" w:name="_Toc337145117"/>
      <w:bookmarkStart w:id="161" w:name="_Toc337146436"/>
      <w:bookmarkStart w:id="162" w:name="_Toc337182871"/>
      <w:bookmarkStart w:id="163" w:name="_Toc337183844"/>
      <w:bookmarkStart w:id="164" w:name="_Toc337184035"/>
      <w:bookmarkStart w:id="165" w:name="_Toc337186778"/>
      <w:bookmarkStart w:id="166" w:name="_Toc337187867"/>
      <w:bookmarkStart w:id="167" w:name="_Toc337190184"/>
      <w:bookmarkStart w:id="168" w:name="_Toc337192480"/>
      <w:bookmarkStart w:id="169" w:name="_Toc337198012"/>
      <w:bookmarkStart w:id="170" w:name="_Toc337198865"/>
      <w:bookmarkStart w:id="171" w:name="_Toc337199211"/>
      <w:bookmarkStart w:id="172" w:name="_Toc337199453"/>
      <w:bookmarkStart w:id="173" w:name="_Toc337199681"/>
      <w:bookmarkStart w:id="174" w:name="_Toc337199998"/>
      <w:bookmarkStart w:id="175" w:name="_Toc337200165"/>
      <w:bookmarkStart w:id="176" w:name="_Toc337095424"/>
      <w:bookmarkStart w:id="177" w:name="_Toc337097092"/>
      <w:bookmarkStart w:id="178" w:name="_Toc337124810"/>
      <w:bookmarkStart w:id="179" w:name="_Toc337126646"/>
      <w:bookmarkStart w:id="180" w:name="_Toc337128141"/>
      <w:bookmarkStart w:id="181" w:name="_Toc337133934"/>
      <w:bookmarkStart w:id="182" w:name="_Toc337144542"/>
      <w:bookmarkStart w:id="183" w:name="_Toc337145127"/>
      <w:bookmarkStart w:id="184" w:name="_Toc337146446"/>
      <w:bookmarkStart w:id="185" w:name="_Toc337182881"/>
      <w:bookmarkStart w:id="186" w:name="_Toc337183854"/>
      <w:bookmarkStart w:id="187" w:name="_Toc337184045"/>
      <w:bookmarkStart w:id="188" w:name="_Toc337186788"/>
      <w:bookmarkStart w:id="189" w:name="_Toc337187877"/>
      <w:bookmarkStart w:id="190" w:name="_Toc337190194"/>
      <w:bookmarkStart w:id="191" w:name="_Toc337192490"/>
      <w:bookmarkStart w:id="192" w:name="_Toc337198022"/>
      <w:bookmarkStart w:id="193" w:name="_Toc337198875"/>
      <w:bookmarkStart w:id="194" w:name="_Toc337199221"/>
      <w:bookmarkStart w:id="195" w:name="_Toc337199463"/>
      <w:bookmarkStart w:id="196" w:name="_Toc337199691"/>
      <w:bookmarkStart w:id="197" w:name="_Toc337200008"/>
      <w:bookmarkStart w:id="198" w:name="_Toc337200175"/>
      <w:bookmarkStart w:id="199" w:name="_Toc337095425"/>
      <w:bookmarkStart w:id="200" w:name="_Toc337097093"/>
      <w:bookmarkStart w:id="201" w:name="_Toc337124811"/>
      <w:bookmarkStart w:id="202" w:name="_Toc337126647"/>
      <w:bookmarkStart w:id="203" w:name="_Toc337128142"/>
      <w:bookmarkStart w:id="204" w:name="_Toc337133935"/>
      <w:bookmarkStart w:id="205" w:name="_Toc337144543"/>
      <w:bookmarkStart w:id="206" w:name="_Toc337145128"/>
      <w:bookmarkStart w:id="207" w:name="_Toc337146447"/>
      <w:bookmarkStart w:id="208" w:name="_Toc337182882"/>
      <w:bookmarkStart w:id="209" w:name="_Toc337183855"/>
      <w:bookmarkStart w:id="210" w:name="_Toc337184046"/>
      <w:bookmarkStart w:id="211" w:name="_Toc337186789"/>
      <w:bookmarkStart w:id="212" w:name="_Toc337187878"/>
      <w:bookmarkStart w:id="213" w:name="_Toc337190195"/>
      <w:bookmarkStart w:id="214" w:name="_Toc337192491"/>
      <w:bookmarkStart w:id="215" w:name="_Toc337198023"/>
      <w:bookmarkStart w:id="216" w:name="_Toc337198876"/>
      <w:bookmarkStart w:id="217" w:name="_Toc337199222"/>
      <w:bookmarkStart w:id="218" w:name="_Toc337199464"/>
      <w:bookmarkStart w:id="219" w:name="_Toc337199692"/>
      <w:bookmarkStart w:id="220" w:name="_Toc337200009"/>
      <w:bookmarkStart w:id="221" w:name="_Toc337200176"/>
      <w:bookmarkStart w:id="222" w:name="_Toc337095426"/>
      <w:bookmarkStart w:id="223" w:name="_Toc337097094"/>
      <w:bookmarkStart w:id="224" w:name="_Toc337124812"/>
      <w:bookmarkStart w:id="225" w:name="_Toc337126648"/>
      <w:bookmarkStart w:id="226" w:name="_Toc337128143"/>
      <w:bookmarkStart w:id="227" w:name="_Toc337133936"/>
      <w:bookmarkStart w:id="228" w:name="_Toc337144544"/>
      <w:bookmarkStart w:id="229" w:name="_Toc337145129"/>
      <w:bookmarkStart w:id="230" w:name="_Toc337146448"/>
      <w:bookmarkStart w:id="231" w:name="_Toc337182883"/>
      <w:bookmarkStart w:id="232" w:name="_Toc337183856"/>
      <w:bookmarkStart w:id="233" w:name="_Toc337184047"/>
      <w:bookmarkStart w:id="234" w:name="_Toc337186790"/>
      <w:bookmarkStart w:id="235" w:name="_Toc337187879"/>
      <w:bookmarkStart w:id="236" w:name="_Toc337190196"/>
      <w:bookmarkStart w:id="237" w:name="_Toc337192492"/>
      <w:bookmarkStart w:id="238" w:name="_Toc337198024"/>
      <w:bookmarkStart w:id="239" w:name="_Toc337198877"/>
      <w:bookmarkStart w:id="240" w:name="_Toc337199223"/>
      <w:bookmarkStart w:id="241" w:name="_Toc337199465"/>
      <w:bookmarkStart w:id="242" w:name="_Toc337199693"/>
      <w:bookmarkStart w:id="243" w:name="_Toc337200010"/>
      <w:bookmarkStart w:id="244" w:name="_Toc337200177"/>
      <w:bookmarkStart w:id="245" w:name="_Toc337095455"/>
      <w:bookmarkStart w:id="246" w:name="_Toc337097123"/>
      <w:bookmarkStart w:id="247" w:name="_Toc337124841"/>
      <w:bookmarkStart w:id="248" w:name="_Toc337126677"/>
      <w:bookmarkStart w:id="249" w:name="_Toc337128172"/>
      <w:bookmarkStart w:id="250" w:name="_Toc337133965"/>
      <w:bookmarkStart w:id="251" w:name="_Toc337144573"/>
      <w:bookmarkStart w:id="252" w:name="_Toc337145158"/>
      <w:bookmarkStart w:id="253" w:name="_Toc337146477"/>
      <w:bookmarkStart w:id="254" w:name="_Toc337182912"/>
      <w:bookmarkStart w:id="255" w:name="_Toc337183885"/>
      <w:bookmarkStart w:id="256" w:name="_Toc337184076"/>
      <w:bookmarkStart w:id="257" w:name="_Toc337186819"/>
      <w:bookmarkStart w:id="258" w:name="_Toc337187908"/>
      <w:bookmarkStart w:id="259" w:name="_Toc337190225"/>
      <w:bookmarkStart w:id="260" w:name="_Toc337192521"/>
      <w:bookmarkStart w:id="261" w:name="_Toc337198053"/>
      <w:bookmarkStart w:id="262" w:name="_Toc337198906"/>
      <w:bookmarkStart w:id="263" w:name="_Toc337199252"/>
      <w:bookmarkStart w:id="264" w:name="_Toc337199494"/>
      <w:bookmarkStart w:id="265" w:name="_Toc337199722"/>
      <w:bookmarkStart w:id="266" w:name="_Toc337200039"/>
      <w:bookmarkStart w:id="267" w:name="_Toc337200206"/>
      <w:bookmarkStart w:id="268" w:name="_Toc337095457"/>
      <w:bookmarkStart w:id="269" w:name="_Toc337097125"/>
      <w:bookmarkStart w:id="270" w:name="_Toc337124843"/>
      <w:bookmarkStart w:id="271" w:name="_Toc337126679"/>
      <w:bookmarkStart w:id="272" w:name="_Toc337128174"/>
      <w:bookmarkStart w:id="273" w:name="_Toc337133967"/>
      <w:bookmarkStart w:id="274" w:name="_Toc337144575"/>
      <w:bookmarkStart w:id="275" w:name="_Toc337145160"/>
      <w:bookmarkStart w:id="276" w:name="_Toc337146479"/>
      <w:bookmarkStart w:id="277" w:name="_Toc337182914"/>
      <w:bookmarkStart w:id="278" w:name="_Toc337183887"/>
      <w:bookmarkStart w:id="279" w:name="_Toc337184078"/>
      <w:bookmarkStart w:id="280" w:name="_Toc337186821"/>
      <w:bookmarkStart w:id="281" w:name="_Toc337187910"/>
      <w:bookmarkStart w:id="282" w:name="_Toc337190227"/>
      <w:bookmarkStart w:id="283" w:name="_Toc337192523"/>
      <w:bookmarkStart w:id="284" w:name="_Toc337198055"/>
      <w:bookmarkStart w:id="285" w:name="_Toc337198908"/>
      <w:bookmarkStart w:id="286" w:name="_Toc337199254"/>
      <w:bookmarkStart w:id="287" w:name="_Toc337199496"/>
      <w:bookmarkStart w:id="288" w:name="_Toc337199724"/>
      <w:bookmarkStart w:id="289" w:name="_Toc337200041"/>
      <w:bookmarkStart w:id="290" w:name="_Toc337200208"/>
      <w:bookmarkStart w:id="291" w:name="_Toc337095477"/>
      <w:bookmarkStart w:id="292" w:name="_Toc337097145"/>
      <w:bookmarkStart w:id="293" w:name="_Toc337124863"/>
      <w:bookmarkStart w:id="294" w:name="_Toc337126699"/>
      <w:bookmarkStart w:id="295" w:name="_Toc337128205"/>
      <w:bookmarkStart w:id="296" w:name="_Toc337133987"/>
      <w:bookmarkStart w:id="297" w:name="_Toc337144595"/>
      <w:bookmarkStart w:id="298" w:name="_Toc337145180"/>
      <w:bookmarkStart w:id="299" w:name="_Toc337146499"/>
      <w:bookmarkStart w:id="300" w:name="_Toc337182934"/>
      <w:bookmarkStart w:id="301" w:name="_Toc337183907"/>
      <w:bookmarkStart w:id="302" w:name="_Toc337184098"/>
      <w:bookmarkStart w:id="303" w:name="_Toc337186841"/>
      <w:bookmarkStart w:id="304" w:name="_Toc337187930"/>
      <w:bookmarkStart w:id="305" w:name="_Toc337190247"/>
      <w:bookmarkStart w:id="306" w:name="_Toc337192543"/>
      <w:bookmarkStart w:id="307" w:name="_Toc337198075"/>
      <w:bookmarkStart w:id="308" w:name="_Toc337198928"/>
      <w:bookmarkStart w:id="309" w:name="_Toc337199274"/>
      <w:bookmarkStart w:id="310" w:name="_Toc337199516"/>
      <w:bookmarkStart w:id="311" w:name="_Toc337199744"/>
      <w:bookmarkStart w:id="312" w:name="_Toc337200061"/>
      <w:bookmarkStart w:id="313" w:name="_Toc33720022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7D7371" w:rsidRPr="00942C19" w:rsidRDefault="007D7371" w:rsidP="00A818DC">
      <w:pPr>
        <w:pStyle w:val="Heading2"/>
        <w:numPr>
          <w:ilvl w:val="1"/>
          <w:numId w:val="21"/>
        </w:numPr>
      </w:pPr>
      <w:bookmarkStart w:id="314" w:name="_Toc357356067"/>
      <w:bookmarkStart w:id="315" w:name="_Toc357714357"/>
      <w:bookmarkStart w:id="316" w:name="_Ref337130923"/>
      <w:bookmarkStart w:id="317" w:name="_Ref337133609"/>
      <w:bookmarkStart w:id="318" w:name="_Toc338336088"/>
      <w:r w:rsidRPr="00942C19">
        <w:t>SUO MOT</w:t>
      </w:r>
      <w:r w:rsidR="004961F1" w:rsidRPr="00942C19">
        <w:t>U</w:t>
      </w:r>
      <w:r w:rsidRPr="00942C19">
        <w:t xml:space="preserve"> DETERMINATION OF TARIFF</w:t>
      </w:r>
      <w:bookmarkEnd w:id="314"/>
      <w:bookmarkEnd w:id="315"/>
    </w:p>
    <w:p w:rsidR="007D7371" w:rsidRPr="00942C19" w:rsidRDefault="007D7371" w:rsidP="007D7371">
      <w:pPr>
        <w:pStyle w:val="Heading2"/>
        <w:numPr>
          <w:ilvl w:val="0"/>
          <w:numId w:val="0"/>
        </w:numPr>
        <w:ind w:left="576"/>
      </w:pPr>
    </w:p>
    <w:p w:rsidR="007D7371" w:rsidRPr="00942C19" w:rsidRDefault="007D7371" w:rsidP="00A818DC">
      <w:pPr>
        <w:pStyle w:val="ListParagraph"/>
        <w:numPr>
          <w:ilvl w:val="0"/>
          <w:numId w:val="19"/>
        </w:numPr>
        <w:spacing w:before="0"/>
        <w:rPr>
          <w:b/>
          <w:i/>
        </w:rPr>
      </w:pPr>
      <w:r w:rsidRPr="00942C19">
        <w:rPr>
          <w:b/>
          <w:i/>
        </w:rPr>
        <w:t>Comments / Suggestions of the Public</w:t>
      </w:r>
    </w:p>
    <w:p w:rsidR="007D7371" w:rsidRPr="00942C19" w:rsidRDefault="007D7371" w:rsidP="007D7371">
      <w:pPr>
        <w:spacing w:before="0"/>
      </w:pPr>
    </w:p>
    <w:p w:rsidR="007D7371" w:rsidRPr="00942C19" w:rsidRDefault="007D7371" w:rsidP="004961F1">
      <w:pPr>
        <w:pStyle w:val="Heading3"/>
        <w:tabs>
          <w:tab w:val="clear" w:pos="720"/>
          <w:tab w:val="clear" w:pos="936"/>
          <w:tab w:val="num" w:pos="993"/>
        </w:tabs>
        <w:spacing w:before="240" w:after="240"/>
        <w:ind w:left="993"/>
      </w:pPr>
      <w:r w:rsidRPr="00942C19">
        <w:t>The comments</w:t>
      </w:r>
      <w:r w:rsidR="007879F6" w:rsidRPr="00942C19">
        <w:t xml:space="preserve"> </w:t>
      </w:r>
      <w:r w:rsidRPr="00942C19">
        <w:t xml:space="preserve">/ suggestions submitted by </w:t>
      </w:r>
      <w:r w:rsidR="0045516A" w:rsidRPr="00942C19">
        <w:t xml:space="preserve">Mr. </w:t>
      </w:r>
      <w:r w:rsidRPr="00942C19">
        <w:t>Rama Shanker Awasthi, Lucknow, are stated below:</w:t>
      </w:r>
    </w:p>
    <w:p w:rsidR="007D7371" w:rsidRPr="00942C19" w:rsidRDefault="007D7371" w:rsidP="004961F1">
      <w:pPr>
        <w:pStyle w:val="Heading3"/>
        <w:tabs>
          <w:tab w:val="clear" w:pos="720"/>
          <w:tab w:val="clear" w:pos="936"/>
          <w:tab w:val="num" w:pos="993"/>
        </w:tabs>
        <w:spacing w:before="240" w:after="240"/>
        <w:ind w:left="993"/>
      </w:pPr>
      <w:r w:rsidRPr="00942C19">
        <w:t>The stakeholder has stated that the Commission by initiating suo-mot</w:t>
      </w:r>
      <w:r w:rsidR="004961F1" w:rsidRPr="00942C19">
        <w:t>u</w:t>
      </w:r>
      <w:r w:rsidRPr="00942C19">
        <w:t xml:space="preserve"> </w:t>
      </w:r>
      <w:r w:rsidR="004961F1" w:rsidRPr="00942C19">
        <w:t xml:space="preserve">proceedings for </w:t>
      </w:r>
      <w:r w:rsidRPr="00942C19">
        <w:t xml:space="preserve">determination of tariff has adopted a novel method to circumvent the statutory regulations and the order passed by the </w:t>
      </w:r>
      <w:r w:rsidR="004961F1" w:rsidRPr="00942C19">
        <w:t xml:space="preserve">Hon’ble </w:t>
      </w:r>
      <w:r w:rsidRPr="00942C19">
        <w:t xml:space="preserve">APTEL in OP No. 1 of 2011. The stakeholder has suggested that the Commission instead of initiating suo-moto proceedings for tariff determination should have directed the </w:t>
      </w:r>
      <w:r w:rsidR="0075482C" w:rsidRPr="00942C19">
        <w:t>D</w:t>
      </w:r>
      <w:r w:rsidRPr="00942C19">
        <w:t xml:space="preserve">istribution </w:t>
      </w:r>
      <w:r w:rsidR="009A3804" w:rsidRPr="00942C19">
        <w:t>Licensee</w:t>
      </w:r>
      <w:r w:rsidR="0075482C" w:rsidRPr="00942C19">
        <w:t>s</w:t>
      </w:r>
      <w:r w:rsidRPr="00942C19">
        <w:t xml:space="preserve"> to remove the deficiencies in the ARR / Tariff proposal.</w:t>
      </w:r>
    </w:p>
    <w:p w:rsidR="007D7371" w:rsidRPr="00942C19" w:rsidRDefault="007D7371" w:rsidP="004961F1">
      <w:pPr>
        <w:pStyle w:val="Heading3"/>
        <w:tabs>
          <w:tab w:val="clear" w:pos="720"/>
          <w:tab w:val="clear" w:pos="936"/>
          <w:tab w:val="num" w:pos="993"/>
        </w:tabs>
        <w:spacing w:before="240" w:after="240"/>
        <w:ind w:left="993"/>
      </w:pPr>
      <w:r w:rsidRPr="00942C19">
        <w:t xml:space="preserve">The stakeholder has cited the </w:t>
      </w:r>
      <w:r w:rsidR="004961F1" w:rsidRPr="00942C19">
        <w:t xml:space="preserve">Hon’ble </w:t>
      </w:r>
      <w:r w:rsidRPr="00942C19">
        <w:t>APTEL judgment in Appeal No. 204 of 2011 dated 11</w:t>
      </w:r>
      <w:r w:rsidR="004961F1" w:rsidRPr="00942C19">
        <w:rPr>
          <w:vertAlign w:val="superscript"/>
        </w:rPr>
        <w:t>th</w:t>
      </w:r>
      <w:r w:rsidR="004961F1" w:rsidRPr="00942C19">
        <w:t xml:space="preserve"> </w:t>
      </w:r>
      <w:r w:rsidRPr="00942C19">
        <w:t xml:space="preserve">August, 2011 wherein the </w:t>
      </w:r>
      <w:r w:rsidR="004961F1" w:rsidRPr="00942C19">
        <w:t xml:space="preserve">Hon’ble </w:t>
      </w:r>
      <w:r w:rsidRPr="00942C19">
        <w:t>APTEL held</w:t>
      </w:r>
      <w:r w:rsidR="007879F6" w:rsidRPr="00942C19">
        <w:t>,</w:t>
      </w:r>
      <w:r w:rsidRPr="00942C19">
        <w:t xml:space="preserve"> that the State Commission can initiate suo-mot</w:t>
      </w:r>
      <w:r w:rsidR="004961F1" w:rsidRPr="00942C19">
        <w:t>u</w:t>
      </w:r>
      <w:r w:rsidRPr="00942C19">
        <w:t xml:space="preserve"> proceeding and determine tariff in the absence of the proposal by the utilities. Further, the stakeholder has stated that a State Commission can initiate suo-mot</w:t>
      </w:r>
      <w:r w:rsidR="004961F1" w:rsidRPr="00942C19">
        <w:t>u</w:t>
      </w:r>
      <w:r w:rsidRPr="00942C19">
        <w:t xml:space="preserve"> proceedings only in the absence of ARR Petition / Tariff proposal and not </w:t>
      </w:r>
      <w:r w:rsidR="004A64C1" w:rsidRPr="00942C19">
        <w:t xml:space="preserve">as </w:t>
      </w:r>
      <w:r w:rsidRPr="00942C19">
        <w:t>in the current case, where the Commission has initiated suo-mot</w:t>
      </w:r>
      <w:r w:rsidR="004961F1" w:rsidRPr="00942C19">
        <w:t>u</w:t>
      </w:r>
      <w:r w:rsidRPr="00942C19">
        <w:t xml:space="preserve"> proceedings due to deficiency in the </w:t>
      </w:r>
      <w:r w:rsidRPr="00942C19">
        <w:lastRenderedPageBreak/>
        <w:t xml:space="preserve">ARR filings of the </w:t>
      </w:r>
      <w:r w:rsidR="009A3804" w:rsidRPr="00942C19">
        <w:t>Licensee</w:t>
      </w:r>
      <w:r w:rsidRPr="00942C19">
        <w:t>s. The stakeholder has purported that under the terms of Regulation 2.1.12 of the Distribution Tariff Regulations, the Commission can initiate suo-mot</w:t>
      </w:r>
      <w:r w:rsidR="004961F1" w:rsidRPr="00942C19">
        <w:t>u</w:t>
      </w:r>
      <w:r w:rsidRPr="00942C19">
        <w:t xml:space="preserve"> proceedings only in case the </w:t>
      </w:r>
      <w:r w:rsidR="009A3804" w:rsidRPr="00942C19">
        <w:t>Licensee</w:t>
      </w:r>
      <w:r w:rsidRPr="00942C19">
        <w:t>s fail to file an ARR / Tariff Petition.</w:t>
      </w:r>
    </w:p>
    <w:p w:rsidR="007D7371" w:rsidRPr="00942C19" w:rsidRDefault="007D7371" w:rsidP="004961F1">
      <w:pPr>
        <w:pStyle w:val="Heading3"/>
        <w:tabs>
          <w:tab w:val="clear" w:pos="720"/>
          <w:tab w:val="clear" w:pos="936"/>
          <w:tab w:val="num" w:pos="993"/>
        </w:tabs>
        <w:spacing w:before="240" w:after="240"/>
        <w:ind w:left="993"/>
      </w:pPr>
      <w:r w:rsidRPr="00942C19">
        <w:t xml:space="preserve">The stakeholder has stated that the </w:t>
      </w:r>
      <w:r w:rsidR="009A3804" w:rsidRPr="00942C19">
        <w:t>Licensee</w:t>
      </w:r>
      <w:r w:rsidRPr="00942C19">
        <w:t>s have themselves requested the Commission to proceed with suo-mot</w:t>
      </w:r>
      <w:r w:rsidR="004961F1" w:rsidRPr="00942C19">
        <w:t xml:space="preserve">u </w:t>
      </w:r>
      <w:r w:rsidRPr="00942C19">
        <w:t xml:space="preserve">tariff determination and that the Commission has merely accepted the request of the </w:t>
      </w:r>
      <w:r w:rsidR="009A3804" w:rsidRPr="00942C19">
        <w:t>Licensee</w:t>
      </w:r>
      <w:r w:rsidRPr="00942C19">
        <w:t>s.</w:t>
      </w:r>
    </w:p>
    <w:p w:rsidR="007D7371" w:rsidRPr="00942C19" w:rsidRDefault="007D7371" w:rsidP="004961F1">
      <w:pPr>
        <w:pStyle w:val="Heading3"/>
        <w:tabs>
          <w:tab w:val="clear" w:pos="720"/>
          <w:tab w:val="clear" w:pos="936"/>
          <w:tab w:val="num" w:pos="993"/>
        </w:tabs>
        <w:spacing w:before="240" w:after="240"/>
        <w:ind w:left="993"/>
      </w:pPr>
      <w:r w:rsidRPr="00942C19">
        <w:t xml:space="preserve">The stakeholder has alleged that the tariff petitions of the </w:t>
      </w:r>
      <w:r w:rsidR="009A3804" w:rsidRPr="00942C19">
        <w:t>Licensee</w:t>
      </w:r>
      <w:r w:rsidR="0075482C" w:rsidRPr="00942C19">
        <w:t>s</w:t>
      </w:r>
      <w:r w:rsidRPr="00942C19">
        <w:t xml:space="preserve"> are still pending and the same have not been rejected by the Commission. The stakeholder has objected to the publication of the Tariff proposal and salient features of the ARR in newspapers and websites of the </w:t>
      </w:r>
      <w:r w:rsidR="009A3804" w:rsidRPr="00942C19">
        <w:t>Licensee</w:t>
      </w:r>
      <w:r w:rsidR="0075482C" w:rsidRPr="00942C19">
        <w:t>s</w:t>
      </w:r>
      <w:r w:rsidRPr="00942C19">
        <w:t xml:space="preserve">. The stakeholder has purported, that this goes to show that neither the Commission has rejected the tariff petition of the </w:t>
      </w:r>
      <w:r w:rsidR="009A3804" w:rsidRPr="00942C19">
        <w:t>Licensee</w:t>
      </w:r>
      <w:r w:rsidR="0075482C" w:rsidRPr="00942C19">
        <w:t>s</w:t>
      </w:r>
      <w:r w:rsidRPr="00942C19">
        <w:t>, nor initiated suo-mot</w:t>
      </w:r>
      <w:r w:rsidR="004961F1" w:rsidRPr="00942C19">
        <w:t>u</w:t>
      </w:r>
      <w:r w:rsidRPr="00942C19">
        <w:t xml:space="preserve"> proceedings for determination of tariff.</w:t>
      </w:r>
    </w:p>
    <w:p w:rsidR="007D7371" w:rsidRPr="00942C19" w:rsidRDefault="007D7371" w:rsidP="004961F1">
      <w:pPr>
        <w:pStyle w:val="Heading3"/>
        <w:tabs>
          <w:tab w:val="clear" w:pos="720"/>
          <w:tab w:val="clear" w:pos="936"/>
          <w:tab w:val="num" w:pos="993"/>
        </w:tabs>
        <w:spacing w:before="240" w:after="240"/>
        <w:ind w:left="993"/>
      </w:pPr>
      <w:r w:rsidRPr="00942C19">
        <w:t>Considering all of the above, the stakeholder has requested the Commission to reject the entire proceedings of determination of tariff.</w:t>
      </w:r>
    </w:p>
    <w:p w:rsidR="007D7371" w:rsidRPr="00942C19" w:rsidRDefault="007D7371" w:rsidP="004961F1">
      <w:pPr>
        <w:pStyle w:val="Heading3"/>
        <w:tabs>
          <w:tab w:val="clear" w:pos="720"/>
          <w:tab w:val="clear" w:pos="936"/>
          <w:tab w:val="num" w:pos="993"/>
        </w:tabs>
        <w:spacing w:before="240" w:after="240"/>
        <w:ind w:left="993"/>
      </w:pPr>
      <w:r w:rsidRPr="00942C19">
        <w:t>In addition to the above, the stakeholder has objected that all the documents and information regarding determination of distribution tariff are being issued and supplied by Chief Engineer (Regulatory Affairs Unit)</w:t>
      </w:r>
      <w:r w:rsidR="007879F6" w:rsidRPr="00942C19">
        <w:t>, UPPCL</w:t>
      </w:r>
      <w:r w:rsidRPr="00942C19">
        <w:t xml:space="preserve"> and not the functional heads of the </w:t>
      </w:r>
      <w:r w:rsidR="009A3804" w:rsidRPr="00942C19">
        <w:t>Licensee</w:t>
      </w:r>
      <w:r w:rsidR="0075482C" w:rsidRPr="00942C19">
        <w:t>s</w:t>
      </w:r>
      <w:r w:rsidRPr="00942C19">
        <w:t>. The stakeholder has questioned the role of UPPCL in the entire tariff determination exercise.</w:t>
      </w:r>
    </w:p>
    <w:p w:rsidR="007D7371" w:rsidRPr="00942C19" w:rsidRDefault="007D7371" w:rsidP="007D7371"/>
    <w:p w:rsidR="007D7371" w:rsidRPr="00942C19" w:rsidRDefault="002023A1" w:rsidP="00A818DC">
      <w:pPr>
        <w:pStyle w:val="ListParagraph"/>
        <w:numPr>
          <w:ilvl w:val="0"/>
          <w:numId w:val="19"/>
        </w:numPr>
        <w:tabs>
          <w:tab w:val="left" w:pos="1260"/>
        </w:tabs>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7D7371" w:rsidRPr="00942C19">
        <w:rPr>
          <w:rFonts w:asciiTheme="minorHAnsi" w:hAnsiTheme="minorHAnsi" w:cstheme="minorHAnsi"/>
          <w:b/>
          <w:i/>
        </w:rPr>
        <w:t>:</w:t>
      </w:r>
    </w:p>
    <w:p w:rsidR="007D7371" w:rsidRPr="00942C19" w:rsidRDefault="007D7371" w:rsidP="007D7371">
      <w:pPr>
        <w:tabs>
          <w:tab w:val="left" w:pos="1260"/>
        </w:tabs>
        <w:spacing w:before="0"/>
        <w:ind w:left="450"/>
        <w:rPr>
          <w:rFonts w:asciiTheme="minorHAnsi" w:hAnsiTheme="minorHAnsi" w:cstheme="minorHAnsi"/>
          <w:b/>
          <w:i/>
        </w:rPr>
      </w:pPr>
    </w:p>
    <w:p w:rsidR="00C94CFB" w:rsidRPr="00942C19" w:rsidRDefault="00C94CFB" w:rsidP="004961F1">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that the </w:t>
      </w:r>
      <w:r w:rsidR="00E831B2" w:rsidRPr="00942C19">
        <w:t xml:space="preserve">Hon’ble </w:t>
      </w:r>
      <w:r w:rsidRPr="00942C19">
        <w:t>Commission had issued a notice on 16</w:t>
      </w:r>
      <w:r w:rsidRPr="00942C19">
        <w:rPr>
          <w:vertAlign w:val="superscript"/>
        </w:rPr>
        <w:t>th</w:t>
      </w:r>
      <w:r w:rsidRPr="00942C19">
        <w:t xml:space="preserve"> January, 2013, directing the </w:t>
      </w:r>
      <w:r w:rsidR="009A3804" w:rsidRPr="00942C19">
        <w:t>Licensee</w:t>
      </w:r>
      <w:r w:rsidR="0075482C" w:rsidRPr="00942C19">
        <w:t>s</w:t>
      </w:r>
      <w:r w:rsidRPr="00942C19">
        <w:t xml:space="preserve"> to remain present on 28th January, 2013 and explain the reasons to the Commission for non-submission of audited accounts of relevant years as required by the Regulations, lack of proposal for bridging the revenue gap and as to why suo-mot</w:t>
      </w:r>
      <w:r w:rsidR="004961F1" w:rsidRPr="00942C19">
        <w:t>u</w:t>
      </w:r>
      <w:r w:rsidRPr="00942C19">
        <w:t xml:space="preserve"> proceedings for determination of ARR and Tariff not be initiated.</w:t>
      </w:r>
    </w:p>
    <w:p w:rsidR="00C94CFB" w:rsidRPr="00942C19" w:rsidRDefault="00C94CFB" w:rsidP="004961F1">
      <w:pPr>
        <w:pStyle w:val="Heading3"/>
        <w:tabs>
          <w:tab w:val="clear" w:pos="720"/>
          <w:tab w:val="clear" w:pos="936"/>
          <w:tab w:val="num" w:pos="993"/>
        </w:tabs>
        <w:spacing w:before="240" w:after="240"/>
        <w:ind w:left="993"/>
      </w:pPr>
      <w:r w:rsidRPr="00942C19">
        <w:lastRenderedPageBreak/>
        <w:t xml:space="preserve">During the hearing, the </w:t>
      </w:r>
      <w:r w:rsidR="009A3804" w:rsidRPr="00942C19">
        <w:t>Licensee</w:t>
      </w:r>
      <w:r w:rsidR="0075482C" w:rsidRPr="00942C19">
        <w:t>s</w:t>
      </w:r>
      <w:r w:rsidRPr="00942C19">
        <w:t xml:space="preserve"> explained to the </w:t>
      </w:r>
      <w:r w:rsidR="00E831B2" w:rsidRPr="00942C19">
        <w:t xml:space="preserve">Hon’ble </w:t>
      </w:r>
      <w:r w:rsidRPr="00942C19">
        <w:t xml:space="preserve">Commission that the supplementary audit report by the AGUP would take time </w:t>
      </w:r>
      <w:r w:rsidR="00E831B2" w:rsidRPr="00942C19">
        <w:t xml:space="preserve">to complete </w:t>
      </w:r>
      <w:r w:rsidRPr="00942C19">
        <w:t xml:space="preserve">and that the office of the AGUP being a constitutional body, the </w:t>
      </w:r>
      <w:r w:rsidR="009A3804" w:rsidRPr="00942C19">
        <w:t>Licensee</w:t>
      </w:r>
      <w:r w:rsidR="0075482C" w:rsidRPr="00942C19">
        <w:t>s</w:t>
      </w:r>
      <w:r w:rsidRPr="00942C19">
        <w:t xml:space="preserve"> are not in a position to expedite their audit. The Discoms had agreed to submit the audited accounts for FY 2010-11 (without supplementary audit report of the AGUP) by 28th February, 2013. Further, the </w:t>
      </w:r>
      <w:r w:rsidR="009A3804" w:rsidRPr="00942C19">
        <w:t>Licensee</w:t>
      </w:r>
      <w:r w:rsidR="0075482C" w:rsidRPr="00942C19">
        <w:t>s</w:t>
      </w:r>
      <w:r w:rsidRPr="00942C19">
        <w:t xml:space="preserve"> conveyed their inability to prepare the fixed asset registers as the asset wise opening balances were not available </w:t>
      </w:r>
      <w:r w:rsidR="00E831B2" w:rsidRPr="00942C19">
        <w:t xml:space="preserve">as the </w:t>
      </w:r>
      <w:r w:rsidR="00A24A40" w:rsidRPr="00942C19">
        <w:t>Transfer Scheme</w:t>
      </w:r>
      <w:r w:rsidR="00E831B2" w:rsidRPr="00942C19">
        <w:t xml:space="preserve"> had not been finalised. Considering that the </w:t>
      </w:r>
      <w:r w:rsidR="009A3804" w:rsidRPr="00942C19">
        <w:t>Licensee</w:t>
      </w:r>
      <w:r w:rsidR="0075482C" w:rsidRPr="00942C19">
        <w:t>s</w:t>
      </w:r>
      <w:r w:rsidR="00E831B2" w:rsidRPr="00942C19">
        <w:t xml:space="preserve"> were unable to remove the deficiency in its ARR filings, the Hon’ble Commission informed the </w:t>
      </w:r>
      <w:r w:rsidR="009A3804" w:rsidRPr="00942C19">
        <w:t>Licensee</w:t>
      </w:r>
      <w:r w:rsidR="0075482C" w:rsidRPr="00942C19">
        <w:t>s</w:t>
      </w:r>
      <w:r w:rsidR="00E831B2" w:rsidRPr="00942C19">
        <w:t xml:space="preserve"> during the hearing, that in such a circumstance, it would proceed further with suo-mot</w:t>
      </w:r>
      <w:r w:rsidR="004961F1" w:rsidRPr="00942C19">
        <w:t>u</w:t>
      </w:r>
      <w:r w:rsidR="00E831B2" w:rsidRPr="00942C19">
        <w:t xml:space="preserve"> proceedings for tariff determination. At this moment, the </w:t>
      </w:r>
      <w:r w:rsidR="009A3804" w:rsidRPr="00942C19">
        <w:t>Licensee</w:t>
      </w:r>
      <w:r w:rsidR="00E831B2" w:rsidRPr="00942C19">
        <w:t xml:space="preserve"> stated that the Commission may proceed further with suo-mot</w:t>
      </w:r>
      <w:r w:rsidR="00D31494" w:rsidRPr="00942C19">
        <w:t>u</w:t>
      </w:r>
      <w:r w:rsidR="00E831B2" w:rsidRPr="00942C19">
        <w:t xml:space="preserve"> proceedings as it was not possible for it to </w:t>
      </w:r>
      <w:r w:rsidR="006E7979" w:rsidRPr="00942C19">
        <w:t xml:space="preserve">ensure </w:t>
      </w:r>
      <w:r w:rsidR="00E831B2" w:rsidRPr="00942C19">
        <w:t xml:space="preserve">submission of supplementary audit report of the AGUP and fixed asset registers within the time frame indicated by the Commission. Hence, there was no request from the </w:t>
      </w:r>
      <w:r w:rsidR="009A3804" w:rsidRPr="00942C19">
        <w:t>Licensee</w:t>
      </w:r>
      <w:r w:rsidR="00E831B2" w:rsidRPr="00942C19">
        <w:t xml:space="preserve">’s side to </w:t>
      </w:r>
      <w:r w:rsidR="009D3A83" w:rsidRPr="00942C19">
        <w:t>initiate suo-mot</w:t>
      </w:r>
      <w:r w:rsidR="004961F1" w:rsidRPr="00942C19">
        <w:t>u</w:t>
      </w:r>
      <w:r w:rsidR="009D3A83" w:rsidRPr="00942C19">
        <w:t xml:space="preserve"> proceedings for tariff determination.</w:t>
      </w:r>
    </w:p>
    <w:p w:rsidR="009D3A83" w:rsidRPr="00942C19" w:rsidRDefault="009D3A83" w:rsidP="004961F1">
      <w:pPr>
        <w:pStyle w:val="Heading3"/>
        <w:tabs>
          <w:tab w:val="clear" w:pos="720"/>
          <w:tab w:val="clear" w:pos="936"/>
          <w:tab w:val="num" w:pos="993"/>
        </w:tabs>
        <w:spacing w:before="240" w:after="240"/>
        <w:ind w:left="993"/>
      </w:pPr>
      <w:r w:rsidRPr="00942C19">
        <w:t xml:space="preserve">The salient features of the ARR Petition and Tariff Proposal were published in newspapers and on the websites of the </w:t>
      </w:r>
      <w:r w:rsidR="009A3804" w:rsidRPr="00942C19">
        <w:t>Licensee</w:t>
      </w:r>
      <w:r w:rsidR="0075482C" w:rsidRPr="00942C19">
        <w:t>s</w:t>
      </w:r>
      <w:r w:rsidRPr="00942C19">
        <w:t xml:space="preserve"> based on the directives contained in Orders of the Hon’ble Commission dated 11</w:t>
      </w:r>
      <w:r w:rsidR="004961F1" w:rsidRPr="00942C19">
        <w:rPr>
          <w:vertAlign w:val="superscript"/>
        </w:rPr>
        <w:t>th</w:t>
      </w:r>
      <w:r w:rsidR="004961F1" w:rsidRPr="00942C19">
        <w:t xml:space="preserve"> </w:t>
      </w:r>
      <w:r w:rsidRPr="00942C19">
        <w:t>and 12</w:t>
      </w:r>
      <w:r w:rsidR="004961F1" w:rsidRPr="00942C19">
        <w:rPr>
          <w:vertAlign w:val="superscript"/>
        </w:rPr>
        <w:t>th</w:t>
      </w:r>
      <w:r w:rsidR="004961F1" w:rsidRPr="00942C19">
        <w:t xml:space="preserve"> </w:t>
      </w:r>
      <w:r w:rsidRPr="00942C19">
        <w:t>March, 2013</w:t>
      </w:r>
      <w:r w:rsidR="004961F1" w:rsidRPr="00942C19">
        <w:t>.</w:t>
      </w:r>
    </w:p>
    <w:p w:rsidR="00C94CFB" w:rsidRPr="00942C19" w:rsidRDefault="002023A1" w:rsidP="004961F1">
      <w:pPr>
        <w:pStyle w:val="Heading3"/>
        <w:tabs>
          <w:tab w:val="clear" w:pos="720"/>
          <w:tab w:val="clear" w:pos="936"/>
          <w:tab w:val="num" w:pos="993"/>
        </w:tabs>
        <w:spacing w:before="240" w:after="240"/>
        <w:ind w:left="993"/>
      </w:pPr>
      <w:r w:rsidRPr="00942C19">
        <w:t xml:space="preserve">The </w:t>
      </w:r>
      <w:r w:rsidR="009A3804" w:rsidRPr="00942C19">
        <w:t>Licensee</w:t>
      </w:r>
      <w:r w:rsidR="007D7371" w:rsidRPr="00942C19">
        <w:t xml:space="preserve"> clarified </w:t>
      </w:r>
      <w:r w:rsidR="00C94CFB" w:rsidRPr="00942C19">
        <w:t xml:space="preserve">that </w:t>
      </w:r>
      <w:r w:rsidR="007D7371" w:rsidRPr="00942C19">
        <w:t xml:space="preserve">the Regulatory Affairs </w:t>
      </w:r>
      <w:r w:rsidR="00C94CFB" w:rsidRPr="00942C19">
        <w:t xml:space="preserve">Unit (RAU) plays a coordinating role between the distribution companies and the Hon’ble Commission. The affidavits are filed by the respective functional heads of the </w:t>
      </w:r>
      <w:r w:rsidR="009A3804" w:rsidRPr="00942C19">
        <w:t>Licensee</w:t>
      </w:r>
      <w:r w:rsidR="0075482C" w:rsidRPr="00942C19">
        <w:t>s</w:t>
      </w:r>
      <w:r w:rsidR="00C94CFB" w:rsidRPr="00942C19">
        <w:t xml:space="preserve"> or their authorised representatives. However since the RAU cell is located in Lucknow, it plays an interface between the Discoms and the Commission. </w:t>
      </w:r>
    </w:p>
    <w:p w:rsidR="007D7371" w:rsidRPr="00942C19" w:rsidRDefault="007D7371" w:rsidP="007D7371"/>
    <w:p w:rsidR="007D7371" w:rsidRPr="00942C19" w:rsidRDefault="007D7371" w:rsidP="00A818DC">
      <w:pPr>
        <w:pStyle w:val="ListParagraph"/>
        <w:numPr>
          <w:ilvl w:val="0"/>
          <w:numId w:val="19"/>
        </w:numPr>
        <w:tabs>
          <w:tab w:val="left" w:pos="1260"/>
        </w:tabs>
        <w:spacing w:before="0"/>
        <w:rPr>
          <w:rFonts w:asciiTheme="minorHAnsi" w:hAnsiTheme="minorHAnsi" w:cstheme="minorHAnsi"/>
          <w:b/>
          <w:i/>
        </w:rPr>
      </w:pPr>
      <w:r w:rsidRPr="00942C19">
        <w:rPr>
          <w:rFonts w:asciiTheme="minorHAnsi" w:hAnsiTheme="minorHAnsi" w:cstheme="minorHAnsi"/>
          <w:b/>
          <w:i/>
        </w:rPr>
        <w:t>The Commission’s view:</w:t>
      </w:r>
    </w:p>
    <w:p w:rsidR="007D7371" w:rsidRPr="00942C19" w:rsidRDefault="007D7371" w:rsidP="0066627E">
      <w:pPr>
        <w:pStyle w:val="Heading4"/>
        <w:numPr>
          <w:ilvl w:val="0"/>
          <w:numId w:val="0"/>
        </w:numPr>
        <w:spacing w:before="0" w:line="240" w:lineRule="auto"/>
        <w:ind w:left="720"/>
        <w:rPr>
          <w:rFonts w:asciiTheme="minorHAnsi" w:hAnsiTheme="minorHAnsi" w:cstheme="minorHAnsi"/>
          <w:szCs w:val="24"/>
        </w:rPr>
      </w:pPr>
    </w:p>
    <w:p w:rsidR="00716565" w:rsidRPr="00942C19" w:rsidRDefault="009D3A83" w:rsidP="004961F1">
      <w:pPr>
        <w:pStyle w:val="Heading3"/>
        <w:tabs>
          <w:tab w:val="clear" w:pos="720"/>
          <w:tab w:val="clear" w:pos="936"/>
          <w:tab w:val="num" w:pos="993"/>
        </w:tabs>
        <w:spacing w:before="240" w:after="240"/>
        <w:ind w:left="993"/>
      </w:pPr>
      <w:r w:rsidRPr="00942C19">
        <w:t>The Commission was constrained to initiate suo-mot</w:t>
      </w:r>
      <w:r w:rsidR="004961F1" w:rsidRPr="00942C19">
        <w:t>u</w:t>
      </w:r>
      <w:r w:rsidRPr="00942C19">
        <w:t xml:space="preserve"> proceedings for tariff determination considering the continuing failure of the </w:t>
      </w:r>
      <w:r w:rsidR="009A3804" w:rsidRPr="00942C19">
        <w:t>Licensee</w:t>
      </w:r>
      <w:r w:rsidR="0075482C" w:rsidRPr="00942C19">
        <w:t>s</w:t>
      </w:r>
      <w:r w:rsidRPr="00942C19">
        <w:t xml:space="preserve"> in furnishing audited accounts for the periods as stipulated by the Tariff Regulations. The sequence of events from the filing of the ARR Petitions by the </w:t>
      </w:r>
      <w:r w:rsidR="009A3804" w:rsidRPr="00942C19">
        <w:t>Licensee</w:t>
      </w:r>
      <w:r w:rsidR="0075482C" w:rsidRPr="00942C19">
        <w:t>s</w:t>
      </w:r>
      <w:r w:rsidRPr="00942C19">
        <w:t xml:space="preserve"> up to </w:t>
      </w:r>
      <w:r w:rsidRPr="00942C19">
        <w:lastRenderedPageBreak/>
        <w:t>the public hearings in respect of suo-mot</w:t>
      </w:r>
      <w:r w:rsidR="004961F1" w:rsidRPr="00942C19">
        <w:t>u</w:t>
      </w:r>
      <w:r w:rsidRPr="00942C19">
        <w:t xml:space="preserve"> proceedings for determination of tariff have been detailed in the foregoing sections. The same are not repeated here for the sake of brevity. </w:t>
      </w:r>
    </w:p>
    <w:p w:rsidR="009D3A83" w:rsidRPr="00942C19" w:rsidRDefault="009D3A83" w:rsidP="004961F1">
      <w:pPr>
        <w:pStyle w:val="Heading3"/>
        <w:tabs>
          <w:tab w:val="clear" w:pos="720"/>
          <w:tab w:val="clear" w:pos="936"/>
          <w:tab w:val="num" w:pos="993"/>
        </w:tabs>
        <w:spacing w:before="240" w:after="240"/>
        <w:ind w:left="993"/>
      </w:pPr>
      <w:r w:rsidRPr="00942C19">
        <w:t>The allegations of the stakeholder that the decision of the Commission to initiate suo-mot</w:t>
      </w:r>
      <w:r w:rsidR="004961F1" w:rsidRPr="00942C19">
        <w:t>u</w:t>
      </w:r>
      <w:r w:rsidRPr="00942C19">
        <w:t xml:space="preserve"> proceedings is to circumvent the statutory regulations and the order passed by the APTEL in OP No. 1 of 2011 is baseless and devoid of facts. On the contrary, the Hon’ble APTEL in OP No. 1 of 2011 has stated that it should be the endeavour of every State Commission to ensure that the tariff for the financial year is decided before 1</w:t>
      </w:r>
      <w:r w:rsidR="00C570B1" w:rsidRPr="00942C19">
        <w:rPr>
          <w:vertAlign w:val="superscript"/>
        </w:rPr>
        <w:t>st</w:t>
      </w:r>
      <w:r w:rsidR="00C570B1" w:rsidRPr="00942C19">
        <w:t xml:space="preserve"> </w:t>
      </w:r>
      <w:r w:rsidRPr="00942C19">
        <w:t xml:space="preserve">April of the </w:t>
      </w:r>
      <w:r w:rsidR="007879F6" w:rsidRPr="00942C19">
        <w:t xml:space="preserve">financial </w:t>
      </w:r>
      <w:r w:rsidRPr="00942C19">
        <w:t>year. The Commission could</w:t>
      </w:r>
      <w:r w:rsidR="00716565" w:rsidRPr="00942C19">
        <w:t xml:space="preserve"> not have waited beyond a point of time for the </w:t>
      </w:r>
      <w:r w:rsidR="009A3804" w:rsidRPr="00942C19">
        <w:t>Licensee</w:t>
      </w:r>
      <w:r w:rsidR="0075482C" w:rsidRPr="00942C19">
        <w:t>s</w:t>
      </w:r>
      <w:r w:rsidR="00716565" w:rsidRPr="00942C19">
        <w:t xml:space="preserve"> to remove the deficiency in the ARR filings and delay the tariff determination process endlessly. The role of the Commission in timely and regular tariff approval is paramount and has been fairly established in law. </w:t>
      </w:r>
    </w:p>
    <w:p w:rsidR="00716565" w:rsidRPr="00942C19" w:rsidRDefault="00056C28" w:rsidP="004961F1">
      <w:pPr>
        <w:pStyle w:val="Heading3"/>
        <w:tabs>
          <w:tab w:val="clear" w:pos="720"/>
          <w:tab w:val="clear" w:pos="936"/>
          <w:tab w:val="num" w:pos="993"/>
        </w:tabs>
        <w:spacing w:before="240" w:after="240"/>
        <w:ind w:left="993"/>
      </w:pPr>
      <w:r w:rsidRPr="00942C19">
        <w:t>As the ARR filings were not accompanie</w:t>
      </w:r>
      <w:r w:rsidR="00785E17" w:rsidRPr="00942C19">
        <w:t xml:space="preserve">d by the audited accounts as stipulated by the Tariff Regulations, the Commission </w:t>
      </w:r>
      <w:r w:rsidRPr="00942C19">
        <w:t xml:space="preserve">initiated suo-motu proceedings for </w:t>
      </w:r>
      <w:r w:rsidR="006C57AB" w:rsidRPr="00942C19">
        <w:t>determination of ARR and T</w:t>
      </w:r>
      <w:r w:rsidRPr="00942C19">
        <w:t xml:space="preserve">ariff </w:t>
      </w:r>
      <w:r w:rsidR="006C57AB" w:rsidRPr="00942C19">
        <w:t>for FY 2013-14</w:t>
      </w:r>
      <w:r w:rsidRPr="00942C19">
        <w:t xml:space="preserve">. As the irregular filings were never admitted by </w:t>
      </w:r>
      <w:r w:rsidR="00785E17" w:rsidRPr="00942C19">
        <w:t xml:space="preserve">the Commission, it cannot be said that there were any valid ARR Petitions filed by the </w:t>
      </w:r>
      <w:r w:rsidR="009A3804" w:rsidRPr="00942C19">
        <w:t>Licensee</w:t>
      </w:r>
      <w:r w:rsidRPr="00942C19">
        <w:t xml:space="preserve">s. The suo-motu proceedings were initiated to discourage the </w:t>
      </w:r>
      <w:r w:rsidR="009A3804" w:rsidRPr="00942C19">
        <w:t>Licensee</w:t>
      </w:r>
      <w:r w:rsidRPr="00942C19">
        <w:t>s from delaying the tariff determination process on the pretext of unavailab</w:t>
      </w:r>
      <w:r w:rsidR="00785E17" w:rsidRPr="00942C19">
        <w:t>ility of supplementary audit report of the AGUP and fixed asset registers.</w:t>
      </w:r>
      <w:r w:rsidR="00016195" w:rsidRPr="00942C19">
        <w:t xml:space="preserve"> </w:t>
      </w:r>
      <w:r w:rsidR="00716565" w:rsidRPr="00942C19">
        <w:t xml:space="preserve"> </w:t>
      </w:r>
    </w:p>
    <w:p w:rsidR="00A900F7" w:rsidRPr="00942C19" w:rsidRDefault="00A900F7" w:rsidP="004961F1">
      <w:pPr>
        <w:pStyle w:val="Heading3"/>
        <w:tabs>
          <w:tab w:val="clear" w:pos="720"/>
          <w:tab w:val="clear" w:pos="936"/>
          <w:tab w:val="num" w:pos="993"/>
        </w:tabs>
        <w:spacing w:before="240" w:after="240"/>
        <w:ind w:left="993"/>
      </w:pPr>
      <w:r w:rsidRPr="00942C19">
        <w:t>The Commission had initiated the suo-mot</w:t>
      </w:r>
      <w:r w:rsidR="00C570B1" w:rsidRPr="00942C19">
        <w:t>u</w:t>
      </w:r>
      <w:r w:rsidRPr="00942C19">
        <w:t xml:space="preserve"> proceedings after issuing a notice to the </w:t>
      </w:r>
      <w:r w:rsidR="009A3804" w:rsidRPr="00942C19">
        <w:t>Licensee</w:t>
      </w:r>
      <w:r w:rsidR="0075482C" w:rsidRPr="00942C19">
        <w:t>s</w:t>
      </w:r>
      <w:r w:rsidRPr="00942C19">
        <w:t xml:space="preserve">. It gave adequate time and opportunity to the </w:t>
      </w:r>
      <w:r w:rsidR="009A3804" w:rsidRPr="00942C19">
        <w:t>Licensee</w:t>
      </w:r>
      <w:r w:rsidR="0075482C" w:rsidRPr="00942C19">
        <w:t>s</w:t>
      </w:r>
      <w:r w:rsidRPr="00942C19">
        <w:t xml:space="preserve"> to remove the deficiency in </w:t>
      </w:r>
      <w:r w:rsidR="007879F6" w:rsidRPr="00942C19">
        <w:t xml:space="preserve">their </w:t>
      </w:r>
      <w:r w:rsidRPr="00942C19">
        <w:t xml:space="preserve">ARR filings. On expiry of the time frame provided to the </w:t>
      </w:r>
      <w:r w:rsidR="009A3804" w:rsidRPr="00942C19">
        <w:t>Licensee</w:t>
      </w:r>
      <w:r w:rsidRPr="00942C19">
        <w:t xml:space="preserve"> and upon its failure to remove the deficiency, the Commission initiated suo-mot</w:t>
      </w:r>
      <w:r w:rsidR="00C570B1" w:rsidRPr="00942C19">
        <w:t>u</w:t>
      </w:r>
      <w:r w:rsidRPr="00942C19">
        <w:t xml:space="preserve"> proceedings. The contention of the stakeholder in stating that the Commission initiated the suo-mot</w:t>
      </w:r>
      <w:r w:rsidR="00C570B1" w:rsidRPr="00942C19">
        <w:t>u</w:t>
      </w:r>
      <w:r w:rsidRPr="00942C19">
        <w:t xml:space="preserve"> proceeding on the request of the </w:t>
      </w:r>
      <w:r w:rsidR="009A3804" w:rsidRPr="00942C19">
        <w:t>Licensee</w:t>
      </w:r>
      <w:r w:rsidR="0075482C" w:rsidRPr="00942C19">
        <w:t>s</w:t>
      </w:r>
      <w:r w:rsidRPr="00942C19">
        <w:t xml:space="preserve"> is misplaced.</w:t>
      </w:r>
    </w:p>
    <w:p w:rsidR="00A900F7" w:rsidRPr="00942C19" w:rsidRDefault="00A900F7" w:rsidP="004961F1">
      <w:pPr>
        <w:pStyle w:val="Heading3"/>
        <w:tabs>
          <w:tab w:val="clear" w:pos="720"/>
          <w:tab w:val="clear" w:pos="936"/>
          <w:tab w:val="num" w:pos="993"/>
        </w:tabs>
        <w:spacing w:before="240" w:after="240"/>
        <w:ind w:left="993"/>
      </w:pPr>
      <w:r w:rsidRPr="00942C19">
        <w:t>The Commission even under suo-mot</w:t>
      </w:r>
      <w:r w:rsidR="00C570B1" w:rsidRPr="00942C19">
        <w:t>u</w:t>
      </w:r>
      <w:r w:rsidRPr="00942C19">
        <w:t xml:space="preserve"> proceedings would require necessary data to assess the revenue requirement </w:t>
      </w:r>
      <w:r w:rsidR="00EC3C37" w:rsidRPr="00942C19">
        <w:t xml:space="preserve">and associated costs such as power purchase expenses, O&amp;M expenses, interest on loan, depreciation, etc. </w:t>
      </w:r>
      <w:r w:rsidRPr="00942C19">
        <w:t xml:space="preserve">and fix the tariff. In this respect, it would place reliance on the audited accounts, provisional accounts and other submissions of the </w:t>
      </w:r>
      <w:r w:rsidR="009A3804" w:rsidRPr="00942C19">
        <w:t>Licensee</w:t>
      </w:r>
      <w:r w:rsidRPr="00942C19">
        <w:t xml:space="preserve">. </w:t>
      </w:r>
      <w:r w:rsidR="00AA5074" w:rsidRPr="00942C19">
        <w:t xml:space="preserve">The </w:t>
      </w:r>
      <w:r w:rsidR="009A3804" w:rsidRPr="00942C19">
        <w:t>Licensee</w:t>
      </w:r>
      <w:r w:rsidR="0075482C" w:rsidRPr="00942C19">
        <w:t>s</w:t>
      </w:r>
      <w:r w:rsidR="00AA5074" w:rsidRPr="00942C19">
        <w:t xml:space="preserve"> had </w:t>
      </w:r>
      <w:r w:rsidR="00AA5074" w:rsidRPr="00942C19">
        <w:lastRenderedPageBreak/>
        <w:t>made a detailed ARR / Tariff Petition as per the terms and conditions of the Tariff Regulations. The Commission ha</w:t>
      </w:r>
      <w:r w:rsidR="00EC3C37" w:rsidRPr="00942C19">
        <w:t>s</w:t>
      </w:r>
      <w:r w:rsidR="00AA5074" w:rsidRPr="00942C19">
        <w:t xml:space="preserve"> found that the ARR / Tariff filings for FY 2013-14 along with provisional accounts for FY 2011-12 </w:t>
      </w:r>
      <w:r w:rsidR="007879F6" w:rsidRPr="00942C19">
        <w:t xml:space="preserve">enclosed therewith, </w:t>
      </w:r>
      <w:r w:rsidR="00C570B1" w:rsidRPr="00942C19">
        <w:t xml:space="preserve">and the audited accounts for FY 2010-11 submitted thereafter </w:t>
      </w:r>
      <w:r w:rsidR="00AA5074" w:rsidRPr="00942C19">
        <w:t xml:space="preserve">were the most reliable data available with it for revenue requirement </w:t>
      </w:r>
      <w:r w:rsidR="00382B78" w:rsidRPr="00942C19">
        <w:t xml:space="preserve"> </w:t>
      </w:r>
      <w:r w:rsidR="00AA5074" w:rsidRPr="00942C19">
        <w:t>estimation</w:t>
      </w:r>
      <w:r w:rsidR="00382B78" w:rsidRPr="00942C19">
        <w:t xml:space="preserve"> and associated costs such as power purchase expenses, O&amp;M expenses, interest on loan, depreciation, etc.</w:t>
      </w:r>
      <w:r w:rsidR="00AA5074" w:rsidRPr="00942C19">
        <w:t xml:space="preserve">. Considering this, the Commission </w:t>
      </w:r>
      <w:r w:rsidR="00C570B1" w:rsidRPr="00942C19">
        <w:t xml:space="preserve">had </w:t>
      </w:r>
      <w:r w:rsidR="00AA5074" w:rsidRPr="00942C19">
        <w:t xml:space="preserve">directed the </w:t>
      </w:r>
      <w:r w:rsidR="009A3804" w:rsidRPr="00942C19">
        <w:t>Licensee</w:t>
      </w:r>
      <w:r w:rsidR="0075482C" w:rsidRPr="00942C19">
        <w:t>s</w:t>
      </w:r>
      <w:r w:rsidR="00AA5074" w:rsidRPr="00942C19">
        <w:t xml:space="preserve"> to publish the salient features of the ARR / Tariff Petitions in various newspapers and </w:t>
      </w:r>
      <w:r w:rsidR="007879F6" w:rsidRPr="00942C19">
        <w:t xml:space="preserve">on their </w:t>
      </w:r>
      <w:r w:rsidR="00AA5074" w:rsidRPr="00942C19">
        <w:t>websites with a view to ensure wide publicity of the decision of the Commission to initiate suo-mot</w:t>
      </w:r>
      <w:r w:rsidR="00C570B1" w:rsidRPr="00942C19">
        <w:t>u</w:t>
      </w:r>
      <w:r w:rsidR="00AA5074" w:rsidRPr="00942C19">
        <w:t xml:space="preserve"> proceedings for tariff determination. This was done to ensure that the suo-mot</w:t>
      </w:r>
      <w:r w:rsidR="00C570B1" w:rsidRPr="00942C19">
        <w:t>u</w:t>
      </w:r>
      <w:r w:rsidR="00AA5074" w:rsidRPr="00942C19">
        <w:t xml:space="preserve"> proceedings are initiated with greater transparency and wide participation of the stakeholders. In this backdrop, the Commission also held Public Hearing at 4 cities of Uttar Pradesh to encourage active participation of the stakeholders </w:t>
      </w:r>
      <w:r w:rsidR="00382B78" w:rsidRPr="00942C19">
        <w:t xml:space="preserve">and the public at large to </w:t>
      </w:r>
      <w:r w:rsidR="00AA5074" w:rsidRPr="00942C19">
        <w:t>obtain their views and suggestions.</w:t>
      </w:r>
    </w:p>
    <w:p w:rsidR="00AA5074" w:rsidRPr="00942C19" w:rsidRDefault="00AA5074" w:rsidP="004961F1">
      <w:pPr>
        <w:pStyle w:val="Heading3"/>
        <w:tabs>
          <w:tab w:val="clear" w:pos="720"/>
          <w:tab w:val="clear" w:pos="936"/>
          <w:tab w:val="num" w:pos="993"/>
        </w:tabs>
        <w:spacing w:before="240" w:after="240"/>
        <w:ind w:left="993"/>
      </w:pPr>
      <w:r w:rsidRPr="00942C19">
        <w:t>On the issue of the role of the RAU wing, the Commission clarifies that in the process of suo-mot</w:t>
      </w:r>
      <w:r w:rsidR="00C570B1" w:rsidRPr="00942C19">
        <w:t>u</w:t>
      </w:r>
      <w:r w:rsidRPr="00942C19">
        <w:t xml:space="preserve"> proceedings, the distribution companies only play a passive role. The Commission has received the data required by it, from the </w:t>
      </w:r>
      <w:r w:rsidR="009A3804" w:rsidRPr="00942C19">
        <w:t>Licensee</w:t>
      </w:r>
      <w:r w:rsidR="0075482C" w:rsidRPr="00942C19">
        <w:t>s</w:t>
      </w:r>
      <w:r w:rsidRPr="00942C19">
        <w:t>, directly sometimes</w:t>
      </w:r>
      <w:r w:rsidR="000E6FDA" w:rsidRPr="00942C19">
        <w:t xml:space="preserve"> from RAU wing</w:t>
      </w:r>
      <w:r w:rsidRPr="00942C19">
        <w:t xml:space="preserve"> and sometimes through the distribution companies.</w:t>
      </w:r>
      <w:r w:rsidR="000E6FDA" w:rsidRPr="00942C19">
        <w:t xml:space="preserve"> Nevertheless, it has been ensured that the rights of the consumers have not been prejudiced due to the coordinating role played by the RAU wing.</w:t>
      </w:r>
    </w:p>
    <w:p w:rsidR="009A3804" w:rsidRPr="00942C19" w:rsidRDefault="009A3804" w:rsidP="004961F1">
      <w:pPr>
        <w:pStyle w:val="Heading3"/>
        <w:tabs>
          <w:tab w:val="clear" w:pos="720"/>
          <w:tab w:val="clear" w:pos="936"/>
          <w:tab w:val="num" w:pos="993"/>
        </w:tabs>
        <w:spacing w:before="240" w:after="240"/>
        <w:ind w:left="993"/>
      </w:pPr>
      <w:r w:rsidRPr="00942C19">
        <w:rPr>
          <w:rFonts w:asciiTheme="minorHAnsi" w:hAnsiTheme="minorHAnsi" w:cstheme="minorHAnsi"/>
          <w:color w:val="000000"/>
        </w:rPr>
        <w:t>The scheme of the Act requires the Licensee to work with complete functional autonomy and independence. The Commission, with a view to ensure functional autonomy, independence, transparency and regulatory discipline, and considering the suggestions of the stakeholder,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w:t>
      </w:r>
    </w:p>
    <w:p w:rsidR="00A900F7" w:rsidRPr="00942C19" w:rsidRDefault="00A900F7" w:rsidP="0066627E">
      <w:pPr>
        <w:spacing w:before="0" w:line="240" w:lineRule="auto"/>
        <w:jc w:val="left"/>
      </w:pPr>
    </w:p>
    <w:p w:rsidR="00A93C74" w:rsidRPr="00942C19" w:rsidRDefault="00A93C74" w:rsidP="0066627E">
      <w:pPr>
        <w:pStyle w:val="Heading4"/>
        <w:numPr>
          <w:ilvl w:val="0"/>
          <w:numId w:val="0"/>
        </w:numPr>
        <w:spacing w:line="240" w:lineRule="auto"/>
        <w:ind w:left="864" w:hanging="864"/>
        <w:rPr>
          <w:rFonts w:asciiTheme="minorHAnsi" w:hAnsiTheme="minorHAnsi" w:cstheme="minorHAnsi"/>
          <w:bCs w:val="0"/>
        </w:rPr>
      </w:pPr>
    </w:p>
    <w:p w:rsidR="00A93C74" w:rsidRPr="00942C19" w:rsidRDefault="00A93C74" w:rsidP="00A818DC">
      <w:pPr>
        <w:pStyle w:val="Heading2"/>
        <w:numPr>
          <w:ilvl w:val="1"/>
          <w:numId w:val="21"/>
        </w:numPr>
      </w:pPr>
      <w:bookmarkStart w:id="319" w:name="_Toc357356068"/>
      <w:bookmarkStart w:id="320" w:name="_Toc357714358"/>
      <w:r w:rsidRPr="00942C19">
        <w:t>PROPOSAL FOR SUPPLY HOURS LI</w:t>
      </w:r>
      <w:r w:rsidR="00752B84" w:rsidRPr="00942C19">
        <w:t>NKED TARIFF FOR LMV-1 CONSUMERS</w:t>
      </w:r>
      <w:bookmarkEnd w:id="319"/>
      <w:bookmarkEnd w:id="320"/>
    </w:p>
    <w:p w:rsidR="00A93C74" w:rsidRPr="00942C19" w:rsidRDefault="00A93C74" w:rsidP="00A93C74">
      <w:pPr>
        <w:tabs>
          <w:tab w:val="left" w:pos="1260"/>
        </w:tabs>
        <w:ind w:left="720"/>
        <w:rPr>
          <w:rFonts w:asciiTheme="minorHAnsi" w:hAnsiTheme="minorHAnsi" w:cstheme="minorHAnsi"/>
          <w:b/>
          <w:i/>
        </w:rPr>
      </w:pPr>
      <w:r w:rsidRPr="00942C19">
        <w:rPr>
          <w:rFonts w:asciiTheme="minorHAnsi" w:hAnsiTheme="minorHAnsi" w:cstheme="minorHAnsi"/>
          <w:b/>
          <w:i/>
        </w:rPr>
        <w:lastRenderedPageBreak/>
        <w:t xml:space="preserve"> </w:t>
      </w:r>
    </w:p>
    <w:p w:rsidR="00A93C74" w:rsidRPr="00942C19" w:rsidRDefault="00A93C74" w:rsidP="00A818DC">
      <w:pPr>
        <w:pStyle w:val="ListParagraph"/>
        <w:numPr>
          <w:ilvl w:val="0"/>
          <w:numId w:val="20"/>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A93C74" w:rsidRPr="00942C19" w:rsidRDefault="00A93C74" w:rsidP="004A2633">
      <w:pPr>
        <w:pStyle w:val="Heading3"/>
        <w:tabs>
          <w:tab w:val="clear" w:pos="720"/>
          <w:tab w:val="clear" w:pos="936"/>
          <w:tab w:val="num" w:pos="993"/>
        </w:tabs>
        <w:spacing w:before="240" w:after="240"/>
        <w:ind w:left="993"/>
      </w:pPr>
      <w:r w:rsidRPr="00942C19">
        <w:t xml:space="preserve">The comments / objections submitted by </w:t>
      </w:r>
      <w:r w:rsidR="0045516A" w:rsidRPr="00942C19">
        <w:t xml:space="preserve">Mr. </w:t>
      </w:r>
      <w:r w:rsidR="009A3804" w:rsidRPr="00942C19">
        <w:t>Awadhesh</w:t>
      </w:r>
      <w:r w:rsidRPr="00942C19">
        <w:t xml:space="preserve"> Kumar Verma, Chairman, U.P.</w:t>
      </w:r>
      <w:r w:rsidR="004A2633" w:rsidRPr="00942C19">
        <w:t xml:space="preserve"> </w:t>
      </w:r>
      <w:r w:rsidRPr="00942C19">
        <w:t xml:space="preserve">Rajya Vidyut Upbhokta Parishad, </w:t>
      </w:r>
      <w:r w:rsidR="0045516A" w:rsidRPr="00942C19">
        <w:t xml:space="preserve">Mr. </w:t>
      </w:r>
      <w:r w:rsidRPr="00942C19">
        <w:t>Rama Shanker Awasthi, Lucknow</w:t>
      </w:r>
      <w:r w:rsidR="0045516A" w:rsidRPr="00942C19">
        <w:t xml:space="preserve"> and Mr. </w:t>
      </w:r>
      <w:r w:rsidRPr="00942C19">
        <w:t>Vijay Kumar Agarwal, Upbhokta Jan Kalyan Samiti are as under:</w:t>
      </w:r>
    </w:p>
    <w:p w:rsidR="00A93C74" w:rsidRPr="00942C19" w:rsidRDefault="00A93C74" w:rsidP="004A2633">
      <w:pPr>
        <w:pStyle w:val="Heading3"/>
        <w:tabs>
          <w:tab w:val="clear" w:pos="720"/>
          <w:tab w:val="clear" w:pos="936"/>
          <w:tab w:val="num" w:pos="993"/>
        </w:tabs>
        <w:spacing w:before="240" w:after="240"/>
        <w:ind w:left="993"/>
      </w:pPr>
      <w:r w:rsidRPr="00942C19">
        <w:t>The stakeholders stated that the distribution companies have proposed to link tariff for LMV-1 category consumer</w:t>
      </w:r>
      <w:r w:rsidR="0045516A" w:rsidRPr="00942C19">
        <w:t>s</w:t>
      </w:r>
      <w:r w:rsidRPr="00942C19">
        <w:t xml:space="preserve"> based on the hours of supply. In case of Ghaziabad, Lucknow and Noida, where electricity is being supplied purported</w:t>
      </w:r>
      <w:r w:rsidR="004A2633" w:rsidRPr="00942C19">
        <w:t>ly</w:t>
      </w:r>
      <w:r w:rsidRPr="00942C19">
        <w:t xml:space="preserve"> for 24 hours, the tariff has been proposed at the highest level. The claim of the distribution companies </w:t>
      </w:r>
      <w:r w:rsidR="0045516A" w:rsidRPr="00942C19">
        <w:t xml:space="preserve">that electricity is being supplied to </w:t>
      </w:r>
      <w:r w:rsidRPr="00942C19">
        <w:t xml:space="preserve">Ghaziabad, Lucknow and Noida </w:t>
      </w:r>
      <w:r w:rsidR="0045516A" w:rsidRPr="00942C19">
        <w:t xml:space="preserve">for </w:t>
      </w:r>
      <w:r w:rsidRPr="00942C19">
        <w:t>24 hours itself has been contested by the stakeholders. The stakeholders have expressed their fears that such a proposal has been made only as a back door entry for higher tariff revision.</w:t>
      </w:r>
    </w:p>
    <w:p w:rsidR="00A93C74" w:rsidRPr="00942C19" w:rsidRDefault="00A93C74" w:rsidP="004A2633">
      <w:pPr>
        <w:pStyle w:val="Heading3"/>
        <w:tabs>
          <w:tab w:val="clear" w:pos="720"/>
          <w:tab w:val="clear" w:pos="936"/>
          <w:tab w:val="num" w:pos="993"/>
        </w:tabs>
        <w:spacing w:before="240" w:after="240"/>
        <w:ind w:left="993"/>
      </w:pPr>
      <w:r w:rsidRPr="00942C19">
        <w:t>The stakeholders have alleged that there are other cities / district</w:t>
      </w:r>
      <w:r w:rsidR="0045516A" w:rsidRPr="00942C19">
        <w:t>s</w:t>
      </w:r>
      <w:r w:rsidRPr="00942C19">
        <w:t xml:space="preserve"> such as Etawah, Mainpuri, Kannauj, Rae Bareli, Amethi, Sambhal, Deoband Nagar, Auraiya, etc which are getting 24 hours supply, but the same being VVIP areas have been </w:t>
      </w:r>
      <w:r w:rsidR="0045516A" w:rsidRPr="00942C19">
        <w:t xml:space="preserve">kept </w:t>
      </w:r>
      <w:r w:rsidRPr="00942C19">
        <w:t>aloof</w:t>
      </w:r>
      <w:r w:rsidR="0045516A" w:rsidRPr="00942C19">
        <w:t xml:space="preserve"> from the </w:t>
      </w:r>
      <w:r w:rsidRPr="00942C19">
        <w:t xml:space="preserve">proposed hourly linked tariff for LMV-1 consumers. The stakeholders have stated that this is discriminatory and is contrary to the spirit and provisions of the Electricity Act, 2003 and in particular to Section 62 (3) of the Act which states that </w:t>
      </w:r>
      <w:r w:rsidRPr="00942C19">
        <w:rPr>
          <w:i/>
        </w:rPr>
        <w:t>“Appropriate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supply is required”.</w:t>
      </w:r>
    </w:p>
    <w:p w:rsidR="00A93C74" w:rsidRPr="00942C19" w:rsidRDefault="00A93C74" w:rsidP="004A2633">
      <w:pPr>
        <w:pStyle w:val="Heading3"/>
        <w:tabs>
          <w:tab w:val="clear" w:pos="720"/>
          <w:tab w:val="clear" w:pos="936"/>
          <w:tab w:val="num" w:pos="993"/>
        </w:tabs>
        <w:spacing w:before="240" w:after="240"/>
        <w:ind w:left="993"/>
      </w:pPr>
      <w:r w:rsidRPr="00942C19">
        <w:t>The stakeholders expressed their concern over how the distribution companies would implement such a proposal if approved as there is no preparedness within the distribution companies.</w:t>
      </w:r>
    </w:p>
    <w:p w:rsidR="00A93C74" w:rsidRPr="00942C19" w:rsidRDefault="00A93C74" w:rsidP="004A2633">
      <w:pPr>
        <w:pStyle w:val="Heading3"/>
        <w:tabs>
          <w:tab w:val="clear" w:pos="720"/>
          <w:tab w:val="clear" w:pos="936"/>
          <w:tab w:val="num" w:pos="993"/>
        </w:tabs>
        <w:spacing w:before="240" w:after="240"/>
        <w:ind w:left="993"/>
      </w:pPr>
      <w:r w:rsidRPr="00942C19">
        <w:t>The stakeholders have suggested that the hours of supply to all areas should be similar and no discrimination may be done for power supply to different areas.</w:t>
      </w:r>
    </w:p>
    <w:p w:rsidR="00A93C74" w:rsidRPr="00942C19" w:rsidRDefault="00A93C74" w:rsidP="004A2633">
      <w:pPr>
        <w:pStyle w:val="Heading3"/>
        <w:tabs>
          <w:tab w:val="clear" w:pos="720"/>
          <w:tab w:val="clear" w:pos="936"/>
          <w:tab w:val="num" w:pos="993"/>
        </w:tabs>
        <w:spacing w:before="240" w:after="240"/>
        <w:ind w:left="993"/>
      </w:pPr>
      <w:r w:rsidRPr="00942C19">
        <w:lastRenderedPageBreak/>
        <w:t>The stakeholders have stated that the proposal of the distribution companies to reduce the first slab of LMV-1 consumers from 0-200 units to 0-100 units may be rejected by the Commission. Instead the stakeholders have suggested that such slab may be increased to 0-250 units or retained at the existing level.</w:t>
      </w:r>
    </w:p>
    <w:p w:rsidR="00A93C74" w:rsidRPr="00942C19" w:rsidRDefault="00A93C74" w:rsidP="00A93C74">
      <w:pPr>
        <w:pStyle w:val="Heading3"/>
        <w:numPr>
          <w:ilvl w:val="0"/>
          <w:numId w:val="0"/>
        </w:numPr>
        <w:ind w:left="720"/>
      </w:pPr>
    </w:p>
    <w:p w:rsidR="00A93C74" w:rsidRPr="00942C19" w:rsidRDefault="002023A1" w:rsidP="00A818DC">
      <w:pPr>
        <w:pStyle w:val="Heading3"/>
        <w:numPr>
          <w:ilvl w:val="0"/>
          <w:numId w:val="20"/>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A93C74" w:rsidRPr="00942C19">
        <w:rPr>
          <w:b/>
          <w:i/>
        </w:rPr>
        <w:t>:</w:t>
      </w:r>
    </w:p>
    <w:p w:rsidR="0045516A" w:rsidRPr="00942C19" w:rsidRDefault="0045516A" w:rsidP="004A2633">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has submitted that </w:t>
      </w:r>
      <w:r w:rsidR="00935160" w:rsidRPr="00942C19">
        <w:t xml:space="preserve">the hourly linked tariff proposal made by </w:t>
      </w:r>
      <w:proofErr w:type="gramStart"/>
      <w:r w:rsidR="00935160" w:rsidRPr="00942C19">
        <w:t>it</w:t>
      </w:r>
      <w:r w:rsidR="004A2633" w:rsidRPr="00942C19">
        <w:t>,</w:t>
      </w:r>
      <w:proofErr w:type="gramEnd"/>
      <w:r w:rsidR="00935160" w:rsidRPr="00942C19">
        <w:t xml:space="preserve"> is to ensure that the consumers pay tariff which is commensurate with the hours of supply ensured to such consumers</w:t>
      </w:r>
      <w:r w:rsidRPr="00942C19">
        <w:t>.</w:t>
      </w:r>
      <w:r w:rsidR="00935160" w:rsidRPr="00942C19">
        <w:t xml:space="preserve"> There is a considerable demand supply gap in the state. In such a case, there is scheduled rostering across the state except in few major cities. The intention of the </w:t>
      </w:r>
      <w:r w:rsidR="009A3804" w:rsidRPr="00942C19">
        <w:t>Licensee</w:t>
      </w:r>
      <w:r w:rsidR="00935160" w:rsidRPr="00942C19">
        <w:t xml:space="preserve"> in proposing such a tariff structure was to ensure that tariff for LMV-1 consumers is fixed at a level where best supply is provided i.e., in major cities where electricity is being supplied for 24 hours and for consumers of other areas provide a tariff linked with the hours of supply thereby giving a discounted rate for areas getting less than 24 hours of supply.</w:t>
      </w:r>
    </w:p>
    <w:p w:rsidR="00935160" w:rsidRPr="00942C19" w:rsidRDefault="00935160" w:rsidP="004A2633">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has submitted that reduction in the slab proposed for LMV-1 category (metered consumers) is in line with the slabs of the neighbouring states for domestic category consumers. Hence, the same may be considered by the Commission in final rate schedule which it may approve.</w:t>
      </w:r>
    </w:p>
    <w:p w:rsidR="00935160" w:rsidRPr="00942C19" w:rsidRDefault="00935160" w:rsidP="00A93C74">
      <w:pPr>
        <w:pStyle w:val="Heading3"/>
        <w:numPr>
          <w:ilvl w:val="0"/>
          <w:numId w:val="0"/>
        </w:numPr>
        <w:ind w:left="720"/>
      </w:pPr>
    </w:p>
    <w:p w:rsidR="00A93C74" w:rsidRPr="00942C19" w:rsidRDefault="00A93C74" w:rsidP="00A818DC">
      <w:pPr>
        <w:pStyle w:val="Heading3"/>
        <w:numPr>
          <w:ilvl w:val="0"/>
          <w:numId w:val="20"/>
        </w:numPr>
        <w:spacing w:before="0"/>
        <w:rPr>
          <w:b/>
          <w:i/>
        </w:rPr>
      </w:pPr>
      <w:r w:rsidRPr="00942C19">
        <w:rPr>
          <w:b/>
          <w:i/>
        </w:rPr>
        <w:t>The Commission’s views:</w:t>
      </w:r>
    </w:p>
    <w:p w:rsidR="00A04B1D" w:rsidRPr="00942C19" w:rsidRDefault="00A04B1D" w:rsidP="00A04B1D">
      <w:pPr>
        <w:pStyle w:val="Heading3"/>
        <w:numPr>
          <w:ilvl w:val="0"/>
          <w:numId w:val="0"/>
        </w:numPr>
        <w:tabs>
          <w:tab w:val="clear" w:pos="720"/>
        </w:tabs>
        <w:spacing w:before="0"/>
        <w:ind w:left="936"/>
      </w:pPr>
    </w:p>
    <w:p w:rsidR="006A6838" w:rsidRPr="00942C19" w:rsidRDefault="006A6838" w:rsidP="00891FE6">
      <w:pPr>
        <w:pStyle w:val="Heading3"/>
        <w:tabs>
          <w:tab w:val="clear" w:pos="720"/>
          <w:tab w:val="clear" w:pos="936"/>
          <w:tab w:val="num" w:pos="993"/>
        </w:tabs>
        <w:spacing w:before="0"/>
      </w:pPr>
      <w:r w:rsidRPr="00942C19">
        <w:t xml:space="preserve">The </w:t>
      </w:r>
      <w:r w:rsidR="009A3804" w:rsidRPr="00942C19">
        <w:t>Licensee</w:t>
      </w:r>
      <w:r w:rsidR="0075482C" w:rsidRPr="00942C19">
        <w:t>s</w:t>
      </w:r>
      <w:r w:rsidRPr="00942C19">
        <w:t xml:space="preserve"> have not detailed the rationale and justifications towards the proposed hourly linked tariff rates for LMV-1 consumers. The Commission is also not satisfied regarding the preparedness of the </w:t>
      </w:r>
      <w:r w:rsidR="009A3804" w:rsidRPr="00942C19">
        <w:t>Licensee</w:t>
      </w:r>
      <w:r w:rsidR="0075482C" w:rsidRPr="00942C19">
        <w:t>s</w:t>
      </w:r>
      <w:r w:rsidRPr="00942C19">
        <w:t xml:space="preserve"> in terms of metering, billing, etc., to implement such a graded tariff structure</w:t>
      </w:r>
      <w:r w:rsidR="0083370A" w:rsidRPr="00942C19">
        <w:t>,</w:t>
      </w:r>
      <w:r w:rsidRPr="00942C19">
        <w:t xml:space="preserve"> if </w:t>
      </w:r>
      <w:r w:rsidR="0083370A" w:rsidRPr="00942C19">
        <w:t>approved</w:t>
      </w:r>
      <w:r w:rsidRPr="00942C19">
        <w:t>. The Commission feels that the time is not ripe for approving such a tariff structure in this suo-mot</w:t>
      </w:r>
      <w:r w:rsidR="004A2633" w:rsidRPr="00942C19">
        <w:t>u</w:t>
      </w:r>
      <w:r w:rsidRPr="00942C19">
        <w:t xml:space="preserve"> proceeding. The Commission would need to be satisfied regarding the maintainability, acceptability</w:t>
      </w:r>
      <w:r w:rsidR="0083370A" w:rsidRPr="00942C19">
        <w:t xml:space="preserve"> and </w:t>
      </w:r>
      <w:r w:rsidRPr="00942C19">
        <w:t>practicality of such a graded tariff structure for LMV-1 consumers before its consideration in the rate schedule.</w:t>
      </w:r>
    </w:p>
    <w:p w:rsidR="00A04B1D" w:rsidRPr="00942C19" w:rsidRDefault="00A04B1D" w:rsidP="00AE7F3A">
      <w:pPr>
        <w:pStyle w:val="Heading3"/>
        <w:numPr>
          <w:ilvl w:val="0"/>
          <w:numId w:val="0"/>
        </w:numPr>
        <w:spacing w:before="0"/>
        <w:ind w:left="936"/>
      </w:pPr>
    </w:p>
    <w:p w:rsidR="00AE7F3A" w:rsidRPr="00942C19" w:rsidRDefault="00AE7F3A" w:rsidP="00AE7F3A">
      <w:pPr>
        <w:pStyle w:val="Heading3"/>
        <w:numPr>
          <w:ilvl w:val="0"/>
          <w:numId w:val="0"/>
        </w:numPr>
        <w:spacing w:before="0"/>
        <w:ind w:left="936"/>
      </w:pPr>
    </w:p>
    <w:p w:rsidR="00332712" w:rsidRPr="00942C19" w:rsidRDefault="00332712" w:rsidP="00A818DC">
      <w:pPr>
        <w:pStyle w:val="Heading2"/>
        <w:numPr>
          <w:ilvl w:val="1"/>
          <w:numId w:val="21"/>
        </w:numPr>
      </w:pPr>
      <w:bookmarkStart w:id="321" w:name="_Toc337201335"/>
      <w:bookmarkStart w:id="322" w:name="_Toc337459176"/>
      <w:bookmarkStart w:id="323" w:name="_Toc338354649"/>
      <w:bookmarkStart w:id="324" w:name="_Toc357356069"/>
      <w:bookmarkStart w:id="325" w:name="_Toc357714359"/>
      <w:r w:rsidRPr="00942C19">
        <w:t>SUPPLY RELATED ISSUES</w:t>
      </w:r>
      <w:bookmarkEnd w:id="321"/>
      <w:bookmarkEnd w:id="322"/>
      <w:bookmarkEnd w:id="323"/>
      <w:bookmarkEnd w:id="324"/>
      <w:bookmarkEnd w:id="325"/>
    </w:p>
    <w:p w:rsidR="00A04B1D" w:rsidRPr="00942C19" w:rsidRDefault="00A04B1D" w:rsidP="00A04B1D">
      <w:pPr>
        <w:pStyle w:val="Heading2"/>
        <w:numPr>
          <w:ilvl w:val="0"/>
          <w:numId w:val="0"/>
        </w:numPr>
        <w:ind w:left="780"/>
      </w:pPr>
    </w:p>
    <w:p w:rsidR="00332712" w:rsidRPr="00942C19" w:rsidRDefault="00332712" w:rsidP="00332712">
      <w:pPr>
        <w:pStyle w:val="Default"/>
        <w:jc w:val="both"/>
        <w:rPr>
          <w:rFonts w:asciiTheme="minorHAnsi" w:hAnsiTheme="minorHAnsi" w:cstheme="minorHAnsi"/>
          <w:bCs/>
          <w:color w:val="auto"/>
        </w:rPr>
      </w:pPr>
    </w:p>
    <w:p w:rsidR="00332712" w:rsidRPr="00942C19" w:rsidRDefault="00332712" w:rsidP="00A818DC">
      <w:pPr>
        <w:pStyle w:val="ListParagraph"/>
        <w:numPr>
          <w:ilvl w:val="0"/>
          <w:numId w:val="12"/>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332712" w:rsidRPr="00942C19" w:rsidRDefault="00D31494" w:rsidP="004A2633">
      <w:pPr>
        <w:pStyle w:val="Heading3"/>
        <w:tabs>
          <w:tab w:val="clear" w:pos="720"/>
          <w:tab w:val="clear" w:pos="936"/>
          <w:tab w:val="num" w:pos="993"/>
        </w:tabs>
        <w:spacing w:before="240" w:after="240"/>
        <w:ind w:left="993"/>
      </w:pPr>
      <w:r w:rsidRPr="00942C19">
        <w:t>The comments / suggestions submitted by Mr. Ram Dutt Sharma, Mr. Arvind Kumar Sharma, Mr. R.K. Jain, Secretary, Western UP Chamber of Commerce &amp; Industry, Meerut, Mr. Chotebhai Naronha, Convenor, Kanpur Nagrik Manch, Mr. Kanhaiyalal Gupta ‘Salil’, Secretary, Kanpur Nagrik Manch, Mr. Awadhesh Kumar Verma, Chairman, U.P. Rajya Vidyut Upbhokta Parishad and Mr. S.B. Agarwal, Secy. Gen., Associated Chambers Of Commerce And Industry of UP are as under:</w:t>
      </w:r>
    </w:p>
    <w:p w:rsidR="00332712" w:rsidRPr="00942C19" w:rsidRDefault="00332712" w:rsidP="004A2633">
      <w:pPr>
        <w:pStyle w:val="Heading3"/>
        <w:tabs>
          <w:tab w:val="clear" w:pos="720"/>
          <w:tab w:val="clear" w:pos="936"/>
          <w:tab w:val="num" w:pos="993"/>
        </w:tabs>
        <w:spacing w:before="240" w:after="240"/>
        <w:ind w:left="993"/>
      </w:pPr>
      <w:r w:rsidRPr="00942C19">
        <w:t xml:space="preserve">The stakeholders stated that there is unscheduled rostering in Taj Trapezium area to the extent of 4 hours daily. The stakeholders also alleged </w:t>
      </w:r>
      <w:r w:rsidR="004A2633" w:rsidRPr="00942C19">
        <w:t xml:space="preserve">that </w:t>
      </w:r>
      <w:r w:rsidRPr="00942C19">
        <w:t xml:space="preserve">they are exploited by the distribution companies on the issue of connected load. </w:t>
      </w:r>
    </w:p>
    <w:p w:rsidR="00332712" w:rsidRPr="00942C19" w:rsidRDefault="00332712" w:rsidP="004A2633">
      <w:pPr>
        <w:pStyle w:val="Heading3"/>
        <w:tabs>
          <w:tab w:val="clear" w:pos="720"/>
          <w:tab w:val="clear" w:pos="936"/>
          <w:tab w:val="num" w:pos="993"/>
        </w:tabs>
        <w:spacing w:before="240" w:after="240"/>
        <w:ind w:left="993"/>
      </w:pPr>
      <w:r w:rsidRPr="00942C19">
        <w:t>The stakeholders have expressed their concern over the turnaround time of the distribution companies for restoration of supply in case of outages due to technical faults in the line, transformers, feeders, etc.</w:t>
      </w:r>
    </w:p>
    <w:p w:rsidR="00332712" w:rsidRPr="00942C19" w:rsidRDefault="00332712" w:rsidP="004A2633">
      <w:pPr>
        <w:pStyle w:val="Heading3"/>
        <w:tabs>
          <w:tab w:val="clear" w:pos="720"/>
          <w:tab w:val="clear" w:pos="936"/>
          <w:tab w:val="num" w:pos="993"/>
        </w:tabs>
        <w:spacing w:before="240" w:after="240"/>
        <w:ind w:left="993"/>
      </w:pPr>
      <w:r w:rsidRPr="00942C19">
        <w:t>The stakeholders have expressed their concern over the growing demand</w:t>
      </w:r>
      <w:r w:rsidR="009A3804" w:rsidRPr="00942C19">
        <w:t>-</w:t>
      </w:r>
      <w:r w:rsidRPr="00942C19">
        <w:t xml:space="preserve"> supply gap in the state.</w:t>
      </w:r>
    </w:p>
    <w:p w:rsidR="00332712" w:rsidRPr="00942C19" w:rsidRDefault="00332712" w:rsidP="00332712">
      <w:pPr>
        <w:pStyle w:val="ListParagraph"/>
        <w:rPr>
          <w:rFonts w:asciiTheme="minorHAnsi" w:hAnsiTheme="minorHAnsi" w:cstheme="minorHAnsi"/>
        </w:rPr>
      </w:pPr>
    </w:p>
    <w:p w:rsidR="00332712" w:rsidRPr="00942C19" w:rsidRDefault="00332712" w:rsidP="00A818DC">
      <w:pPr>
        <w:pStyle w:val="ListParagraph"/>
        <w:numPr>
          <w:ilvl w:val="0"/>
          <w:numId w:val="12"/>
        </w:numPr>
        <w:tabs>
          <w:tab w:val="left" w:pos="1260"/>
        </w:tabs>
        <w:spacing w:before="0"/>
        <w:rPr>
          <w:rFonts w:asciiTheme="minorHAnsi" w:hAnsiTheme="minorHAnsi" w:cstheme="minorHAnsi"/>
          <w:b/>
          <w:i/>
        </w:rPr>
      </w:pPr>
      <w:r w:rsidRPr="00942C19">
        <w:rPr>
          <w:rFonts w:asciiTheme="minorHAnsi" w:hAnsiTheme="minorHAnsi" w:cstheme="minorHAnsi"/>
          <w:b/>
          <w:i/>
        </w:rPr>
        <w:t xml:space="preserve"> </w:t>
      </w:r>
      <w:r w:rsidR="002023A1" w:rsidRPr="00942C19">
        <w:rPr>
          <w:rFonts w:cstheme="minorHAnsi"/>
          <w:b/>
          <w:i/>
        </w:rPr>
        <w:t xml:space="preserve">The </w:t>
      </w:r>
      <w:r w:rsidR="009A3804" w:rsidRPr="00942C19">
        <w:rPr>
          <w:rFonts w:cstheme="minorHAnsi"/>
          <w:b/>
          <w:i/>
        </w:rPr>
        <w:t>Licensee</w:t>
      </w:r>
      <w:r w:rsidR="002023A1" w:rsidRPr="00942C19">
        <w:rPr>
          <w:rFonts w:cstheme="minorHAnsi"/>
          <w:b/>
          <w:i/>
        </w:rPr>
        <w:t>’s response</w:t>
      </w:r>
      <w:r w:rsidRPr="00942C19">
        <w:rPr>
          <w:rFonts w:asciiTheme="minorHAnsi" w:hAnsiTheme="minorHAnsi" w:cstheme="minorHAnsi"/>
          <w:b/>
          <w:i/>
        </w:rPr>
        <w:t>:</w:t>
      </w:r>
    </w:p>
    <w:p w:rsidR="00332712" w:rsidRPr="00942C19" w:rsidRDefault="00332712" w:rsidP="00C874D8">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submitted that the hours of supply is normally as per schedule</w:t>
      </w:r>
      <w:r w:rsidR="00C874D8" w:rsidRPr="00942C19">
        <w:t>,</w:t>
      </w:r>
      <w:r w:rsidRPr="00942C19">
        <w:t xml:space="preserve"> however sometimes it may be less than that of schedule hours due to emergency rostering which is beyond the control of the </w:t>
      </w:r>
      <w:r w:rsidR="009A3804" w:rsidRPr="00942C19">
        <w:t>Licensee</w:t>
      </w:r>
      <w:r w:rsidRPr="00942C19">
        <w:t>.</w:t>
      </w:r>
    </w:p>
    <w:p w:rsidR="00332712" w:rsidRPr="00942C19" w:rsidRDefault="00332712" w:rsidP="00C874D8">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stated that complaints of quality of supply, turnaround time for fault repair, etc. are not related to present tariff Petition. However it assured that these issues will be dealt by the concerned local officers of the Discoms.</w:t>
      </w:r>
    </w:p>
    <w:p w:rsidR="00332712" w:rsidRPr="00942C19" w:rsidRDefault="00332712" w:rsidP="00C874D8">
      <w:pPr>
        <w:pStyle w:val="Heading3"/>
        <w:tabs>
          <w:tab w:val="clear" w:pos="720"/>
          <w:tab w:val="clear" w:pos="936"/>
          <w:tab w:val="num" w:pos="993"/>
        </w:tabs>
        <w:spacing w:before="240" w:after="240"/>
        <w:ind w:left="993"/>
      </w:pPr>
      <w:r w:rsidRPr="00942C19">
        <w:t xml:space="preserve">Regarding, the demand supply gap, the </w:t>
      </w:r>
      <w:r w:rsidR="009A3804" w:rsidRPr="00942C19">
        <w:t>Licensee</w:t>
      </w:r>
      <w:r w:rsidRPr="00942C19">
        <w:t xml:space="preserve"> has stated </w:t>
      </w:r>
      <w:r w:rsidR="00C874D8" w:rsidRPr="00942C19">
        <w:t xml:space="preserve">that </w:t>
      </w:r>
      <w:r w:rsidRPr="00942C19">
        <w:t xml:space="preserve">it is endeavouring to reduce the distribution losses. Capacity augmentation is </w:t>
      </w:r>
      <w:r w:rsidRPr="00942C19">
        <w:lastRenderedPageBreak/>
        <w:t>being planned by the State Government. The growth in the capacity addition has been outnumbered by the growth in the demand.</w:t>
      </w:r>
    </w:p>
    <w:p w:rsidR="00332712" w:rsidRPr="00942C19" w:rsidRDefault="00332712" w:rsidP="00332712">
      <w:pPr>
        <w:pStyle w:val="Heading3"/>
        <w:numPr>
          <w:ilvl w:val="0"/>
          <w:numId w:val="0"/>
        </w:numPr>
        <w:ind w:left="720"/>
        <w:rPr>
          <w:rFonts w:asciiTheme="minorHAnsi" w:hAnsiTheme="minorHAnsi" w:cstheme="minorHAnsi"/>
        </w:rPr>
      </w:pPr>
    </w:p>
    <w:p w:rsidR="00332712" w:rsidRPr="00942C19" w:rsidRDefault="00332712" w:rsidP="00A818DC">
      <w:pPr>
        <w:pStyle w:val="Heading3"/>
        <w:numPr>
          <w:ilvl w:val="0"/>
          <w:numId w:val="12"/>
        </w:numPr>
        <w:spacing w:before="0"/>
        <w:rPr>
          <w:rFonts w:asciiTheme="minorHAnsi" w:hAnsiTheme="minorHAnsi" w:cstheme="minorHAnsi"/>
          <w:b/>
          <w:i/>
        </w:rPr>
      </w:pPr>
      <w:r w:rsidRPr="00942C19">
        <w:rPr>
          <w:rFonts w:asciiTheme="minorHAnsi" w:hAnsiTheme="minorHAnsi" w:cstheme="minorHAnsi"/>
          <w:b/>
          <w:i/>
        </w:rPr>
        <w:t>The Commission’s views:</w:t>
      </w:r>
    </w:p>
    <w:p w:rsidR="00332712" w:rsidRPr="00942C19" w:rsidRDefault="00332712" w:rsidP="00C874D8">
      <w:pPr>
        <w:pStyle w:val="Heading3"/>
        <w:tabs>
          <w:tab w:val="clear" w:pos="720"/>
          <w:tab w:val="clear" w:pos="936"/>
          <w:tab w:val="num" w:pos="993"/>
        </w:tabs>
        <w:spacing w:before="240" w:after="240"/>
        <w:ind w:left="993"/>
      </w:pPr>
      <w:r w:rsidRPr="00942C19">
        <w:t xml:space="preserve">The Commission </w:t>
      </w:r>
      <w:r w:rsidR="00382B78" w:rsidRPr="00942C19">
        <w:t>has considered the views of the stakeholders while approving the tariff</w:t>
      </w:r>
      <w:r w:rsidRPr="00942C19">
        <w:t xml:space="preserve">. </w:t>
      </w:r>
    </w:p>
    <w:p w:rsidR="00332712" w:rsidRPr="00942C19" w:rsidRDefault="00332712" w:rsidP="00AE7F3A">
      <w:pPr>
        <w:pStyle w:val="Heading3"/>
        <w:numPr>
          <w:ilvl w:val="0"/>
          <w:numId w:val="0"/>
        </w:numPr>
        <w:spacing w:before="0"/>
      </w:pPr>
    </w:p>
    <w:p w:rsidR="00AE7F3A" w:rsidRPr="00942C19" w:rsidRDefault="00AE7F3A" w:rsidP="00AE7F3A">
      <w:pPr>
        <w:pStyle w:val="Heading3"/>
        <w:numPr>
          <w:ilvl w:val="0"/>
          <w:numId w:val="0"/>
        </w:numPr>
        <w:spacing w:before="0"/>
      </w:pPr>
    </w:p>
    <w:p w:rsidR="00332712" w:rsidRPr="00942C19" w:rsidRDefault="00332712" w:rsidP="00A818DC">
      <w:pPr>
        <w:pStyle w:val="Heading2"/>
        <w:numPr>
          <w:ilvl w:val="1"/>
          <w:numId w:val="21"/>
        </w:numPr>
      </w:pPr>
      <w:bookmarkStart w:id="326" w:name="_Toc337201339"/>
      <w:bookmarkStart w:id="327" w:name="_Toc337459180"/>
      <w:bookmarkStart w:id="328" w:name="_Toc338354653"/>
      <w:bookmarkStart w:id="329" w:name="_Toc357356070"/>
      <w:bookmarkStart w:id="330" w:name="_Toc357714360"/>
      <w:r w:rsidRPr="00942C19">
        <w:t>TRANSMISSION &amp; DISTRIBUTION LOSSES</w:t>
      </w:r>
      <w:bookmarkEnd w:id="326"/>
      <w:bookmarkEnd w:id="327"/>
      <w:bookmarkEnd w:id="328"/>
      <w:bookmarkEnd w:id="329"/>
      <w:bookmarkEnd w:id="330"/>
      <w:r w:rsidRPr="00942C19">
        <w:t xml:space="preserve"> </w:t>
      </w:r>
    </w:p>
    <w:p w:rsidR="00332712" w:rsidRPr="00942C19" w:rsidRDefault="00332712" w:rsidP="00332712">
      <w:pPr>
        <w:pStyle w:val="Heading2"/>
        <w:numPr>
          <w:ilvl w:val="0"/>
          <w:numId w:val="0"/>
        </w:numPr>
        <w:ind w:left="90"/>
      </w:pPr>
    </w:p>
    <w:p w:rsidR="00332712" w:rsidRPr="00942C19" w:rsidRDefault="00332712" w:rsidP="00A818DC">
      <w:pPr>
        <w:pStyle w:val="ListParagraph"/>
        <w:numPr>
          <w:ilvl w:val="0"/>
          <w:numId w:val="13"/>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332712" w:rsidRPr="00942C19" w:rsidRDefault="00332712" w:rsidP="00C874D8">
      <w:pPr>
        <w:pStyle w:val="Heading3"/>
        <w:tabs>
          <w:tab w:val="clear" w:pos="720"/>
          <w:tab w:val="clear" w:pos="936"/>
          <w:tab w:val="num" w:pos="993"/>
        </w:tabs>
        <w:spacing w:before="240" w:after="240"/>
        <w:ind w:left="993"/>
      </w:pPr>
      <w:r w:rsidRPr="00942C19">
        <w:t>The comments / suggestions submitted by Mr. R. K. Jain, Secretary, Western UP Chamber of Commerce &amp; Industry, Mr. Rakesh Goyal, Secretary, State Committee, Akhil Bhartiya Matadhikari Sangh, Mr. Umang Agarwal, Facilitation of Industries and Traders Association, Kanpur, Mr. Chotebhai Naronha, Convenor, Kanpur Nagrik Manch, Mr. Kanhaiyalal Gupta ‘Salil’, Secretary, Kanpur Nagrik Manch, Mr. D.S Verma. Executive Director, Indian Industries Association, Mr. Vishnu Bhagwan Agarwal, Chairman, National Chamber of Industries and Commerce, U.P., Mr. N.P. Singh, Federation of Noida Residents Welfare Associations, Mr. Rama Shanker Awasthi, Lucknow, Mr. S.B. Agarwal, Secy. General, Associated Chambers of Commerce &amp; Industry, Lucknow and Mr. Shashi Bhushan Mishra, Sachiv, Upbhokta Sanrakshan Evam Kalyan Samiti, Mathura are as under:</w:t>
      </w:r>
    </w:p>
    <w:p w:rsidR="00332712" w:rsidRPr="00942C19" w:rsidRDefault="00332712" w:rsidP="00C874D8">
      <w:pPr>
        <w:pStyle w:val="Heading3"/>
        <w:tabs>
          <w:tab w:val="clear" w:pos="720"/>
          <w:tab w:val="clear" w:pos="936"/>
          <w:tab w:val="num" w:pos="993"/>
        </w:tabs>
        <w:spacing w:before="240" w:after="240"/>
        <w:ind w:left="993"/>
      </w:pPr>
      <w:r w:rsidRPr="00942C19">
        <w:t xml:space="preserve">The stakeholders have stated </w:t>
      </w:r>
      <w:r w:rsidR="00C874D8" w:rsidRPr="00942C19">
        <w:t xml:space="preserve">that </w:t>
      </w:r>
      <w:r w:rsidRPr="00942C19">
        <w:t xml:space="preserve">there is no prudent and sound basis </w:t>
      </w:r>
      <w:r w:rsidR="00C874D8" w:rsidRPr="00942C19">
        <w:t xml:space="preserve">of </w:t>
      </w:r>
      <w:r w:rsidRPr="00942C19">
        <w:t>information available in respect of T&amp;D losses and other physical parameters.</w:t>
      </w:r>
    </w:p>
    <w:p w:rsidR="00332712" w:rsidRPr="00942C19" w:rsidRDefault="00332712" w:rsidP="00C874D8">
      <w:pPr>
        <w:pStyle w:val="Heading3"/>
        <w:tabs>
          <w:tab w:val="clear" w:pos="720"/>
          <w:tab w:val="clear" w:pos="936"/>
          <w:tab w:val="num" w:pos="993"/>
        </w:tabs>
        <w:spacing w:before="240" w:after="240"/>
        <w:ind w:left="993"/>
      </w:pPr>
      <w:r w:rsidRPr="00942C19">
        <w:t>The stakeholders suggested that the line losses should be reduced to 15%. One of the stakeholder submitted that the actual line losses are to the tune of 40% and this has led to huge revenue gap of the distribution companies. The stakeholders have stated that the burden of inefficiency of distribution companies should not be passed on to the consumers.</w:t>
      </w:r>
    </w:p>
    <w:p w:rsidR="00332712" w:rsidRPr="00942C19" w:rsidRDefault="00332712" w:rsidP="00C874D8">
      <w:pPr>
        <w:pStyle w:val="Heading3"/>
        <w:tabs>
          <w:tab w:val="clear" w:pos="720"/>
          <w:tab w:val="clear" w:pos="936"/>
          <w:tab w:val="num" w:pos="993"/>
        </w:tabs>
        <w:spacing w:before="240" w:after="240"/>
        <w:ind w:left="993"/>
      </w:pPr>
      <w:r w:rsidRPr="00942C19">
        <w:lastRenderedPageBreak/>
        <w:t>One of the stakeholders has stated that the T&amp;D loss reduction projections of the distrib</w:t>
      </w:r>
      <w:r w:rsidR="00C874D8" w:rsidRPr="00942C19">
        <w:t>ution companies lack credibility.</w:t>
      </w:r>
    </w:p>
    <w:p w:rsidR="00332712" w:rsidRPr="00942C19" w:rsidRDefault="00332712" w:rsidP="00C874D8">
      <w:pPr>
        <w:pStyle w:val="Heading3"/>
        <w:tabs>
          <w:tab w:val="clear" w:pos="720"/>
          <w:tab w:val="clear" w:pos="936"/>
          <w:tab w:val="num" w:pos="993"/>
        </w:tabs>
        <w:spacing w:before="240" w:after="240"/>
        <w:ind w:left="993"/>
      </w:pPr>
      <w:r w:rsidRPr="00942C19">
        <w:t>The stakeholders raised the issue that UPPCL is not reducing the losses to the desired level as per the directions of UPERC. Some serious efforts are required to reduce the huge T&amp;D losses.</w:t>
      </w:r>
    </w:p>
    <w:p w:rsidR="00332712" w:rsidRPr="00942C19" w:rsidRDefault="00332712" w:rsidP="00C874D8">
      <w:pPr>
        <w:pStyle w:val="Heading3"/>
        <w:tabs>
          <w:tab w:val="clear" w:pos="720"/>
          <w:tab w:val="clear" w:pos="936"/>
          <w:tab w:val="num" w:pos="993"/>
        </w:tabs>
        <w:spacing w:before="240" w:after="240"/>
        <w:ind w:left="993"/>
      </w:pPr>
      <w:r w:rsidRPr="00942C19">
        <w:t>One of the stakeholders has stated that the distribution companies are not depicting segregated technical and commercial losses.</w:t>
      </w:r>
    </w:p>
    <w:p w:rsidR="00332712" w:rsidRPr="00942C19" w:rsidRDefault="00332712" w:rsidP="00C874D8">
      <w:pPr>
        <w:pStyle w:val="Heading3"/>
        <w:tabs>
          <w:tab w:val="clear" w:pos="720"/>
          <w:tab w:val="clear" w:pos="936"/>
          <w:tab w:val="num" w:pos="993"/>
        </w:tabs>
        <w:spacing w:before="240" w:after="240"/>
        <w:ind w:left="993"/>
      </w:pPr>
      <w:r w:rsidRPr="00942C19">
        <w:t xml:space="preserve">The stakeholders have stated that as per Clause 3.2.2 and 3.2.3 of the Distribution Tariff Regulations, the Commission with a view to set the base line of distribution loss estimate, may either require the </w:t>
      </w:r>
      <w:r w:rsidR="009A3804" w:rsidRPr="00942C19">
        <w:t>Licensee</w:t>
      </w:r>
      <w:r w:rsidRPr="00942C19">
        <w:t xml:space="preserve"> to carry out proper loss estimation studies for assessment of technical and commercial losses under its supervision, or initiate a study itself. The study shall segregate voltage-wise distribution losses into technical loss (i.e. Ohmic</w:t>
      </w:r>
      <w:r w:rsidR="00640F28" w:rsidRPr="00942C19">
        <w:t xml:space="preserve"> </w:t>
      </w:r>
      <w:r w:rsidRPr="00942C19">
        <w:t>/</w:t>
      </w:r>
      <w:r w:rsidR="00640F28" w:rsidRPr="00942C19">
        <w:t xml:space="preserve"> </w:t>
      </w:r>
      <w:r w:rsidRPr="00942C19">
        <w:t>Core loss in the lines, substations and equipment) and commercial loss (i.e. unaccounted energy due to metering inaccuracies</w:t>
      </w:r>
      <w:r w:rsidR="00640F28" w:rsidRPr="00942C19">
        <w:t xml:space="preserve"> </w:t>
      </w:r>
      <w:r w:rsidRPr="00942C19">
        <w:t>/</w:t>
      </w:r>
      <w:r w:rsidR="00640F28" w:rsidRPr="00942C19">
        <w:t xml:space="preserve"> </w:t>
      </w:r>
      <w:r w:rsidRPr="00942C19">
        <w:t xml:space="preserve">inadequacies, pilferage of energy, improper billing, no billing, unrealized revenues etc). The stakeholder has stated that the Commission has failed to initiate technical and commercial loss assessment studies as mandated by its own </w:t>
      </w:r>
      <w:r w:rsidR="00382B78" w:rsidRPr="00942C19">
        <w:t>R</w:t>
      </w:r>
      <w:r w:rsidRPr="00942C19">
        <w:t xml:space="preserve">egulations. In this background, the verification of actual technical and commercial losses is not possible. </w:t>
      </w:r>
    </w:p>
    <w:p w:rsidR="00332712" w:rsidRPr="00942C19" w:rsidRDefault="00332712" w:rsidP="00332712">
      <w:pPr>
        <w:pStyle w:val="Heading3"/>
        <w:numPr>
          <w:ilvl w:val="0"/>
          <w:numId w:val="0"/>
        </w:numPr>
        <w:ind w:left="720"/>
        <w:rPr>
          <w:rFonts w:asciiTheme="minorHAnsi" w:hAnsiTheme="minorHAnsi" w:cstheme="minorHAnsi"/>
        </w:rPr>
      </w:pPr>
    </w:p>
    <w:p w:rsidR="00332712" w:rsidRPr="00942C19" w:rsidRDefault="002023A1" w:rsidP="00A818DC">
      <w:pPr>
        <w:pStyle w:val="Heading3"/>
        <w:numPr>
          <w:ilvl w:val="0"/>
          <w:numId w:val="13"/>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332712" w:rsidRPr="00942C19">
        <w:rPr>
          <w:rFonts w:asciiTheme="minorHAnsi" w:hAnsiTheme="minorHAnsi" w:cstheme="minorHAnsi"/>
          <w:b/>
          <w:i/>
        </w:rPr>
        <w:t>:</w:t>
      </w:r>
    </w:p>
    <w:p w:rsidR="00332712" w:rsidRPr="00942C19" w:rsidRDefault="00332712" w:rsidP="00C874D8">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submitted that they have planned and proposed a gradual reduction in distribution losses up</w:t>
      </w:r>
      <w:r w:rsidR="00C874D8" w:rsidRPr="00942C19">
        <w:t xml:space="preserve"> </w:t>
      </w:r>
      <w:r w:rsidRPr="00942C19">
        <w:t>to FY 20</w:t>
      </w:r>
      <w:r w:rsidR="00640F28" w:rsidRPr="00942C19">
        <w:t>2</w:t>
      </w:r>
      <w:r w:rsidRPr="00942C19">
        <w:t>2-23 under the Financial Restructuring Plan.</w:t>
      </w:r>
    </w:p>
    <w:p w:rsidR="00332712" w:rsidRPr="00942C19" w:rsidRDefault="00332712" w:rsidP="00C874D8">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submitted that all efforts are being made to reduce the losses as the same is beneficial to the utility as well. Tariff revision exercise is done on the basis of assumption of loss level. It may be noted that when losses are assumed on lower side then tariff will automatically be lesser. Hence loss level projection is not against the interest of the consumer</w:t>
      </w:r>
      <w:r w:rsidR="00C874D8" w:rsidRPr="00942C19">
        <w:t>s</w:t>
      </w:r>
      <w:r w:rsidRPr="00942C19">
        <w:t>.</w:t>
      </w:r>
    </w:p>
    <w:p w:rsidR="00332712" w:rsidRPr="00942C19" w:rsidRDefault="00332712" w:rsidP="00C874D8">
      <w:pPr>
        <w:pStyle w:val="Heading3"/>
        <w:tabs>
          <w:tab w:val="clear" w:pos="720"/>
          <w:tab w:val="clear" w:pos="936"/>
          <w:tab w:val="num" w:pos="993"/>
        </w:tabs>
        <w:spacing w:before="240" w:after="240"/>
        <w:ind w:left="993"/>
      </w:pPr>
      <w:r w:rsidRPr="00942C19">
        <w:lastRenderedPageBreak/>
        <w:t xml:space="preserve">The </w:t>
      </w:r>
      <w:r w:rsidR="009A3804" w:rsidRPr="00942C19">
        <w:t>Licensee</w:t>
      </w:r>
      <w:r w:rsidRPr="00942C19">
        <w:t xml:space="preserve"> informed that the infrastructure is sufficient to cater for supply to all consumers. However to cater for future growth</w:t>
      </w:r>
      <w:r w:rsidR="00640F28" w:rsidRPr="00942C19">
        <w:t>,</w:t>
      </w:r>
      <w:r w:rsidRPr="00942C19">
        <w:t xml:space="preserve"> action is being taken for addition of matching infrastructure.</w:t>
      </w:r>
    </w:p>
    <w:p w:rsidR="00332712" w:rsidRPr="00942C19" w:rsidRDefault="00332712" w:rsidP="00C874D8">
      <w:pPr>
        <w:pStyle w:val="Heading3"/>
        <w:tabs>
          <w:tab w:val="clear" w:pos="720"/>
          <w:tab w:val="clear" w:pos="936"/>
          <w:tab w:val="num" w:pos="993"/>
        </w:tabs>
        <w:spacing w:before="240" w:after="240"/>
        <w:ind w:left="993"/>
      </w:pPr>
      <w:r w:rsidRPr="00942C19">
        <w:t xml:space="preserve">The Commission has already issued directions to the </w:t>
      </w:r>
      <w:r w:rsidR="009A3804" w:rsidRPr="00942C19">
        <w:t>Licensee</w:t>
      </w:r>
      <w:r w:rsidR="0075482C" w:rsidRPr="00942C19">
        <w:t>s</w:t>
      </w:r>
      <w:r w:rsidRPr="00942C19">
        <w:t xml:space="preserve"> to </w:t>
      </w:r>
      <w:r w:rsidR="002E4A88" w:rsidRPr="00942C19">
        <w:t>initiate base line loss estimation studies for assessment of technical and commercial losses. The distribution companies would be appointing consulting firms for undertaking the said studies.</w:t>
      </w:r>
    </w:p>
    <w:p w:rsidR="00332712" w:rsidRPr="00942C19" w:rsidRDefault="00332712" w:rsidP="00332712">
      <w:pPr>
        <w:pStyle w:val="Heading3"/>
        <w:numPr>
          <w:ilvl w:val="0"/>
          <w:numId w:val="0"/>
        </w:numPr>
        <w:ind w:left="720"/>
        <w:rPr>
          <w:rFonts w:asciiTheme="minorHAnsi" w:hAnsiTheme="minorHAnsi" w:cstheme="minorHAnsi"/>
        </w:rPr>
      </w:pPr>
    </w:p>
    <w:p w:rsidR="00332712" w:rsidRPr="00942C19" w:rsidRDefault="00332712" w:rsidP="00A818DC">
      <w:pPr>
        <w:pStyle w:val="Heading3"/>
        <w:numPr>
          <w:ilvl w:val="0"/>
          <w:numId w:val="13"/>
        </w:numPr>
        <w:spacing w:before="0"/>
        <w:rPr>
          <w:rFonts w:asciiTheme="minorHAnsi" w:hAnsiTheme="minorHAnsi" w:cstheme="minorHAnsi"/>
          <w:b/>
          <w:i/>
        </w:rPr>
      </w:pPr>
      <w:r w:rsidRPr="00942C19">
        <w:rPr>
          <w:rFonts w:asciiTheme="minorHAnsi" w:hAnsiTheme="minorHAnsi" w:cstheme="minorHAnsi"/>
          <w:b/>
          <w:i/>
        </w:rPr>
        <w:t>The Commission’s views:</w:t>
      </w:r>
    </w:p>
    <w:p w:rsidR="00332712" w:rsidRPr="00942C19" w:rsidRDefault="00332712" w:rsidP="00C874D8">
      <w:pPr>
        <w:pStyle w:val="Heading3"/>
        <w:tabs>
          <w:tab w:val="clear" w:pos="720"/>
          <w:tab w:val="clear" w:pos="936"/>
          <w:tab w:val="num" w:pos="993"/>
        </w:tabs>
        <w:spacing w:before="240" w:after="240"/>
        <w:ind w:left="993"/>
      </w:pPr>
      <w:r w:rsidRPr="00942C19">
        <w:t xml:space="preserve">The Commission recognises the fact that the </w:t>
      </w:r>
      <w:r w:rsidR="00640F28" w:rsidRPr="00942C19">
        <w:t xml:space="preserve">Licensee </w:t>
      </w:r>
      <w:r w:rsidRPr="00942C19">
        <w:t>has been taking measures to reduce T&amp;D losses by implementing schemes such as laying Aerial Bunch Conductors (ABC)</w:t>
      </w:r>
      <w:r w:rsidR="002E4A88" w:rsidRPr="00942C19">
        <w:t>, APDRP, R-APDRP,</w:t>
      </w:r>
      <w:r w:rsidRPr="00942C19">
        <w:t xml:space="preserve"> etc.</w:t>
      </w:r>
      <w:r w:rsidR="00C874D8" w:rsidRPr="00942C19">
        <w:t>,</w:t>
      </w:r>
      <w:r w:rsidRPr="00942C19">
        <w:t xml:space="preserve"> but these efforts are yet to yield satisfactory results. On the aspect of T&amp;D losses, the </w:t>
      </w:r>
      <w:r w:rsidR="00640F28" w:rsidRPr="00942C19">
        <w:t xml:space="preserve">Licensee </w:t>
      </w:r>
      <w:r w:rsidRPr="00942C19">
        <w:t>should undertake necessary strengthening and R&amp;M of the distribution networks to reduce losses which would result in higher availability of power for sale to consumers.</w:t>
      </w:r>
    </w:p>
    <w:p w:rsidR="002E4A88" w:rsidRPr="00942C19" w:rsidRDefault="002E4A88" w:rsidP="00C874D8">
      <w:pPr>
        <w:pStyle w:val="Heading3"/>
        <w:tabs>
          <w:tab w:val="clear" w:pos="720"/>
          <w:tab w:val="clear" w:pos="936"/>
          <w:tab w:val="num" w:pos="993"/>
        </w:tabs>
        <w:spacing w:before="240" w:after="240"/>
        <w:ind w:left="993"/>
      </w:pPr>
      <w:r w:rsidRPr="00942C19">
        <w:t xml:space="preserve">The Hon’ble APTEL </w:t>
      </w:r>
      <w:proofErr w:type="gramStart"/>
      <w:r w:rsidRPr="00942C19">
        <w:t>vide</w:t>
      </w:r>
      <w:proofErr w:type="gramEnd"/>
      <w:r w:rsidRPr="00942C19">
        <w:t xml:space="preserve"> its Order dated 15</w:t>
      </w:r>
      <w:r w:rsidR="00785E17" w:rsidRPr="00942C19">
        <w:rPr>
          <w:vertAlign w:val="superscript"/>
        </w:rPr>
        <w:t>th</w:t>
      </w:r>
      <w:r w:rsidR="00640F28" w:rsidRPr="00942C19">
        <w:t xml:space="preserve"> </w:t>
      </w:r>
      <w:r w:rsidRPr="00942C19">
        <w:t xml:space="preserve">February, 2013 have given directions to </w:t>
      </w:r>
      <w:r w:rsidR="00C874D8" w:rsidRPr="00942C19">
        <w:t xml:space="preserve">the </w:t>
      </w:r>
      <w:r w:rsidRPr="00942C19">
        <w:t>State Commission</w:t>
      </w:r>
      <w:r w:rsidR="00640F28" w:rsidRPr="00942C19">
        <w:t>s</w:t>
      </w:r>
      <w:r w:rsidRPr="00942C19">
        <w:t xml:space="preserve"> to frame the Multi Year Tariff (MYT) Regulations in accordance with Section 61 of the Act. The Hon’ble APTEL has directed the State Commission</w:t>
      </w:r>
      <w:r w:rsidR="00640F28" w:rsidRPr="00942C19">
        <w:t>s</w:t>
      </w:r>
      <w:r w:rsidRPr="00942C19">
        <w:t xml:space="preserve"> to frame the MYT Regulations immediately so that the MYT framework be implemented at least w.e.f 1</w:t>
      </w:r>
      <w:r w:rsidR="00785E17" w:rsidRPr="00942C19">
        <w:rPr>
          <w:vertAlign w:val="superscript"/>
        </w:rPr>
        <w:t>st</w:t>
      </w:r>
      <w:r w:rsidR="00640F28" w:rsidRPr="00942C19">
        <w:t xml:space="preserve"> </w:t>
      </w:r>
      <w:r w:rsidRPr="00942C19">
        <w:t>April, 2014.</w:t>
      </w:r>
    </w:p>
    <w:p w:rsidR="00332712" w:rsidRPr="00942C19" w:rsidRDefault="002E4A88" w:rsidP="00C874D8">
      <w:pPr>
        <w:pStyle w:val="Heading3"/>
        <w:tabs>
          <w:tab w:val="clear" w:pos="720"/>
          <w:tab w:val="clear" w:pos="936"/>
          <w:tab w:val="num" w:pos="993"/>
        </w:tabs>
        <w:spacing w:before="240" w:after="240"/>
        <w:ind w:left="993"/>
      </w:pPr>
      <w:r w:rsidRPr="00942C19">
        <w:t>In this regard, the Commission has issued fresh directives vide Letter No. UPERC/Secy./</w:t>
      </w:r>
      <w:proofErr w:type="gramStart"/>
      <w:r w:rsidRPr="00942C19">
        <w:t>D(</w:t>
      </w:r>
      <w:proofErr w:type="gramEnd"/>
      <w:r w:rsidRPr="00942C19">
        <w:t>Tariff)/13-074 dated 11</w:t>
      </w:r>
      <w:r w:rsidR="00067C3E" w:rsidRPr="00942C19">
        <w:rPr>
          <w:vertAlign w:val="superscript"/>
        </w:rPr>
        <w:t>th</w:t>
      </w:r>
      <w:r w:rsidR="00067C3E" w:rsidRPr="00942C19">
        <w:t xml:space="preserve"> </w:t>
      </w:r>
      <w:r w:rsidRPr="00942C19">
        <w:t xml:space="preserve">April, 2013 to the </w:t>
      </w:r>
      <w:r w:rsidR="009A3804" w:rsidRPr="00942C19">
        <w:t>Licensee</w:t>
      </w:r>
      <w:r w:rsidRPr="00942C19">
        <w:t xml:space="preserve"> for conducting the </w:t>
      </w:r>
      <w:r w:rsidR="00F423E2" w:rsidRPr="00942C19">
        <w:t>base line loss estimation studies for assessment of technical and commercial losses</w:t>
      </w:r>
      <w:r w:rsidRPr="00942C19">
        <w:t xml:space="preserve">. The </w:t>
      </w:r>
      <w:r w:rsidR="00332712" w:rsidRPr="00942C19">
        <w:t>Commission stresses that the D</w:t>
      </w:r>
      <w:r w:rsidRPr="00942C19">
        <w:t xml:space="preserve">iscoms may </w:t>
      </w:r>
      <w:r w:rsidR="00332712" w:rsidRPr="00942C19">
        <w:t>act speedily upon the</w:t>
      </w:r>
      <w:r w:rsidRPr="00942C19">
        <w:t>se directives</w:t>
      </w:r>
      <w:r w:rsidR="00F423E2" w:rsidRPr="00942C19">
        <w:t xml:space="preserve"> and report the status on a regular fortnightly basis to the Commission. </w:t>
      </w:r>
    </w:p>
    <w:p w:rsidR="00A93C74" w:rsidRPr="00942C19" w:rsidRDefault="00A93C74" w:rsidP="00590F67">
      <w:pPr>
        <w:pStyle w:val="Heading4"/>
        <w:numPr>
          <w:ilvl w:val="0"/>
          <w:numId w:val="0"/>
        </w:numPr>
        <w:spacing w:before="0"/>
        <w:ind w:left="864"/>
        <w:rPr>
          <w:rFonts w:asciiTheme="minorHAnsi" w:hAnsiTheme="minorHAnsi" w:cstheme="minorHAnsi"/>
          <w:bCs w:val="0"/>
        </w:rPr>
      </w:pPr>
    </w:p>
    <w:p w:rsidR="00DD1CA2" w:rsidRPr="00942C19" w:rsidRDefault="00DD1CA2" w:rsidP="00590F67">
      <w:pPr>
        <w:tabs>
          <w:tab w:val="left" w:pos="1260"/>
        </w:tabs>
        <w:spacing w:before="0"/>
        <w:ind w:left="450"/>
        <w:rPr>
          <w:rFonts w:asciiTheme="minorHAnsi" w:hAnsiTheme="minorHAnsi" w:cstheme="minorHAnsi"/>
          <w:bCs/>
        </w:rPr>
      </w:pPr>
    </w:p>
    <w:p w:rsidR="00DD1CA2" w:rsidRPr="00942C19" w:rsidRDefault="00DD1CA2" w:rsidP="00A818DC">
      <w:pPr>
        <w:pStyle w:val="Heading2"/>
        <w:numPr>
          <w:ilvl w:val="1"/>
          <w:numId w:val="21"/>
        </w:numPr>
      </w:pPr>
      <w:bookmarkStart w:id="331" w:name="_Toc337201344"/>
      <w:bookmarkStart w:id="332" w:name="_Toc337459185"/>
      <w:bookmarkStart w:id="333" w:name="_Toc338354658"/>
      <w:bookmarkStart w:id="334" w:name="_Toc357356071"/>
      <w:bookmarkStart w:id="335" w:name="_Toc357714361"/>
      <w:r w:rsidRPr="00942C19">
        <w:t>NON-AVAILABILITY OF AUDITED FIGURES AND ORDER ON TRUE-UP PETITIONS</w:t>
      </w:r>
      <w:bookmarkEnd w:id="331"/>
      <w:bookmarkEnd w:id="332"/>
      <w:bookmarkEnd w:id="333"/>
      <w:bookmarkEnd w:id="334"/>
      <w:bookmarkEnd w:id="335"/>
    </w:p>
    <w:p w:rsidR="007C67B6" w:rsidRPr="00942C19" w:rsidRDefault="007C67B6" w:rsidP="007C67B6">
      <w:pPr>
        <w:pStyle w:val="ListParagraph"/>
        <w:tabs>
          <w:tab w:val="left" w:pos="1260"/>
        </w:tabs>
        <w:spacing w:before="0"/>
        <w:ind w:left="357"/>
        <w:rPr>
          <w:rFonts w:asciiTheme="minorHAnsi" w:hAnsiTheme="minorHAnsi" w:cstheme="minorHAnsi"/>
          <w:b/>
          <w:i/>
        </w:rPr>
      </w:pPr>
    </w:p>
    <w:p w:rsidR="00DD1CA2" w:rsidRPr="00942C19" w:rsidRDefault="00DD1CA2" w:rsidP="00A818DC">
      <w:pPr>
        <w:pStyle w:val="ListParagraph"/>
        <w:numPr>
          <w:ilvl w:val="0"/>
          <w:numId w:val="17"/>
        </w:numPr>
        <w:tabs>
          <w:tab w:val="left" w:pos="1260"/>
        </w:tabs>
        <w:spacing w:before="100" w:beforeAutospacing="1"/>
        <w:ind w:left="357" w:hanging="357"/>
        <w:rPr>
          <w:rFonts w:asciiTheme="minorHAnsi" w:hAnsiTheme="minorHAnsi" w:cstheme="minorHAnsi"/>
          <w:b/>
          <w:i/>
        </w:rPr>
      </w:pPr>
      <w:r w:rsidRPr="00942C19">
        <w:rPr>
          <w:rFonts w:asciiTheme="minorHAnsi" w:hAnsiTheme="minorHAnsi" w:cstheme="minorHAnsi"/>
          <w:b/>
          <w:i/>
        </w:rPr>
        <w:lastRenderedPageBreak/>
        <w:t>Comments / Suggestions of the Public:</w:t>
      </w:r>
    </w:p>
    <w:p w:rsidR="00DD1CA2" w:rsidRPr="00942C19" w:rsidRDefault="00DD1CA2" w:rsidP="00302C12">
      <w:pPr>
        <w:pStyle w:val="Heading3"/>
        <w:tabs>
          <w:tab w:val="clear" w:pos="720"/>
          <w:tab w:val="clear" w:pos="936"/>
          <w:tab w:val="num" w:pos="993"/>
        </w:tabs>
        <w:spacing w:before="240" w:after="240"/>
        <w:ind w:left="993"/>
      </w:pPr>
      <w:r w:rsidRPr="00942C19">
        <w:t xml:space="preserve">The comments / suggestions submitted by Mr. R.K.Jain, Secretary, Western UP Chamber Of Commerce &amp; Industry, Mr. </w:t>
      </w:r>
      <w:r w:rsidRPr="00942C19">
        <w:rPr>
          <w:rFonts w:asciiTheme="minorHAnsi" w:hAnsiTheme="minorHAnsi" w:cstheme="minorHAnsi"/>
        </w:rPr>
        <w:t xml:space="preserve">Rakesh Goyal, Secretary, State Committee, Akhil </w:t>
      </w:r>
      <w:r w:rsidRPr="00942C19">
        <w:t>Bhartiya Matadhikari Sangh,</w:t>
      </w:r>
      <w:r w:rsidRPr="00942C19" w:rsidDel="00B665D5">
        <w:t xml:space="preserve"> </w:t>
      </w:r>
      <w:r w:rsidRPr="00942C19">
        <w:t xml:space="preserve">Mr. Shashi Bhushan Mishra, Sachiv, Upbhokta Sanrakshan Evam Kalyan Samiti, Mathura, Mr. D.S Verma. </w:t>
      </w:r>
      <w:r w:rsidR="00D31494" w:rsidRPr="00942C19">
        <w:t xml:space="preserve">Executive Director, Indian Industries Association, Mr. Vishnu Bhagwan Agarwal, Chairman, National Chamber of Industries and Commerce, U.P., Mr. Awadhesh Kumar Verma, Chairman, U.P. Rajya Vidyut Upbhokta Parishad, Mr. S.B. Agarwal, Secy. Gen., Associated Chambers Of Commerce and Industry of UP and Mr. Rama Shanker Awasthi, Lucknow </w:t>
      </w:r>
      <w:proofErr w:type="gramStart"/>
      <w:r w:rsidR="00D31494" w:rsidRPr="00942C19">
        <w:t>are</w:t>
      </w:r>
      <w:proofErr w:type="gramEnd"/>
      <w:r w:rsidR="00D31494" w:rsidRPr="00942C19">
        <w:t xml:space="preserve"> as under: </w:t>
      </w:r>
    </w:p>
    <w:p w:rsidR="00DD1CA2" w:rsidRPr="00942C19" w:rsidRDefault="00DD1CA2" w:rsidP="00302C12">
      <w:pPr>
        <w:pStyle w:val="Heading3"/>
        <w:tabs>
          <w:tab w:val="clear" w:pos="720"/>
          <w:tab w:val="clear" w:pos="936"/>
          <w:tab w:val="num" w:pos="993"/>
        </w:tabs>
        <w:spacing w:before="240" w:after="240"/>
        <w:ind w:left="993"/>
      </w:pPr>
      <w:r w:rsidRPr="00942C19">
        <w:t xml:space="preserve">The stakeholders have stated that the prudent and sound information relating to finance / books of accounts are not available. Another stakeholder suggested that the Commission should reject the proposal for tariff revision till the satisfactory audited accounts are submitted by the </w:t>
      </w:r>
      <w:r w:rsidR="009A3804" w:rsidRPr="00942C19">
        <w:t>Licensee</w:t>
      </w:r>
      <w:r w:rsidRPr="00942C19">
        <w:t>.</w:t>
      </w:r>
    </w:p>
    <w:p w:rsidR="00DD1CA2" w:rsidRPr="00942C19" w:rsidRDefault="00DD1CA2" w:rsidP="00302C12">
      <w:pPr>
        <w:pStyle w:val="Heading3"/>
        <w:tabs>
          <w:tab w:val="clear" w:pos="720"/>
          <w:tab w:val="clear" w:pos="936"/>
          <w:tab w:val="num" w:pos="993"/>
        </w:tabs>
        <w:spacing w:before="240" w:after="240"/>
        <w:ind w:left="993"/>
      </w:pPr>
      <w:r w:rsidRPr="00942C19">
        <w:t xml:space="preserve">The stakeholders have submitted that ARR proposal for FY 2013-14 should be rejected by the Commission as the audited accounts and CAG report has not been submitted by the </w:t>
      </w:r>
      <w:r w:rsidR="009A3804" w:rsidRPr="00942C19">
        <w:t>Licensee</w:t>
      </w:r>
      <w:r w:rsidRPr="00942C19">
        <w:t>.</w:t>
      </w:r>
    </w:p>
    <w:p w:rsidR="00A04B1D" w:rsidRPr="00942C19" w:rsidRDefault="00DD1CA2" w:rsidP="00302C12">
      <w:pPr>
        <w:pStyle w:val="Heading3"/>
        <w:tabs>
          <w:tab w:val="clear" w:pos="720"/>
          <w:tab w:val="clear" w:pos="936"/>
          <w:tab w:val="num" w:pos="993"/>
        </w:tabs>
        <w:spacing w:before="240" w:after="240"/>
        <w:ind w:left="993"/>
      </w:pPr>
      <w:r w:rsidRPr="00942C19">
        <w:t>One of the stakeholders has purported that the accounts of the distribution companies have not been audited since 2008.</w:t>
      </w:r>
    </w:p>
    <w:p w:rsidR="00DD1CA2" w:rsidRPr="00942C19" w:rsidRDefault="00DD1CA2" w:rsidP="00302C12">
      <w:pPr>
        <w:pStyle w:val="Heading3"/>
        <w:tabs>
          <w:tab w:val="clear" w:pos="720"/>
          <w:tab w:val="clear" w:pos="936"/>
          <w:tab w:val="num" w:pos="993"/>
        </w:tabs>
        <w:spacing w:before="240" w:after="240"/>
        <w:ind w:left="993"/>
      </w:pPr>
      <w:r w:rsidRPr="00942C19">
        <w:t>One consumer representative organisation stated that since the Commission is suo-mot</w:t>
      </w:r>
      <w:r w:rsidR="00285787" w:rsidRPr="00942C19">
        <w:t>u</w:t>
      </w:r>
      <w:r w:rsidRPr="00942C19">
        <w:t xml:space="preserve"> determining the ARR / Tariff for FY 2013-14, it should approve the ARR / Tariff based on the audited accounts up to FY 2007-08 after issuing the order on the true up petitions filed by the distribution companies.</w:t>
      </w:r>
    </w:p>
    <w:p w:rsidR="00DD1CA2" w:rsidRPr="00942C19" w:rsidRDefault="00DD1CA2" w:rsidP="00DD1CA2">
      <w:pPr>
        <w:pStyle w:val="Heading3"/>
        <w:numPr>
          <w:ilvl w:val="0"/>
          <w:numId w:val="0"/>
        </w:numPr>
        <w:ind w:left="720"/>
        <w:rPr>
          <w:rFonts w:asciiTheme="minorHAnsi" w:hAnsiTheme="minorHAnsi" w:cstheme="minorHAnsi"/>
        </w:rPr>
      </w:pPr>
    </w:p>
    <w:p w:rsidR="00DD1CA2" w:rsidRPr="00942C19" w:rsidRDefault="002023A1" w:rsidP="00A818DC">
      <w:pPr>
        <w:pStyle w:val="Heading3"/>
        <w:numPr>
          <w:ilvl w:val="0"/>
          <w:numId w:val="17"/>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DD1CA2" w:rsidRPr="00942C19">
        <w:rPr>
          <w:rFonts w:asciiTheme="minorHAnsi" w:hAnsiTheme="minorHAnsi" w:cstheme="minorHAnsi"/>
          <w:b/>
          <w:i/>
        </w:rPr>
        <w:t>:</w:t>
      </w:r>
    </w:p>
    <w:p w:rsidR="002D30CF" w:rsidRPr="00942C19" w:rsidRDefault="002D30CF" w:rsidP="00302C12">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has submitted that it has already submitted the accounts duly audited by the statutory auditors up to FY 2010-11 to the Hon’ble Commission. </w:t>
      </w:r>
      <w:r w:rsidR="004F35CC" w:rsidRPr="00942C19">
        <w:t xml:space="preserve">Further, the provisional balance sheet for FY 2011-12 duly verified by an independent chartered accountant firm has also been submitted along with the ARR Petition for FY 2013-14. The audited balance </w:t>
      </w:r>
      <w:r w:rsidR="004F35CC" w:rsidRPr="00942C19">
        <w:lastRenderedPageBreak/>
        <w:t xml:space="preserve">sheets and provisional balance sheets have been published on the websites of all the </w:t>
      </w:r>
      <w:r w:rsidR="009A3804" w:rsidRPr="00942C19">
        <w:t>Licensee</w:t>
      </w:r>
      <w:r w:rsidR="0075482C" w:rsidRPr="00942C19">
        <w:t>s</w:t>
      </w:r>
      <w:r w:rsidR="004F35CC" w:rsidRPr="00942C19">
        <w:t xml:space="preserve"> and that of the UPPCL.</w:t>
      </w:r>
    </w:p>
    <w:p w:rsidR="004F35CC" w:rsidRPr="00942C19" w:rsidRDefault="004F35CC" w:rsidP="00302C12">
      <w:pPr>
        <w:pStyle w:val="Heading3"/>
        <w:tabs>
          <w:tab w:val="clear" w:pos="720"/>
          <w:tab w:val="clear" w:pos="936"/>
          <w:tab w:val="num" w:pos="993"/>
        </w:tabs>
        <w:spacing w:before="240" w:after="240"/>
        <w:ind w:left="993"/>
      </w:pPr>
      <w:r w:rsidRPr="00942C19">
        <w:t xml:space="preserve">All clarification sought / deficiency notes issued by the Commission have been duly replied by the </w:t>
      </w:r>
      <w:r w:rsidR="009A3804" w:rsidRPr="00942C19">
        <w:t>Licensee</w:t>
      </w:r>
      <w:r w:rsidR="0075482C" w:rsidRPr="00942C19">
        <w:t>s</w:t>
      </w:r>
      <w:r w:rsidRPr="00942C19">
        <w:t xml:space="preserve"> and the same have also been published by the </w:t>
      </w:r>
      <w:r w:rsidR="009A3804" w:rsidRPr="00942C19">
        <w:t>Licensee</w:t>
      </w:r>
      <w:r w:rsidR="0075482C" w:rsidRPr="00942C19">
        <w:t>s</w:t>
      </w:r>
      <w:r w:rsidRPr="00942C19">
        <w:t>.</w:t>
      </w:r>
    </w:p>
    <w:p w:rsidR="004F35CC" w:rsidRPr="00942C19" w:rsidRDefault="004F35CC" w:rsidP="00302C12">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on the issue of supplementary audit </w:t>
      </w:r>
      <w:r w:rsidR="00285787" w:rsidRPr="00942C19">
        <w:t xml:space="preserve">report </w:t>
      </w:r>
      <w:r w:rsidRPr="00942C19">
        <w:t xml:space="preserve">by the AGUP that the process of their audit and the time frame for its completion is not under its control as the office of the AGUP is a constitution body not under the influence and control of the </w:t>
      </w:r>
      <w:r w:rsidR="009A3804" w:rsidRPr="00942C19">
        <w:t>Licensee</w:t>
      </w:r>
      <w:r w:rsidRPr="00942C19">
        <w:t xml:space="preserve">. </w:t>
      </w:r>
    </w:p>
    <w:p w:rsidR="00A04B1D" w:rsidRPr="00942C19" w:rsidRDefault="004F35CC" w:rsidP="00302C12">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submitted that the backlog in respect of audit of accounts was created due to the delay in the notification of the Transmission </w:t>
      </w:r>
      <w:r w:rsidR="00A24A40" w:rsidRPr="00942C19">
        <w:t>Transfer Scheme</w:t>
      </w:r>
      <w:r w:rsidRPr="00942C19">
        <w:t xml:space="preserve">. </w:t>
      </w:r>
      <w:r w:rsidR="00590F67" w:rsidRPr="00942C19">
        <w:t xml:space="preserve">Subsequent to its notification </w:t>
      </w:r>
      <w:r w:rsidR="00640F28" w:rsidRPr="00942C19">
        <w:t>on 23</w:t>
      </w:r>
      <w:r w:rsidR="00785E17" w:rsidRPr="00942C19">
        <w:rPr>
          <w:vertAlign w:val="superscript"/>
        </w:rPr>
        <w:t>rd</w:t>
      </w:r>
      <w:r w:rsidR="00640F28" w:rsidRPr="00942C19">
        <w:t xml:space="preserve"> </w:t>
      </w:r>
      <w:r w:rsidR="00590F67" w:rsidRPr="00942C19">
        <w:t>December</w:t>
      </w:r>
      <w:r w:rsidR="00640F28" w:rsidRPr="00942C19">
        <w:t>,</w:t>
      </w:r>
      <w:r w:rsidR="00590F67" w:rsidRPr="00942C19">
        <w:t xml:space="preserve"> 2010, the process of finalisation of audit was undertaken at a fast pace with the result that as of today, the audit of accounts up to FY 2010-11 has been completed. The audit of accounts for FY 2011-12 is expected to be completed by 30th June, 2013. In fact, in the case of </w:t>
      </w:r>
      <w:r w:rsidR="00D31494" w:rsidRPr="00942C19">
        <w:t>KESCO</w:t>
      </w:r>
      <w:r w:rsidR="00590F67" w:rsidRPr="00942C19">
        <w:t xml:space="preserve">, the audit for FY 2011-12 has been completed and true up petition for the financial years 2008-09 to 2011-12 has been filed before the Hon’ble Commission. In the case of the other state Discoms, the true up petitions for the period FY 2008-09 to 2010-11 have been filed before the Hon’ble Commission. Thus, it has been demonstrated that the issue of timely audit of accounts has been addressed by the </w:t>
      </w:r>
      <w:r w:rsidR="009A3804" w:rsidRPr="00942C19">
        <w:t>Licensee</w:t>
      </w:r>
      <w:r w:rsidR="0075482C" w:rsidRPr="00942C19">
        <w:t>s</w:t>
      </w:r>
      <w:r w:rsidR="00590F67" w:rsidRPr="00942C19">
        <w:t>.</w:t>
      </w:r>
    </w:p>
    <w:p w:rsidR="00DD1CA2" w:rsidRPr="00942C19" w:rsidRDefault="00590F67" w:rsidP="00302C12">
      <w:pPr>
        <w:pStyle w:val="Heading3"/>
        <w:tabs>
          <w:tab w:val="clear" w:pos="720"/>
          <w:tab w:val="clear" w:pos="936"/>
          <w:tab w:val="num" w:pos="993"/>
        </w:tabs>
        <w:spacing w:before="240" w:after="240"/>
        <w:ind w:left="993"/>
      </w:pPr>
      <w:r w:rsidRPr="00942C19">
        <w:t xml:space="preserve">The tariff is determined based on the principles enshrined in the Tariff Regulations. The major elements of the ARR such as power purchase cost, O&amp;M </w:t>
      </w:r>
      <w:r w:rsidR="00640F28" w:rsidRPr="00942C19">
        <w:t>expenses</w:t>
      </w:r>
      <w:r w:rsidRPr="00942C19">
        <w:t>, capital expenditure, interest on loan, depreciation, etc. are based on projections for the ensuing year and only reference to past years results are relevant for estimation point of view. The audited accounts for the years up to FY 2010-11 and provisional accounts for FY 2011-12 would provide the required data for such an estimation analysis.</w:t>
      </w:r>
    </w:p>
    <w:p w:rsidR="00DD1CA2" w:rsidRPr="00942C19" w:rsidRDefault="00DD1CA2" w:rsidP="00DD1CA2">
      <w:pPr>
        <w:pStyle w:val="Heading3"/>
        <w:numPr>
          <w:ilvl w:val="0"/>
          <w:numId w:val="0"/>
        </w:numPr>
        <w:ind w:left="720"/>
        <w:rPr>
          <w:rFonts w:asciiTheme="minorHAnsi" w:hAnsiTheme="minorHAnsi" w:cstheme="minorHAnsi"/>
        </w:rPr>
      </w:pPr>
    </w:p>
    <w:p w:rsidR="00DD1CA2" w:rsidRPr="00942C19" w:rsidRDefault="00DD1CA2" w:rsidP="00A818DC">
      <w:pPr>
        <w:pStyle w:val="Heading3"/>
        <w:numPr>
          <w:ilvl w:val="0"/>
          <w:numId w:val="17"/>
        </w:numPr>
        <w:spacing w:before="0"/>
        <w:rPr>
          <w:rFonts w:asciiTheme="minorHAnsi" w:hAnsiTheme="minorHAnsi" w:cstheme="minorHAnsi"/>
          <w:b/>
          <w:i/>
        </w:rPr>
      </w:pPr>
      <w:r w:rsidRPr="00942C19">
        <w:rPr>
          <w:rFonts w:asciiTheme="minorHAnsi" w:hAnsiTheme="minorHAnsi" w:cstheme="minorHAnsi"/>
          <w:b/>
          <w:i/>
        </w:rPr>
        <w:t>The Commission’s views:</w:t>
      </w:r>
    </w:p>
    <w:p w:rsidR="00363047" w:rsidRPr="00942C19" w:rsidRDefault="00363047" w:rsidP="00302C12">
      <w:pPr>
        <w:pStyle w:val="Heading3"/>
        <w:tabs>
          <w:tab w:val="clear" w:pos="720"/>
          <w:tab w:val="clear" w:pos="936"/>
          <w:tab w:val="num" w:pos="993"/>
        </w:tabs>
        <w:spacing w:before="240" w:after="240"/>
        <w:ind w:left="993"/>
      </w:pPr>
      <w:r w:rsidRPr="00942C19">
        <w:t xml:space="preserve">The Commission has issued orders on </w:t>
      </w:r>
      <w:r w:rsidR="00382B78" w:rsidRPr="00942C19">
        <w:t>21</w:t>
      </w:r>
      <w:r w:rsidR="00785E17" w:rsidRPr="00942C19">
        <w:rPr>
          <w:vertAlign w:val="superscript"/>
        </w:rPr>
        <w:t>st</w:t>
      </w:r>
      <w:r w:rsidR="00382B78" w:rsidRPr="00942C19">
        <w:t xml:space="preserve"> May, 2013 in </w:t>
      </w:r>
      <w:r w:rsidRPr="00942C19">
        <w:t>Petition No. 809</w:t>
      </w:r>
      <w:r w:rsidR="00285787" w:rsidRPr="00942C19">
        <w:t xml:space="preserve"> </w:t>
      </w:r>
      <w:r w:rsidRPr="00942C19">
        <w:t>/</w:t>
      </w:r>
      <w:r w:rsidR="00285787" w:rsidRPr="00942C19">
        <w:t xml:space="preserve"> </w:t>
      </w:r>
      <w:r w:rsidRPr="00942C19">
        <w:t>2012 and Petition No. 813</w:t>
      </w:r>
      <w:r w:rsidR="00285787" w:rsidRPr="00942C19">
        <w:t xml:space="preserve"> </w:t>
      </w:r>
      <w:r w:rsidRPr="00942C19">
        <w:t>/</w:t>
      </w:r>
      <w:r w:rsidR="00285787" w:rsidRPr="00942C19">
        <w:t xml:space="preserve"> </w:t>
      </w:r>
      <w:r w:rsidRPr="00942C19">
        <w:t xml:space="preserve">2012 in respect of final truing up for the financial </w:t>
      </w:r>
      <w:r w:rsidRPr="00942C19">
        <w:lastRenderedPageBreak/>
        <w:t xml:space="preserve">years 2000-01 to 2007-08 in respect of DVVNL, MVVNL, PVVNL, PuVVNL, UPPCL, UPPTCL and </w:t>
      </w:r>
      <w:r w:rsidR="00D31494" w:rsidRPr="00942C19">
        <w:t>KESCO</w:t>
      </w:r>
      <w:r w:rsidRPr="00942C19">
        <w:t xml:space="preserve"> respectively. </w:t>
      </w:r>
    </w:p>
    <w:p w:rsidR="002D6825" w:rsidRPr="00942C19" w:rsidRDefault="00363047" w:rsidP="00302C12">
      <w:pPr>
        <w:pStyle w:val="Heading3"/>
        <w:tabs>
          <w:tab w:val="clear" w:pos="720"/>
          <w:tab w:val="clear" w:pos="936"/>
          <w:tab w:val="num" w:pos="993"/>
        </w:tabs>
        <w:spacing w:before="240" w:after="240"/>
        <w:ind w:left="993"/>
      </w:pPr>
      <w:r w:rsidRPr="00942C19">
        <w:t xml:space="preserve">UPPTCL has filed the true up petition along with </w:t>
      </w:r>
      <w:r w:rsidR="00302C12" w:rsidRPr="00942C19">
        <w:t xml:space="preserve">statutory </w:t>
      </w:r>
      <w:r w:rsidRPr="00942C19">
        <w:t>audited accounts for FY 2008-09 on 19</w:t>
      </w:r>
      <w:r w:rsidR="00785E17" w:rsidRPr="00942C19">
        <w:rPr>
          <w:vertAlign w:val="superscript"/>
        </w:rPr>
        <w:t>th</w:t>
      </w:r>
      <w:r w:rsidR="00640F28" w:rsidRPr="00942C19">
        <w:t xml:space="preserve"> </w:t>
      </w:r>
      <w:r w:rsidRPr="00942C19">
        <w:t>November, 2012 (Petition No. 849</w:t>
      </w:r>
      <w:r w:rsidR="00285787" w:rsidRPr="00942C19">
        <w:t xml:space="preserve"> </w:t>
      </w:r>
      <w:r w:rsidRPr="00942C19">
        <w:t>/</w:t>
      </w:r>
      <w:r w:rsidR="00285787" w:rsidRPr="00942C19">
        <w:t xml:space="preserve"> </w:t>
      </w:r>
      <w:r w:rsidRPr="00942C19">
        <w:t xml:space="preserve">2012). </w:t>
      </w:r>
      <w:r w:rsidR="00382B78" w:rsidRPr="00942C19">
        <w:t xml:space="preserve">The supplementary audit report of the AGUP </w:t>
      </w:r>
      <w:r w:rsidR="00906903" w:rsidRPr="00942C19">
        <w:t xml:space="preserve">for FY 2008-09 </w:t>
      </w:r>
      <w:r w:rsidR="00382B78" w:rsidRPr="00942C19">
        <w:t xml:space="preserve">has also been submitted by the Licensee. </w:t>
      </w:r>
      <w:r w:rsidRPr="00942C19">
        <w:t xml:space="preserve">Further, the true up petition for FY 2009-10 and 2010-11 along with </w:t>
      </w:r>
      <w:r w:rsidR="00302C12" w:rsidRPr="00942C19">
        <w:t xml:space="preserve">statutory </w:t>
      </w:r>
      <w:r w:rsidRPr="00942C19">
        <w:t>audited accounts have been filed by the UPPTCL on 29</w:t>
      </w:r>
      <w:r w:rsidR="00785E17" w:rsidRPr="00942C19">
        <w:rPr>
          <w:vertAlign w:val="superscript"/>
        </w:rPr>
        <w:t>th</w:t>
      </w:r>
      <w:r w:rsidR="00A26608" w:rsidRPr="00942C19">
        <w:t xml:space="preserve"> </w:t>
      </w:r>
      <w:r w:rsidRPr="00942C19">
        <w:t>April, 2013 (Petition No. 883</w:t>
      </w:r>
      <w:r w:rsidR="00285787" w:rsidRPr="00942C19">
        <w:t xml:space="preserve"> </w:t>
      </w:r>
      <w:r w:rsidRPr="00942C19">
        <w:t>/</w:t>
      </w:r>
      <w:r w:rsidR="00285787" w:rsidRPr="00942C19">
        <w:t xml:space="preserve"> </w:t>
      </w:r>
      <w:r w:rsidRPr="00942C19">
        <w:t xml:space="preserve">2013). </w:t>
      </w:r>
      <w:r w:rsidR="00382B78" w:rsidRPr="00942C19">
        <w:t xml:space="preserve">However, the </w:t>
      </w:r>
      <w:r w:rsidR="00285787" w:rsidRPr="00942C19">
        <w:t xml:space="preserve">supplementary audit report of the AGUP </w:t>
      </w:r>
      <w:r w:rsidR="00A26608" w:rsidRPr="00942C19">
        <w:t xml:space="preserve">for FY 2009-10 and 2010-11 </w:t>
      </w:r>
      <w:r w:rsidR="00382B78" w:rsidRPr="00942C19">
        <w:t xml:space="preserve">has not been </w:t>
      </w:r>
      <w:r w:rsidR="00285787" w:rsidRPr="00942C19">
        <w:t xml:space="preserve">filed by the </w:t>
      </w:r>
      <w:r w:rsidR="00A26608" w:rsidRPr="00942C19">
        <w:t>T</w:t>
      </w:r>
      <w:r w:rsidR="00285787" w:rsidRPr="00942C19">
        <w:t xml:space="preserve">ransmission </w:t>
      </w:r>
      <w:r w:rsidR="009A3804" w:rsidRPr="00942C19">
        <w:t>Licensee</w:t>
      </w:r>
      <w:r w:rsidR="00382B78" w:rsidRPr="00942C19">
        <w:t xml:space="preserve"> till date</w:t>
      </w:r>
      <w:r w:rsidR="00285787" w:rsidRPr="00942C19">
        <w:t xml:space="preserve">. </w:t>
      </w:r>
      <w:r w:rsidR="002D6825" w:rsidRPr="00942C19">
        <w:t>Both the aforementioned Petitions were admitted by the Commission on 6</w:t>
      </w:r>
      <w:r w:rsidR="002D6825" w:rsidRPr="00942C19">
        <w:rPr>
          <w:vertAlign w:val="superscript"/>
        </w:rPr>
        <w:t>th</w:t>
      </w:r>
      <w:r w:rsidR="002D6825" w:rsidRPr="00942C19">
        <w:t xml:space="preserve"> May, 2013</w:t>
      </w:r>
      <w:r w:rsidR="00382B78" w:rsidRPr="00942C19">
        <w:t xml:space="preserve"> and directions were issued to the Licensee to publish the salient features of the true up petitions in </w:t>
      </w:r>
      <w:r w:rsidR="00906903" w:rsidRPr="00942C19">
        <w:t xml:space="preserve">newspapers and on its websites. </w:t>
      </w:r>
      <w:r w:rsidR="002D6825" w:rsidRPr="00942C19">
        <w:t xml:space="preserve">A public hearing </w:t>
      </w:r>
      <w:r w:rsidR="00285787" w:rsidRPr="00942C19">
        <w:t xml:space="preserve">in these matters </w:t>
      </w:r>
      <w:r w:rsidR="002D6825" w:rsidRPr="00942C19">
        <w:t>was conducted by the Commission on 22</w:t>
      </w:r>
      <w:r w:rsidR="002D6825" w:rsidRPr="00942C19">
        <w:rPr>
          <w:vertAlign w:val="superscript"/>
        </w:rPr>
        <w:t>nd</w:t>
      </w:r>
      <w:r w:rsidR="00285787" w:rsidRPr="00942C19">
        <w:t xml:space="preserve"> May, 2013 in Lucknow. The Commission while determining the ARR / Tariff of the </w:t>
      </w:r>
      <w:r w:rsidR="00A26608" w:rsidRPr="00942C19">
        <w:t>T</w:t>
      </w:r>
      <w:r w:rsidR="00285787" w:rsidRPr="00942C19">
        <w:t xml:space="preserve">ransmission </w:t>
      </w:r>
      <w:r w:rsidR="009A3804" w:rsidRPr="00942C19">
        <w:t>Licensee</w:t>
      </w:r>
      <w:r w:rsidR="00285787" w:rsidRPr="00942C19">
        <w:t xml:space="preserve"> </w:t>
      </w:r>
      <w:r w:rsidR="00302C12" w:rsidRPr="00942C19">
        <w:t xml:space="preserve">for FY 2013-14 </w:t>
      </w:r>
      <w:r w:rsidR="00285787" w:rsidRPr="00942C19">
        <w:t xml:space="preserve">has adjusted the revenue </w:t>
      </w:r>
      <w:r w:rsidR="00A26608" w:rsidRPr="00942C19">
        <w:t>gap / (</w:t>
      </w:r>
      <w:r w:rsidR="00285787" w:rsidRPr="00942C19">
        <w:t>surplus</w:t>
      </w:r>
      <w:r w:rsidR="00A26608" w:rsidRPr="00942C19">
        <w:t>)</w:t>
      </w:r>
      <w:r w:rsidR="00285787" w:rsidRPr="00942C19">
        <w:t xml:space="preserve"> for the years </w:t>
      </w:r>
      <w:r w:rsidR="00302C12" w:rsidRPr="00942C19">
        <w:t xml:space="preserve">up to FY </w:t>
      </w:r>
      <w:r w:rsidR="00285787" w:rsidRPr="00942C19">
        <w:t xml:space="preserve">2010-11 </w:t>
      </w:r>
      <w:r w:rsidR="00A26608" w:rsidRPr="00942C19">
        <w:t xml:space="preserve">along </w:t>
      </w:r>
      <w:r w:rsidR="00285787" w:rsidRPr="00942C19">
        <w:t xml:space="preserve">with a directive to the </w:t>
      </w:r>
      <w:r w:rsidR="00A26608" w:rsidRPr="00942C19">
        <w:t>T</w:t>
      </w:r>
      <w:r w:rsidR="00285787" w:rsidRPr="00942C19">
        <w:t xml:space="preserve">ransmission </w:t>
      </w:r>
      <w:r w:rsidR="009A3804" w:rsidRPr="00942C19">
        <w:t>Licensee</w:t>
      </w:r>
      <w:r w:rsidR="00285787" w:rsidRPr="00942C19">
        <w:t xml:space="preserve"> to submit the supplementary audit report of the AGUP immediately upon its finalisation. Appropriate adjustment, if any, arising out of the supplementary audit report of the AGUP would be passed by the Commission upon its submission.</w:t>
      </w:r>
    </w:p>
    <w:p w:rsidR="00AD2838" w:rsidRPr="00942C19" w:rsidRDefault="002D6825" w:rsidP="00302C12">
      <w:pPr>
        <w:pStyle w:val="Heading3"/>
        <w:tabs>
          <w:tab w:val="clear" w:pos="720"/>
          <w:tab w:val="clear" w:pos="936"/>
          <w:tab w:val="num" w:pos="993"/>
        </w:tabs>
        <w:spacing w:before="240" w:after="240"/>
        <w:ind w:left="993"/>
      </w:pPr>
      <w:r w:rsidRPr="00942C19">
        <w:t>The Hon’ble APTEL in its judgment dated 9</w:t>
      </w:r>
      <w:r w:rsidRPr="00942C19">
        <w:rPr>
          <w:vertAlign w:val="superscript"/>
        </w:rPr>
        <w:t>th</w:t>
      </w:r>
      <w:r w:rsidRPr="00942C19">
        <w:t xml:space="preserve"> April, 2013 in Appeal No. 242 of 2012</w:t>
      </w:r>
      <w:r w:rsidR="00A26608" w:rsidRPr="00942C19">
        <w:t>,</w:t>
      </w:r>
      <w:r w:rsidRPr="00942C19">
        <w:t xml:space="preserve"> had directed the Commission to carry out the true up of the accounts up</w:t>
      </w:r>
      <w:r w:rsidR="00AD2838" w:rsidRPr="00942C19">
        <w:t xml:space="preserve"> </w:t>
      </w:r>
      <w:r w:rsidRPr="00942C19">
        <w:t>to FY 2009-10 on priority and adjust the surplus / deficit in the ARR of the transmission tariff for FY 2013-14. Accordingly, in compliance with the directives of the Hon’ble APTEL, the Commission has conducted a final truing up of UPPTCL for the financial years up to 2010-11 and have adjusted the surplus in the ARR of the transmission tariff for FY 2013-14.</w:t>
      </w:r>
    </w:p>
    <w:p w:rsidR="00AD2838" w:rsidRPr="00942C19" w:rsidRDefault="00F834B0" w:rsidP="00302C12">
      <w:pPr>
        <w:pStyle w:val="Heading3"/>
        <w:tabs>
          <w:tab w:val="clear" w:pos="720"/>
          <w:tab w:val="clear" w:pos="936"/>
          <w:tab w:val="num" w:pos="993"/>
        </w:tabs>
        <w:spacing w:before="240" w:after="240"/>
        <w:ind w:left="993"/>
      </w:pPr>
      <w:r w:rsidRPr="00942C19">
        <w:t>The DVVNL, MVVNL and</w:t>
      </w:r>
      <w:r w:rsidR="00363047" w:rsidRPr="00942C19">
        <w:t xml:space="preserve"> PVVNL have filed the true up petitions for FY 2008-09 to 2010-11 along with </w:t>
      </w:r>
      <w:r w:rsidR="00906903" w:rsidRPr="00942C19">
        <w:t xml:space="preserve">statutory </w:t>
      </w:r>
      <w:r w:rsidR="00363047" w:rsidRPr="00942C19">
        <w:t xml:space="preserve">audited accounts before the Commission on </w:t>
      </w:r>
      <w:r w:rsidRPr="00942C19">
        <w:t>13</w:t>
      </w:r>
      <w:r w:rsidRPr="00942C19">
        <w:rPr>
          <w:vertAlign w:val="superscript"/>
        </w:rPr>
        <w:t>th</w:t>
      </w:r>
      <w:r w:rsidRPr="00942C19">
        <w:t xml:space="preserve"> May, 2013 </w:t>
      </w:r>
      <w:r w:rsidR="00363047" w:rsidRPr="00942C19">
        <w:t xml:space="preserve">(Petition No. </w:t>
      </w:r>
      <w:r w:rsidRPr="00942C19">
        <w:t>887,</w:t>
      </w:r>
      <w:r w:rsidR="00A26608" w:rsidRPr="00942C19">
        <w:t xml:space="preserve"> </w:t>
      </w:r>
      <w:r w:rsidRPr="00942C19">
        <w:t xml:space="preserve">885 and 886 </w:t>
      </w:r>
      <w:r w:rsidR="00363047" w:rsidRPr="00942C19">
        <w:t>/</w:t>
      </w:r>
      <w:r w:rsidRPr="00942C19">
        <w:t xml:space="preserve"> 2</w:t>
      </w:r>
      <w:r w:rsidR="00363047" w:rsidRPr="00942C19">
        <w:t>013)</w:t>
      </w:r>
      <w:r w:rsidRPr="00942C19">
        <w:t xml:space="preserve"> and PuVVNL has filed its true up petition for FY 2008-09 to 2010-11 along with </w:t>
      </w:r>
      <w:r w:rsidR="00906903" w:rsidRPr="00942C19">
        <w:t xml:space="preserve">statutory </w:t>
      </w:r>
      <w:r w:rsidRPr="00942C19">
        <w:t>audited accounts before the Commission on 14</w:t>
      </w:r>
      <w:r w:rsidRPr="00942C19">
        <w:rPr>
          <w:vertAlign w:val="superscript"/>
        </w:rPr>
        <w:t>th</w:t>
      </w:r>
      <w:r w:rsidRPr="00942C19">
        <w:t xml:space="preserve"> May, 2013 (Petition No. 888 / 2013).</w:t>
      </w:r>
      <w:r w:rsidR="00906903" w:rsidRPr="00942C19">
        <w:t xml:space="preserve"> The supplementary audit report of the AGUP for FY 2008-09 has also been submitted by the Licensee. However, the supplementary audit report of the </w:t>
      </w:r>
      <w:r w:rsidR="00906903" w:rsidRPr="00942C19">
        <w:lastRenderedPageBreak/>
        <w:t xml:space="preserve">AGUP for FY 2009-10 and 2010-11 has not been filed by the Distribution Licensee till date. </w:t>
      </w:r>
      <w:r w:rsidR="00AD2838" w:rsidRPr="00942C19">
        <w:t>In the true up petitions filed, t</w:t>
      </w:r>
      <w:r w:rsidR="002D6825" w:rsidRPr="00942C19">
        <w:t xml:space="preserve">he </w:t>
      </w:r>
      <w:r w:rsidR="009A3804" w:rsidRPr="00942C19">
        <w:t>Licensee</w:t>
      </w:r>
      <w:r w:rsidR="0075482C" w:rsidRPr="00942C19">
        <w:t>s</w:t>
      </w:r>
      <w:r w:rsidR="00AD2838" w:rsidRPr="00942C19">
        <w:t xml:space="preserve"> ha</w:t>
      </w:r>
      <w:r w:rsidR="00A26608" w:rsidRPr="00942C19">
        <w:t>ve</w:t>
      </w:r>
      <w:r w:rsidR="00AD2838" w:rsidRPr="00942C19">
        <w:t xml:space="preserve"> </w:t>
      </w:r>
      <w:r w:rsidR="002D6825" w:rsidRPr="00942C19">
        <w:t xml:space="preserve">proposed a revenue gap of </w:t>
      </w:r>
      <w:r w:rsidR="00155ABB" w:rsidRPr="00942C19">
        <w:rPr>
          <w:rFonts w:cs="Calibri"/>
        </w:rPr>
        <w:t>Rs. 4,450.84 crore</w:t>
      </w:r>
      <w:r w:rsidR="00D31494" w:rsidRPr="00942C19">
        <w:rPr>
          <w:rFonts w:cs="Calibri"/>
        </w:rPr>
        <w:t>s</w:t>
      </w:r>
      <w:r w:rsidR="00155ABB" w:rsidRPr="00942C19">
        <w:rPr>
          <w:rFonts w:cs="Calibri"/>
        </w:rPr>
        <w:t>, Rs. 3,184.38 crore</w:t>
      </w:r>
      <w:r w:rsidR="00D31494" w:rsidRPr="00942C19">
        <w:rPr>
          <w:rFonts w:cs="Calibri"/>
        </w:rPr>
        <w:t>s</w:t>
      </w:r>
      <w:r w:rsidR="00155ABB" w:rsidRPr="00942C19">
        <w:rPr>
          <w:rFonts w:cs="Calibri"/>
        </w:rPr>
        <w:t>, Rs. 3,429.61 crore</w:t>
      </w:r>
      <w:r w:rsidR="00D31494" w:rsidRPr="00942C19">
        <w:rPr>
          <w:rFonts w:cs="Calibri"/>
        </w:rPr>
        <w:t>s</w:t>
      </w:r>
      <w:r w:rsidR="00155ABB" w:rsidRPr="00942C19">
        <w:rPr>
          <w:rFonts w:cs="Calibri"/>
        </w:rPr>
        <w:t xml:space="preserve"> and Rs. 4,403.56 crore</w:t>
      </w:r>
      <w:r w:rsidR="00D31494" w:rsidRPr="00942C19">
        <w:rPr>
          <w:rFonts w:cs="Calibri"/>
        </w:rPr>
        <w:t>s</w:t>
      </w:r>
      <w:r w:rsidR="002D6825" w:rsidRPr="00942C19">
        <w:t xml:space="preserve"> in case of DVVNL, MVVNL, PVVNL and PuVVNL respectively. The </w:t>
      </w:r>
      <w:r w:rsidR="009A3804" w:rsidRPr="00942C19">
        <w:t>Licensee</w:t>
      </w:r>
      <w:r w:rsidR="0075482C" w:rsidRPr="00942C19">
        <w:t>s</w:t>
      </w:r>
      <w:r w:rsidR="00AD2838" w:rsidRPr="00942C19">
        <w:t xml:space="preserve"> </w:t>
      </w:r>
      <w:r w:rsidR="002D6825" w:rsidRPr="00942C19">
        <w:t>ha</w:t>
      </w:r>
      <w:r w:rsidR="00A26608" w:rsidRPr="00942C19">
        <w:t>ve</w:t>
      </w:r>
      <w:r w:rsidR="002D6825" w:rsidRPr="00942C19">
        <w:t xml:space="preserve"> prayed for adjustment of the </w:t>
      </w:r>
      <w:r w:rsidR="00A06FBE" w:rsidRPr="00942C19">
        <w:t xml:space="preserve">net </w:t>
      </w:r>
      <w:r w:rsidR="002D6825" w:rsidRPr="00942C19">
        <w:t xml:space="preserve">gap pursuant to </w:t>
      </w:r>
      <w:r w:rsidR="00A06FBE" w:rsidRPr="00942C19">
        <w:t xml:space="preserve">the </w:t>
      </w:r>
      <w:r w:rsidR="002D6825" w:rsidRPr="00942C19">
        <w:t xml:space="preserve">truing up for the years 2008-09 to 2010-11 in the </w:t>
      </w:r>
      <w:r w:rsidR="00A06FBE" w:rsidRPr="00942C19">
        <w:t xml:space="preserve">revenue gap of FY 2013-14 so that the </w:t>
      </w:r>
      <w:r w:rsidR="009A3804" w:rsidRPr="00942C19">
        <w:t>Licensee</w:t>
      </w:r>
      <w:r w:rsidR="0075482C" w:rsidRPr="00942C19">
        <w:t>s</w:t>
      </w:r>
      <w:r w:rsidR="00A06FBE" w:rsidRPr="00942C19">
        <w:t xml:space="preserve"> may recover the amounts so trued up. </w:t>
      </w:r>
    </w:p>
    <w:p w:rsidR="00A44CA7" w:rsidRPr="00942C19" w:rsidRDefault="00AD2838">
      <w:pPr>
        <w:pStyle w:val="Heading3"/>
        <w:tabs>
          <w:tab w:val="clear" w:pos="720"/>
          <w:tab w:val="clear" w:pos="936"/>
          <w:tab w:val="num" w:pos="993"/>
        </w:tabs>
        <w:spacing w:before="240" w:after="240"/>
        <w:ind w:left="993"/>
      </w:pPr>
      <w:r w:rsidRPr="00942C19">
        <w:t xml:space="preserve">The </w:t>
      </w:r>
      <w:r w:rsidR="00D31494" w:rsidRPr="00942C19">
        <w:t>KESCO</w:t>
      </w:r>
      <w:r w:rsidRPr="00942C19">
        <w:t xml:space="preserve"> has filed the true up </w:t>
      </w:r>
      <w:r w:rsidR="00155ABB" w:rsidRPr="00942C19">
        <w:t>petitions for FY 2008-09 to 2011</w:t>
      </w:r>
      <w:r w:rsidRPr="00942C19">
        <w:t>-1</w:t>
      </w:r>
      <w:r w:rsidR="00155ABB" w:rsidRPr="00942C19">
        <w:t>2</w:t>
      </w:r>
      <w:r w:rsidRPr="00942C19">
        <w:t xml:space="preserve"> along with </w:t>
      </w:r>
      <w:r w:rsidR="00906903" w:rsidRPr="00942C19">
        <w:t xml:space="preserve">statutory </w:t>
      </w:r>
      <w:r w:rsidRPr="00942C19">
        <w:t xml:space="preserve">audited accounts before the Commission on </w:t>
      </w:r>
      <w:r w:rsidR="00F834B0" w:rsidRPr="00942C19">
        <w:t>14</w:t>
      </w:r>
      <w:r w:rsidR="00785E17" w:rsidRPr="00942C19">
        <w:rPr>
          <w:vertAlign w:val="superscript"/>
        </w:rPr>
        <w:t>th</w:t>
      </w:r>
      <w:r w:rsidR="00F834B0" w:rsidRPr="00942C19">
        <w:t xml:space="preserve"> May, 2013 </w:t>
      </w:r>
      <w:r w:rsidRPr="00942C19">
        <w:t xml:space="preserve">(Petition No. </w:t>
      </w:r>
      <w:r w:rsidR="00F834B0" w:rsidRPr="00942C19">
        <w:t xml:space="preserve">889 </w:t>
      </w:r>
      <w:r w:rsidRPr="00942C19">
        <w:t>/</w:t>
      </w:r>
      <w:r w:rsidR="00F834B0" w:rsidRPr="00942C19">
        <w:t xml:space="preserve"> </w:t>
      </w:r>
      <w:r w:rsidRPr="00942C19">
        <w:t xml:space="preserve">2013). </w:t>
      </w:r>
      <w:r w:rsidR="00906903" w:rsidRPr="00942C19">
        <w:t xml:space="preserve">The supplementary audit report of the AGUP for FY 2008-09 and 2009-10 has also been submitted by the Licensee. However, the supplementary audit report of the AGUP for FY 2010-11 and 2011-12 has not been filed by the Distribution Licensee till date. </w:t>
      </w:r>
      <w:r w:rsidRPr="00942C19">
        <w:t xml:space="preserve">In the true up petition filed, </w:t>
      </w:r>
      <w:r w:rsidR="00D31494" w:rsidRPr="00942C19">
        <w:t>KESCO</w:t>
      </w:r>
      <w:r w:rsidRPr="00942C19">
        <w:t xml:space="preserve"> ha</w:t>
      </w:r>
      <w:r w:rsidR="00A26608" w:rsidRPr="00942C19">
        <w:t>s</w:t>
      </w:r>
      <w:r w:rsidRPr="00942C19">
        <w:t xml:space="preserve"> proposed a revenue gap of Rs. </w:t>
      </w:r>
      <w:r w:rsidR="00785E17" w:rsidRPr="00942C19">
        <w:rPr>
          <w:rFonts w:cs="Calibri"/>
        </w:rPr>
        <w:t xml:space="preserve">796.16 </w:t>
      </w:r>
      <w:r w:rsidRPr="00942C19">
        <w:t>crore</w:t>
      </w:r>
      <w:r w:rsidR="00D31494" w:rsidRPr="00942C19">
        <w:t>s</w:t>
      </w:r>
      <w:r w:rsidRPr="00942C19">
        <w:t xml:space="preserve">. The </w:t>
      </w:r>
      <w:r w:rsidR="00D31494" w:rsidRPr="00942C19">
        <w:t>KESCO</w:t>
      </w:r>
      <w:r w:rsidRPr="00942C19">
        <w:t xml:space="preserve"> ha</w:t>
      </w:r>
      <w:r w:rsidR="00A26608" w:rsidRPr="00942C19">
        <w:t>s</w:t>
      </w:r>
      <w:r w:rsidRPr="00942C19">
        <w:t xml:space="preserve"> prayed for adjustment of the net gap pursuant to the truing up for the years 2008-09 to 201</w:t>
      </w:r>
      <w:r w:rsidR="00155ABB" w:rsidRPr="00942C19">
        <w:t>1</w:t>
      </w:r>
      <w:r w:rsidRPr="00942C19">
        <w:t>-1</w:t>
      </w:r>
      <w:r w:rsidR="00155ABB" w:rsidRPr="00942C19">
        <w:t>2</w:t>
      </w:r>
      <w:r w:rsidRPr="00942C19">
        <w:t xml:space="preserve"> in the revenue gap of FY 2013-14 so that it may recover the amounts so trued up.</w:t>
      </w:r>
    </w:p>
    <w:p w:rsidR="00AD2838" w:rsidRPr="00942C19" w:rsidRDefault="00AD2838" w:rsidP="00302C12">
      <w:pPr>
        <w:pStyle w:val="Heading3"/>
        <w:tabs>
          <w:tab w:val="clear" w:pos="720"/>
          <w:tab w:val="clear" w:pos="936"/>
          <w:tab w:val="num" w:pos="993"/>
        </w:tabs>
        <w:spacing w:before="240" w:after="240"/>
        <w:ind w:left="993"/>
      </w:pPr>
      <w:r w:rsidRPr="00942C19">
        <w:t xml:space="preserve">The Commission had already proceeded with the finalisation of the revenue requirement for the </w:t>
      </w:r>
      <w:r w:rsidR="009A3804" w:rsidRPr="00942C19">
        <w:t>Licensee</w:t>
      </w:r>
      <w:r w:rsidR="0075482C" w:rsidRPr="00942C19">
        <w:t>s</w:t>
      </w:r>
      <w:r w:rsidRPr="00942C19">
        <w:t xml:space="preserve"> for FY 2013-14 by the time the distribution </w:t>
      </w:r>
      <w:r w:rsidR="009A3804" w:rsidRPr="00942C19">
        <w:t>Licensee</w:t>
      </w:r>
      <w:r w:rsidR="0075482C" w:rsidRPr="00942C19">
        <w:t>s</w:t>
      </w:r>
      <w:r w:rsidRPr="00942C19">
        <w:t xml:space="preserve"> filed the true up petitions. </w:t>
      </w:r>
      <w:r w:rsidR="00A06FBE" w:rsidRPr="00942C19">
        <w:t>As the technical validation of the petitions, public consultation process, etc would take substantive time, the Commission has proceeded with the tariff determination for FY 2013-14 without approving the truing up for the FY 2008-09 to 2010-11</w:t>
      </w:r>
      <w:r w:rsidRPr="00942C19">
        <w:t xml:space="preserve"> (up to FY 2011-12 in case of </w:t>
      </w:r>
      <w:r w:rsidR="00D31494" w:rsidRPr="00942C19">
        <w:t>KESCO</w:t>
      </w:r>
      <w:r w:rsidRPr="00942C19">
        <w:t>)</w:t>
      </w:r>
      <w:r w:rsidR="00A06FBE" w:rsidRPr="00942C19">
        <w:t xml:space="preserve">. </w:t>
      </w:r>
      <w:r w:rsidRPr="00942C19">
        <w:t xml:space="preserve">This has been done to avoid further delay in approval of tariff for FY 2013-14. </w:t>
      </w:r>
      <w:r w:rsidR="00A06FBE" w:rsidRPr="00942C19">
        <w:t xml:space="preserve">However, the past trends in respect of O&amp;M costs and yearly flow of Gross Fixed Asset (GFA) balances, Capital Work in Progress (CWIP) balances, capital investments, loan balances, consumer contributions, etc have been considered from the audited accounts for years up to FY 2010-11 </w:t>
      </w:r>
      <w:r w:rsidRPr="00942C19">
        <w:t xml:space="preserve">(FY 2011-12 in case of </w:t>
      </w:r>
      <w:r w:rsidR="00D31494" w:rsidRPr="00942C19">
        <w:t>KESCO</w:t>
      </w:r>
      <w:r w:rsidRPr="00942C19">
        <w:t xml:space="preserve">) </w:t>
      </w:r>
      <w:r w:rsidR="00A06FBE" w:rsidRPr="00942C19">
        <w:t xml:space="preserve">so as to arrive at realistic levels of expenses </w:t>
      </w:r>
      <w:r w:rsidR="006C3BB3" w:rsidRPr="00942C19">
        <w:t xml:space="preserve">being approved </w:t>
      </w:r>
      <w:r w:rsidR="00A06FBE" w:rsidRPr="00942C19">
        <w:t xml:space="preserve">for FY 2013-14. </w:t>
      </w:r>
    </w:p>
    <w:p w:rsidR="00A06FBE" w:rsidRPr="00942C19" w:rsidRDefault="00A06FBE" w:rsidP="00302C12">
      <w:pPr>
        <w:pStyle w:val="Heading3"/>
        <w:tabs>
          <w:tab w:val="clear" w:pos="720"/>
          <w:tab w:val="clear" w:pos="936"/>
          <w:tab w:val="num" w:pos="993"/>
        </w:tabs>
        <w:spacing w:before="240" w:after="240"/>
        <w:ind w:left="993"/>
      </w:pPr>
      <w:r w:rsidRPr="00942C19">
        <w:t xml:space="preserve">The amount of net recoverable gap / surplus subsequent to final truing up for FY 2008-09 to 2010-11 </w:t>
      </w:r>
      <w:r w:rsidR="00AD2838" w:rsidRPr="00942C19">
        <w:t xml:space="preserve">(FY 2011-12 in case of </w:t>
      </w:r>
      <w:r w:rsidR="00D31494" w:rsidRPr="00942C19">
        <w:t>KESCO</w:t>
      </w:r>
      <w:r w:rsidR="00AD2838" w:rsidRPr="00942C19">
        <w:t xml:space="preserve">) </w:t>
      </w:r>
      <w:r w:rsidRPr="00942C19">
        <w:t xml:space="preserve">would be adjusted with the amount of the ARR of the distribution companies namely DVVNL, MVVNL, </w:t>
      </w:r>
      <w:r w:rsidRPr="00942C19">
        <w:lastRenderedPageBreak/>
        <w:t>PVVNL</w:t>
      </w:r>
      <w:r w:rsidR="00F834B0" w:rsidRPr="00942C19">
        <w:t>,</w:t>
      </w:r>
      <w:r w:rsidRPr="00942C19">
        <w:t xml:space="preserve"> PuVVNL </w:t>
      </w:r>
      <w:r w:rsidR="00F834B0" w:rsidRPr="00942C19">
        <w:t xml:space="preserve">and </w:t>
      </w:r>
      <w:r w:rsidR="00D31494" w:rsidRPr="00942C19">
        <w:t>KESCO</w:t>
      </w:r>
      <w:r w:rsidR="00F834B0" w:rsidRPr="00942C19">
        <w:t xml:space="preserve"> </w:t>
      </w:r>
      <w:r w:rsidRPr="00942C19">
        <w:t xml:space="preserve">for the year 2014-15 or that for any other ensuing year or through a separate order, as may be decided by the Commission. </w:t>
      </w:r>
    </w:p>
    <w:p w:rsidR="00AD2838" w:rsidRPr="00942C19" w:rsidRDefault="00AD2838" w:rsidP="00F81481">
      <w:pPr>
        <w:pStyle w:val="Heading3"/>
        <w:numPr>
          <w:ilvl w:val="0"/>
          <w:numId w:val="0"/>
        </w:numPr>
        <w:spacing w:before="0"/>
      </w:pPr>
    </w:p>
    <w:p w:rsidR="00F81481" w:rsidRPr="00942C19" w:rsidRDefault="00F81481" w:rsidP="00F81481">
      <w:pPr>
        <w:pStyle w:val="Heading3"/>
        <w:numPr>
          <w:ilvl w:val="0"/>
          <w:numId w:val="0"/>
        </w:numPr>
        <w:spacing w:before="0"/>
      </w:pPr>
    </w:p>
    <w:p w:rsidR="00F81481" w:rsidRPr="00942C19" w:rsidRDefault="00F81481" w:rsidP="00A818DC">
      <w:pPr>
        <w:pStyle w:val="Heading2"/>
        <w:numPr>
          <w:ilvl w:val="1"/>
          <w:numId w:val="21"/>
        </w:numPr>
      </w:pPr>
      <w:bookmarkStart w:id="336" w:name="_Toc337201342"/>
      <w:bookmarkStart w:id="337" w:name="_Toc337459183"/>
      <w:bookmarkStart w:id="338" w:name="_Toc338354656"/>
      <w:bookmarkStart w:id="339" w:name="_Toc357356072"/>
      <w:bookmarkStart w:id="340" w:name="_Toc357714362"/>
      <w:r w:rsidRPr="00942C19">
        <w:t>POWER PROCUREMENT COST</w:t>
      </w:r>
      <w:bookmarkEnd w:id="336"/>
      <w:bookmarkEnd w:id="337"/>
      <w:bookmarkEnd w:id="338"/>
      <w:bookmarkEnd w:id="339"/>
      <w:bookmarkEnd w:id="340"/>
      <w:r w:rsidRPr="00942C19">
        <w:t xml:space="preserve"> </w:t>
      </w:r>
    </w:p>
    <w:p w:rsidR="00F81481" w:rsidRPr="00942C19" w:rsidRDefault="00F81481" w:rsidP="00F81481">
      <w:pPr>
        <w:pStyle w:val="Default"/>
        <w:jc w:val="both"/>
        <w:rPr>
          <w:rFonts w:asciiTheme="minorHAnsi" w:hAnsiTheme="minorHAnsi" w:cstheme="minorHAnsi"/>
          <w:bCs/>
          <w:color w:val="auto"/>
        </w:rPr>
      </w:pPr>
    </w:p>
    <w:p w:rsidR="00F81481" w:rsidRPr="00942C19" w:rsidRDefault="00F81481" w:rsidP="00A818DC">
      <w:pPr>
        <w:pStyle w:val="ListParagraph"/>
        <w:numPr>
          <w:ilvl w:val="0"/>
          <w:numId w:val="15"/>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F81481" w:rsidRPr="00942C19" w:rsidRDefault="00F81481" w:rsidP="00302C12">
      <w:pPr>
        <w:pStyle w:val="Heading3"/>
        <w:tabs>
          <w:tab w:val="clear" w:pos="720"/>
          <w:tab w:val="clear" w:pos="936"/>
          <w:tab w:val="num" w:pos="993"/>
        </w:tabs>
        <w:spacing w:before="240" w:after="240"/>
        <w:ind w:left="993"/>
      </w:pPr>
      <w:r w:rsidRPr="00942C19">
        <w:t>The comments / suggestions submitted by Mr. Rama Shanker Awasthi, Lucknow</w:t>
      </w:r>
      <w:r w:rsidR="00302C12" w:rsidRPr="00942C19">
        <w:t>,</w:t>
      </w:r>
      <w:r w:rsidRPr="00942C19">
        <w:t xml:space="preserve"> are as under:</w:t>
      </w:r>
    </w:p>
    <w:p w:rsidR="00F81481" w:rsidRPr="00942C19" w:rsidRDefault="00F81481" w:rsidP="00302C12">
      <w:pPr>
        <w:pStyle w:val="Heading3"/>
        <w:tabs>
          <w:tab w:val="clear" w:pos="720"/>
          <w:tab w:val="clear" w:pos="936"/>
          <w:tab w:val="num" w:pos="993"/>
        </w:tabs>
        <w:spacing w:before="240" w:after="240"/>
        <w:ind w:left="993"/>
      </w:pPr>
      <w:r w:rsidRPr="00942C19">
        <w:t xml:space="preserve">The stakeholder has stated that the power procurement cost would be reduced substantially if the distribution </w:t>
      </w:r>
      <w:r w:rsidR="009A3804" w:rsidRPr="00942C19">
        <w:t>Licensee</w:t>
      </w:r>
      <w:r w:rsidR="0075482C" w:rsidRPr="00942C19">
        <w:t>s</w:t>
      </w:r>
      <w:r w:rsidRPr="00942C19">
        <w:t xml:space="preserve"> are permitted to purchase the electricity independently and not through UPPCL.</w:t>
      </w:r>
    </w:p>
    <w:p w:rsidR="00F81481" w:rsidRPr="00942C19" w:rsidRDefault="00F81481" w:rsidP="00F81481">
      <w:pPr>
        <w:pStyle w:val="Heading3"/>
        <w:numPr>
          <w:ilvl w:val="0"/>
          <w:numId w:val="0"/>
        </w:numPr>
        <w:ind w:left="720"/>
        <w:rPr>
          <w:rFonts w:asciiTheme="minorHAnsi" w:hAnsiTheme="minorHAnsi" w:cstheme="minorHAnsi"/>
        </w:rPr>
      </w:pPr>
    </w:p>
    <w:p w:rsidR="00F81481" w:rsidRPr="00942C19" w:rsidRDefault="002023A1" w:rsidP="00A818DC">
      <w:pPr>
        <w:pStyle w:val="Heading3"/>
        <w:numPr>
          <w:ilvl w:val="0"/>
          <w:numId w:val="15"/>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F81481" w:rsidRPr="00942C19">
        <w:rPr>
          <w:rFonts w:asciiTheme="minorHAnsi" w:hAnsiTheme="minorHAnsi" w:cstheme="minorHAnsi"/>
          <w:b/>
          <w:i/>
        </w:rPr>
        <w:t>:</w:t>
      </w:r>
    </w:p>
    <w:p w:rsidR="00F81481" w:rsidRPr="00942C19" w:rsidRDefault="00F81481" w:rsidP="00302C12">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w:t>
      </w:r>
      <w:r w:rsidR="00302C12" w:rsidRPr="00942C19">
        <w:t xml:space="preserve">that </w:t>
      </w:r>
      <w:r w:rsidRPr="00942C19">
        <w:t xml:space="preserve">currently UPPCL procures power centrally and then the distribution companies are supplied power by UPPCL. However, UPPCL does not charge any trading margin on the power supplied by it. Hence, there is no additional financial implication on the distribution companies under the current arrangement. </w:t>
      </w:r>
    </w:p>
    <w:p w:rsidR="00F81481" w:rsidRPr="00942C19" w:rsidRDefault="00F81481" w:rsidP="00F81481">
      <w:pPr>
        <w:pStyle w:val="Heading3"/>
        <w:numPr>
          <w:ilvl w:val="0"/>
          <w:numId w:val="0"/>
        </w:numPr>
        <w:ind w:left="720"/>
        <w:rPr>
          <w:rFonts w:asciiTheme="minorHAnsi" w:hAnsiTheme="minorHAnsi" w:cstheme="minorHAnsi"/>
        </w:rPr>
      </w:pPr>
    </w:p>
    <w:p w:rsidR="00F81481" w:rsidRPr="00942C19" w:rsidRDefault="00F81481" w:rsidP="00A818DC">
      <w:pPr>
        <w:pStyle w:val="Heading3"/>
        <w:numPr>
          <w:ilvl w:val="0"/>
          <w:numId w:val="15"/>
        </w:numPr>
        <w:spacing w:before="0"/>
        <w:rPr>
          <w:rFonts w:asciiTheme="minorHAnsi" w:hAnsiTheme="minorHAnsi" w:cstheme="minorHAnsi"/>
          <w:b/>
          <w:i/>
        </w:rPr>
      </w:pPr>
      <w:r w:rsidRPr="00942C19">
        <w:rPr>
          <w:rFonts w:asciiTheme="minorHAnsi" w:hAnsiTheme="minorHAnsi" w:cstheme="minorHAnsi"/>
          <w:b/>
          <w:i/>
        </w:rPr>
        <w:t>The Commission’s views:</w:t>
      </w:r>
    </w:p>
    <w:p w:rsidR="00F81481" w:rsidRPr="00942C19" w:rsidRDefault="00F81481" w:rsidP="00302C12">
      <w:pPr>
        <w:pStyle w:val="Heading3"/>
        <w:tabs>
          <w:tab w:val="clear" w:pos="720"/>
          <w:tab w:val="clear" w:pos="936"/>
          <w:tab w:val="num" w:pos="993"/>
        </w:tabs>
        <w:spacing w:before="240" w:after="240"/>
        <w:ind w:left="993"/>
        <w:rPr>
          <w:rFonts w:eastAsiaTheme="minorHAnsi" w:cs="Calibri"/>
          <w:lang w:val="en-IN"/>
        </w:rPr>
      </w:pPr>
      <w:r w:rsidRPr="00942C19">
        <w:rPr>
          <w:rFonts w:eastAsiaTheme="minorHAnsi" w:cs="Calibri"/>
          <w:lang w:val="en-IN"/>
        </w:rPr>
        <w:t xml:space="preserve">The Commission has always advocated providing complete autonomy to the distribution </w:t>
      </w:r>
      <w:r w:rsidRPr="00942C19">
        <w:t>companies</w:t>
      </w:r>
      <w:r w:rsidRPr="00942C19">
        <w:rPr>
          <w:rFonts w:eastAsiaTheme="minorHAnsi" w:cs="Calibri"/>
          <w:lang w:val="en-IN"/>
        </w:rPr>
        <w:t xml:space="preserve"> including allocation of PPAs. However from the point of view of the </w:t>
      </w:r>
      <w:r w:rsidRPr="00942C19">
        <w:t>concern</w:t>
      </w:r>
      <w:r w:rsidRPr="00942C19">
        <w:rPr>
          <w:rFonts w:eastAsiaTheme="minorHAnsi" w:cs="Calibri"/>
          <w:lang w:val="en-IN"/>
        </w:rPr>
        <w:t xml:space="preserve"> of the stakeholders, it is clarified that no margin has been allowed to UPPCL for supplying to the distribution companies. </w:t>
      </w:r>
    </w:p>
    <w:p w:rsidR="00F81481" w:rsidRPr="00942C19" w:rsidRDefault="00F81481" w:rsidP="00AE7F3A">
      <w:pPr>
        <w:pStyle w:val="Heading3"/>
        <w:numPr>
          <w:ilvl w:val="0"/>
          <w:numId w:val="0"/>
        </w:numPr>
        <w:spacing w:before="0"/>
        <w:ind w:left="936"/>
      </w:pPr>
    </w:p>
    <w:p w:rsidR="00F81481" w:rsidRPr="00942C19" w:rsidRDefault="00F81481" w:rsidP="00AE7F3A">
      <w:pPr>
        <w:pStyle w:val="Heading3"/>
        <w:numPr>
          <w:ilvl w:val="0"/>
          <w:numId w:val="0"/>
        </w:numPr>
        <w:spacing w:before="0"/>
        <w:ind w:left="936"/>
      </w:pPr>
    </w:p>
    <w:p w:rsidR="00F81481" w:rsidRPr="00942C19" w:rsidRDefault="00F81481" w:rsidP="00A818DC">
      <w:pPr>
        <w:pStyle w:val="Heading2"/>
        <w:numPr>
          <w:ilvl w:val="1"/>
          <w:numId w:val="21"/>
        </w:numPr>
      </w:pPr>
      <w:bookmarkStart w:id="341" w:name="_Toc337201343"/>
      <w:bookmarkStart w:id="342" w:name="_Toc337459184"/>
      <w:bookmarkStart w:id="343" w:name="_Toc338354657"/>
      <w:bookmarkStart w:id="344" w:name="_Toc357356073"/>
      <w:bookmarkStart w:id="345" w:name="_Toc357714363"/>
      <w:r w:rsidRPr="00942C19">
        <w:t>OTHER INCOMES / REVENUE ASSESSMENT</w:t>
      </w:r>
      <w:bookmarkEnd w:id="341"/>
      <w:bookmarkEnd w:id="342"/>
      <w:bookmarkEnd w:id="343"/>
      <w:bookmarkEnd w:id="344"/>
      <w:bookmarkEnd w:id="345"/>
    </w:p>
    <w:p w:rsidR="00F81481" w:rsidRPr="00942C19" w:rsidRDefault="00F81481" w:rsidP="00F81481">
      <w:pPr>
        <w:pStyle w:val="Default"/>
        <w:jc w:val="both"/>
        <w:rPr>
          <w:rFonts w:asciiTheme="minorHAnsi" w:hAnsiTheme="minorHAnsi" w:cstheme="minorHAnsi"/>
          <w:bCs/>
          <w:color w:val="auto"/>
        </w:rPr>
      </w:pPr>
    </w:p>
    <w:p w:rsidR="00F81481" w:rsidRPr="00942C19" w:rsidRDefault="00F81481" w:rsidP="00A818DC">
      <w:pPr>
        <w:pStyle w:val="ListParagraph"/>
        <w:numPr>
          <w:ilvl w:val="0"/>
          <w:numId w:val="16"/>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F81481" w:rsidRPr="00942C19" w:rsidRDefault="00F81481" w:rsidP="00302C12">
      <w:pPr>
        <w:pStyle w:val="Heading3"/>
        <w:tabs>
          <w:tab w:val="clear" w:pos="720"/>
          <w:tab w:val="clear" w:pos="936"/>
          <w:tab w:val="num" w:pos="993"/>
        </w:tabs>
        <w:spacing w:before="240" w:after="240"/>
        <w:ind w:left="993"/>
      </w:pPr>
      <w:r w:rsidRPr="00942C19">
        <w:rPr>
          <w:rFonts w:eastAsiaTheme="minorHAnsi" w:cs="Calibri"/>
          <w:lang w:val="en-IN"/>
        </w:rPr>
        <w:lastRenderedPageBreak/>
        <w:t xml:space="preserve">The </w:t>
      </w:r>
      <w:r w:rsidRPr="00942C19">
        <w:t>comments</w:t>
      </w:r>
      <w:r w:rsidR="00302C12" w:rsidRPr="00942C19">
        <w:t xml:space="preserve"> </w:t>
      </w:r>
      <w:r w:rsidRPr="00942C19">
        <w:rPr>
          <w:rFonts w:eastAsiaTheme="minorHAnsi" w:cs="Calibri"/>
          <w:lang w:val="en-IN"/>
        </w:rPr>
        <w:t>/</w:t>
      </w:r>
      <w:r w:rsidR="00302C12" w:rsidRPr="00942C19">
        <w:rPr>
          <w:rFonts w:eastAsiaTheme="minorHAnsi" w:cs="Calibri"/>
          <w:lang w:val="en-IN"/>
        </w:rPr>
        <w:t xml:space="preserve"> </w:t>
      </w:r>
      <w:r w:rsidRPr="00942C19">
        <w:rPr>
          <w:rFonts w:eastAsiaTheme="minorHAnsi" w:cs="Calibri"/>
          <w:lang w:val="en-IN"/>
        </w:rPr>
        <w:t xml:space="preserve">suggestions </w:t>
      </w:r>
      <w:r w:rsidRPr="00942C19">
        <w:t>submitted by Mr. Vishnu Bhagwan Agarwal, Chairman, National Chamber of Industries and Commerce, U.P., are as under:</w:t>
      </w:r>
    </w:p>
    <w:p w:rsidR="00F81481" w:rsidRPr="00942C19" w:rsidRDefault="00F81481" w:rsidP="00302C12">
      <w:pPr>
        <w:pStyle w:val="Heading3"/>
        <w:tabs>
          <w:tab w:val="clear" w:pos="720"/>
          <w:tab w:val="clear" w:pos="936"/>
          <w:tab w:val="num" w:pos="993"/>
        </w:tabs>
        <w:spacing w:before="240" w:after="240"/>
        <w:ind w:left="993"/>
      </w:pPr>
      <w:r w:rsidRPr="00942C19">
        <w:t xml:space="preserve">The stakeholder has stated that the distribution companies are not including the revenue on account of late payment surcharge, ‘shaman shulk’, assessment on theft cases, etc in their ARR.  </w:t>
      </w:r>
    </w:p>
    <w:p w:rsidR="00F81481" w:rsidRPr="00942C19" w:rsidRDefault="00F81481" w:rsidP="00F81481">
      <w:pPr>
        <w:pStyle w:val="Heading3"/>
        <w:numPr>
          <w:ilvl w:val="0"/>
          <w:numId w:val="0"/>
        </w:numPr>
        <w:ind w:left="720"/>
        <w:rPr>
          <w:rFonts w:asciiTheme="minorHAnsi" w:hAnsiTheme="minorHAnsi" w:cstheme="minorHAnsi"/>
        </w:rPr>
      </w:pPr>
    </w:p>
    <w:p w:rsidR="00F81481" w:rsidRPr="00942C19" w:rsidRDefault="002023A1" w:rsidP="00A818DC">
      <w:pPr>
        <w:pStyle w:val="Heading3"/>
        <w:numPr>
          <w:ilvl w:val="0"/>
          <w:numId w:val="16"/>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F81481" w:rsidRPr="00942C19">
        <w:rPr>
          <w:rFonts w:asciiTheme="minorHAnsi" w:hAnsiTheme="minorHAnsi" w:cstheme="minorHAnsi"/>
          <w:b/>
          <w:i/>
        </w:rPr>
        <w:t>:</w:t>
      </w:r>
    </w:p>
    <w:p w:rsidR="00F81481" w:rsidRPr="00942C19" w:rsidRDefault="00F81481" w:rsidP="00302C12">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stated that the late payment surcharge is treated as part of revenue for </w:t>
      </w:r>
      <w:r w:rsidRPr="00942C19">
        <w:rPr>
          <w:rFonts w:eastAsiaTheme="minorHAnsi" w:cs="Calibri"/>
          <w:lang w:val="en-IN"/>
        </w:rPr>
        <w:t>the</w:t>
      </w:r>
      <w:r w:rsidRPr="00942C19">
        <w:t xml:space="preserve"> ensuing year. In the case of previous year, the late payment surcharge has been depicted as part of other incomes. Even in the case of true up petitions, the </w:t>
      </w:r>
      <w:r w:rsidR="009A3804" w:rsidRPr="00942C19">
        <w:t>Licensee</w:t>
      </w:r>
      <w:r w:rsidR="0075482C" w:rsidRPr="00942C19">
        <w:t>s</w:t>
      </w:r>
      <w:r w:rsidRPr="00942C19">
        <w:t xml:space="preserve"> have claimed credit of late payment surcharge. The ‘shaman shulk’ is remitted to the revenue authorities and is not the income of the </w:t>
      </w:r>
      <w:r w:rsidR="009A3804" w:rsidRPr="00942C19">
        <w:t>Licensee</w:t>
      </w:r>
      <w:r w:rsidRPr="00942C19">
        <w:t xml:space="preserve">. The assessment on theft cases is also considered as part of the revenue assessment. </w:t>
      </w:r>
    </w:p>
    <w:p w:rsidR="00F81481" w:rsidRPr="00942C19" w:rsidRDefault="00F81481" w:rsidP="00F81481">
      <w:pPr>
        <w:pStyle w:val="Heading3"/>
        <w:numPr>
          <w:ilvl w:val="0"/>
          <w:numId w:val="0"/>
        </w:numPr>
        <w:ind w:left="720"/>
        <w:rPr>
          <w:rFonts w:asciiTheme="minorHAnsi" w:hAnsiTheme="minorHAnsi" w:cstheme="minorHAnsi"/>
        </w:rPr>
      </w:pPr>
    </w:p>
    <w:p w:rsidR="00F81481" w:rsidRPr="00942C19" w:rsidRDefault="00F81481" w:rsidP="00A818DC">
      <w:pPr>
        <w:pStyle w:val="Heading3"/>
        <w:numPr>
          <w:ilvl w:val="0"/>
          <w:numId w:val="16"/>
        </w:numPr>
        <w:spacing w:before="0"/>
        <w:rPr>
          <w:rFonts w:asciiTheme="minorHAnsi" w:hAnsiTheme="minorHAnsi" w:cstheme="minorHAnsi"/>
          <w:b/>
          <w:i/>
        </w:rPr>
      </w:pPr>
      <w:r w:rsidRPr="00942C19">
        <w:rPr>
          <w:rFonts w:asciiTheme="minorHAnsi" w:hAnsiTheme="minorHAnsi" w:cstheme="minorHAnsi"/>
          <w:b/>
          <w:i/>
        </w:rPr>
        <w:t>The Commission’s view:</w:t>
      </w:r>
    </w:p>
    <w:p w:rsidR="00F81481" w:rsidRPr="00942C19" w:rsidRDefault="00F81481" w:rsidP="00302C12">
      <w:pPr>
        <w:pStyle w:val="Heading3"/>
        <w:tabs>
          <w:tab w:val="clear" w:pos="720"/>
          <w:tab w:val="clear" w:pos="936"/>
          <w:tab w:val="num" w:pos="993"/>
        </w:tabs>
        <w:spacing w:before="240" w:after="240"/>
        <w:ind w:left="993"/>
      </w:pPr>
      <w:r w:rsidRPr="00942C19">
        <w:t xml:space="preserve">The Commission has ensured that the late payment surcharge and assessment on theft cases has been appropriately accounted for in the ARR </w:t>
      </w:r>
      <w:r w:rsidR="00302C12" w:rsidRPr="00942C19">
        <w:t xml:space="preserve">Petitions of the </w:t>
      </w:r>
      <w:r w:rsidR="009A3804" w:rsidRPr="00942C19">
        <w:t>Licensee</w:t>
      </w:r>
      <w:r w:rsidR="00302C12" w:rsidRPr="00942C19">
        <w:t>. Further, the Commission has ensured that late payment surcharge has been duly accounted for under the revenue side truing up in the True up Orders.</w:t>
      </w:r>
      <w:r w:rsidRPr="00942C19">
        <w:t xml:space="preserve"> The Commission agrees with the replies of the </w:t>
      </w:r>
      <w:r w:rsidR="009A3804" w:rsidRPr="00942C19">
        <w:t>Licensee</w:t>
      </w:r>
      <w:r w:rsidRPr="00942C19">
        <w:t xml:space="preserve"> on the issue of ‘shaman shulk’.</w:t>
      </w:r>
    </w:p>
    <w:p w:rsidR="00F81481" w:rsidRPr="00942C19" w:rsidRDefault="00F81481" w:rsidP="00AE7F3A">
      <w:pPr>
        <w:pStyle w:val="Heading3"/>
        <w:numPr>
          <w:ilvl w:val="0"/>
          <w:numId w:val="0"/>
        </w:numPr>
        <w:spacing w:before="0"/>
        <w:ind w:left="936"/>
      </w:pPr>
    </w:p>
    <w:p w:rsidR="00F81481" w:rsidRPr="00942C19" w:rsidRDefault="00F81481" w:rsidP="00AE7F3A">
      <w:pPr>
        <w:pStyle w:val="Heading3"/>
        <w:numPr>
          <w:ilvl w:val="0"/>
          <w:numId w:val="0"/>
        </w:numPr>
        <w:spacing w:before="0"/>
        <w:ind w:left="936"/>
      </w:pPr>
    </w:p>
    <w:p w:rsidR="009043D4" w:rsidRPr="00942C19" w:rsidRDefault="009043D4" w:rsidP="00A818DC">
      <w:pPr>
        <w:pStyle w:val="Heading2"/>
        <w:numPr>
          <w:ilvl w:val="1"/>
          <w:numId w:val="21"/>
        </w:numPr>
      </w:pPr>
      <w:bookmarkStart w:id="346" w:name="_Toc337201346"/>
      <w:bookmarkStart w:id="347" w:name="_Toc337459187"/>
      <w:bookmarkStart w:id="348" w:name="_Toc338354660"/>
      <w:bookmarkStart w:id="349" w:name="_Toc357356074"/>
      <w:bookmarkStart w:id="350" w:name="_Toc357714364"/>
      <w:r w:rsidRPr="00942C19">
        <w:t>UNIFORM DISTRIBUTION TARIFF ACROSS THE STATE</w:t>
      </w:r>
      <w:bookmarkEnd w:id="346"/>
      <w:bookmarkEnd w:id="347"/>
      <w:bookmarkEnd w:id="348"/>
      <w:bookmarkEnd w:id="349"/>
      <w:bookmarkEnd w:id="350"/>
    </w:p>
    <w:p w:rsidR="009043D4" w:rsidRPr="00942C19" w:rsidRDefault="009043D4" w:rsidP="00302C12">
      <w:pPr>
        <w:pStyle w:val="Default"/>
        <w:spacing w:before="240"/>
        <w:jc w:val="both"/>
        <w:rPr>
          <w:rFonts w:asciiTheme="minorHAnsi" w:hAnsiTheme="minorHAnsi" w:cstheme="minorHAnsi"/>
          <w:bCs/>
          <w:color w:val="auto"/>
        </w:rPr>
      </w:pPr>
    </w:p>
    <w:p w:rsidR="009043D4" w:rsidRPr="00942C19" w:rsidRDefault="009043D4" w:rsidP="00A818DC">
      <w:pPr>
        <w:pStyle w:val="ListParagraph"/>
        <w:numPr>
          <w:ilvl w:val="0"/>
          <w:numId w:val="18"/>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9043D4" w:rsidRPr="00942C19" w:rsidRDefault="009043D4" w:rsidP="00302C12">
      <w:pPr>
        <w:pStyle w:val="Heading3"/>
        <w:tabs>
          <w:tab w:val="clear" w:pos="720"/>
          <w:tab w:val="clear" w:pos="936"/>
          <w:tab w:val="num" w:pos="993"/>
        </w:tabs>
        <w:spacing w:before="240" w:after="240"/>
        <w:ind w:left="993"/>
      </w:pPr>
      <w:r w:rsidRPr="00942C19">
        <w:t>The comments / suggestions submitted by Mr. J.L. Bajaj, Former Chairman, UPERC and Mr. N.P. Singh, Federation of Noida Residents Welfare Association are as under:</w:t>
      </w:r>
    </w:p>
    <w:p w:rsidR="009043D4" w:rsidRPr="00942C19" w:rsidRDefault="009043D4" w:rsidP="00302C12">
      <w:pPr>
        <w:pStyle w:val="Heading3"/>
        <w:tabs>
          <w:tab w:val="clear" w:pos="720"/>
          <w:tab w:val="clear" w:pos="936"/>
          <w:tab w:val="num" w:pos="993"/>
        </w:tabs>
        <w:spacing w:before="240" w:after="240"/>
        <w:ind w:left="993"/>
      </w:pPr>
      <w:r w:rsidRPr="00942C19">
        <w:lastRenderedPageBreak/>
        <w:t>The stakeholders suggested that the Commission should not allow uniform tariff for all Discoms with different consumer mix, AT</w:t>
      </w:r>
      <w:r w:rsidR="004A64C1" w:rsidRPr="00942C19">
        <w:t>&amp;</w:t>
      </w:r>
      <w:r w:rsidRPr="00942C19">
        <w:t>C losses, recovery and gaps between requirements and expenses</w:t>
      </w:r>
      <w:r w:rsidR="006C3BB3" w:rsidRPr="00942C19">
        <w:t>.</w:t>
      </w:r>
    </w:p>
    <w:p w:rsidR="009043D4" w:rsidRPr="00942C19" w:rsidRDefault="009043D4" w:rsidP="009043D4">
      <w:pPr>
        <w:pStyle w:val="Heading3"/>
        <w:numPr>
          <w:ilvl w:val="0"/>
          <w:numId w:val="0"/>
        </w:numPr>
        <w:ind w:left="720"/>
        <w:rPr>
          <w:rFonts w:asciiTheme="minorHAnsi" w:hAnsiTheme="minorHAnsi" w:cstheme="minorHAnsi"/>
        </w:rPr>
      </w:pPr>
    </w:p>
    <w:p w:rsidR="009043D4" w:rsidRPr="00942C19" w:rsidRDefault="002023A1" w:rsidP="00A818DC">
      <w:pPr>
        <w:pStyle w:val="Heading3"/>
        <w:numPr>
          <w:ilvl w:val="0"/>
          <w:numId w:val="18"/>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9043D4" w:rsidRPr="00942C19">
        <w:rPr>
          <w:rFonts w:asciiTheme="minorHAnsi" w:hAnsiTheme="minorHAnsi" w:cstheme="minorHAnsi"/>
          <w:b/>
          <w:i/>
        </w:rPr>
        <w:t>:</w:t>
      </w:r>
    </w:p>
    <w:p w:rsidR="009043D4" w:rsidRPr="00942C19" w:rsidRDefault="009043D4" w:rsidP="00302C12">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that the Retail Tariff within the State has been kept uniform as per guidelines provided in the Sec 8.4 (2) of the National Tariff Policy issued by Ministry of Power, Government of India.</w:t>
      </w:r>
    </w:p>
    <w:p w:rsidR="009043D4" w:rsidRPr="00942C19" w:rsidRDefault="009043D4" w:rsidP="00302C12">
      <w:pPr>
        <w:pStyle w:val="Heading3"/>
        <w:numPr>
          <w:ilvl w:val="0"/>
          <w:numId w:val="0"/>
        </w:numPr>
        <w:tabs>
          <w:tab w:val="clear" w:pos="720"/>
        </w:tabs>
        <w:spacing w:before="0"/>
        <w:ind w:left="993"/>
        <w:jc w:val="left"/>
      </w:pPr>
    </w:p>
    <w:p w:rsidR="009043D4" w:rsidRPr="00942C19" w:rsidRDefault="009043D4" w:rsidP="00A818DC">
      <w:pPr>
        <w:pStyle w:val="Heading3"/>
        <w:numPr>
          <w:ilvl w:val="0"/>
          <w:numId w:val="18"/>
        </w:numPr>
        <w:spacing w:before="0"/>
        <w:rPr>
          <w:rFonts w:asciiTheme="minorHAnsi" w:hAnsiTheme="minorHAnsi" w:cstheme="minorHAnsi"/>
          <w:b/>
          <w:i/>
        </w:rPr>
      </w:pPr>
      <w:r w:rsidRPr="00942C19">
        <w:rPr>
          <w:rFonts w:asciiTheme="minorHAnsi" w:hAnsiTheme="minorHAnsi" w:cstheme="minorHAnsi"/>
          <w:b/>
          <w:i/>
        </w:rPr>
        <w:t>The Commission’s views:</w:t>
      </w:r>
    </w:p>
    <w:p w:rsidR="009043D4" w:rsidRPr="00942C19" w:rsidRDefault="009043D4" w:rsidP="00302C12">
      <w:pPr>
        <w:pStyle w:val="Heading3"/>
        <w:tabs>
          <w:tab w:val="clear" w:pos="720"/>
          <w:tab w:val="clear" w:pos="936"/>
          <w:tab w:val="num" w:pos="993"/>
        </w:tabs>
        <w:spacing w:before="240" w:after="240"/>
        <w:ind w:left="993"/>
      </w:pPr>
      <w:r w:rsidRPr="00942C19">
        <w:t>The current tariff of consumers justifies the rationalization policy of the Commission and is totally in line with the National Tariff Policy.</w:t>
      </w:r>
    </w:p>
    <w:p w:rsidR="00F81481" w:rsidRPr="00942C19" w:rsidRDefault="00F81481" w:rsidP="00FF09B0">
      <w:pPr>
        <w:pStyle w:val="Heading3"/>
        <w:numPr>
          <w:ilvl w:val="0"/>
          <w:numId w:val="0"/>
        </w:numPr>
        <w:spacing w:before="0"/>
        <w:ind w:left="936" w:hanging="936"/>
      </w:pPr>
    </w:p>
    <w:p w:rsidR="009043D4" w:rsidRPr="00942C19" w:rsidRDefault="009043D4" w:rsidP="00A818DC">
      <w:pPr>
        <w:pStyle w:val="Heading2"/>
        <w:numPr>
          <w:ilvl w:val="1"/>
          <w:numId w:val="21"/>
        </w:numPr>
      </w:pPr>
      <w:bookmarkStart w:id="351" w:name="_Toc337201341"/>
      <w:bookmarkStart w:id="352" w:name="_Toc337459182"/>
      <w:bookmarkStart w:id="353" w:name="_Toc338354655"/>
      <w:bookmarkStart w:id="354" w:name="_Toc357356075"/>
      <w:bookmarkStart w:id="355" w:name="_Toc357714365"/>
      <w:r w:rsidRPr="00942C19">
        <w:t>CAPITAL EXPENDITURE</w:t>
      </w:r>
      <w:bookmarkEnd w:id="351"/>
      <w:bookmarkEnd w:id="352"/>
      <w:bookmarkEnd w:id="353"/>
      <w:bookmarkEnd w:id="354"/>
      <w:bookmarkEnd w:id="355"/>
      <w:r w:rsidRPr="00942C19">
        <w:t xml:space="preserve"> </w:t>
      </w:r>
    </w:p>
    <w:p w:rsidR="009043D4" w:rsidRPr="00942C19" w:rsidRDefault="009043D4" w:rsidP="009043D4">
      <w:pPr>
        <w:tabs>
          <w:tab w:val="left" w:pos="1260"/>
        </w:tabs>
        <w:ind w:left="720"/>
        <w:rPr>
          <w:rFonts w:asciiTheme="minorHAnsi" w:hAnsiTheme="minorHAnsi" w:cstheme="minorHAnsi"/>
          <w:bCs/>
        </w:rPr>
      </w:pPr>
    </w:p>
    <w:p w:rsidR="009043D4" w:rsidRPr="00942C19" w:rsidRDefault="009043D4" w:rsidP="00A818DC">
      <w:pPr>
        <w:pStyle w:val="ListParagraph"/>
        <w:numPr>
          <w:ilvl w:val="0"/>
          <w:numId w:val="14"/>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9043D4" w:rsidRPr="00942C19" w:rsidRDefault="009043D4" w:rsidP="000C0521">
      <w:pPr>
        <w:pStyle w:val="Heading3"/>
        <w:tabs>
          <w:tab w:val="clear" w:pos="720"/>
          <w:tab w:val="clear" w:pos="936"/>
          <w:tab w:val="num" w:pos="993"/>
        </w:tabs>
        <w:spacing w:before="240" w:after="240"/>
        <w:ind w:left="993"/>
      </w:pPr>
      <w:r w:rsidRPr="00942C19">
        <w:t>The comments / suggestions submitted by Mr. J.L</w:t>
      </w:r>
      <w:r w:rsidR="006C3BB3" w:rsidRPr="00942C19">
        <w:t>.</w:t>
      </w:r>
      <w:r w:rsidRPr="00942C19">
        <w:t xml:space="preserve"> Bajaj, Former Chairman, UPERC, Mr. D.S</w:t>
      </w:r>
      <w:r w:rsidR="000C0521" w:rsidRPr="00942C19">
        <w:t>.</w:t>
      </w:r>
      <w:r w:rsidRPr="00942C19">
        <w:t xml:space="preserve"> Verma, Executive Director, Indian Industries Association, are as under:</w:t>
      </w:r>
    </w:p>
    <w:p w:rsidR="009043D4" w:rsidRPr="00942C19" w:rsidRDefault="009043D4" w:rsidP="000C0521">
      <w:pPr>
        <w:pStyle w:val="Heading3"/>
        <w:tabs>
          <w:tab w:val="clear" w:pos="720"/>
          <w:tab w:val="clear" w:pos="936"/>
          <w:tab w:val="num" w:pos="993"/>
        </w:tabs>
        <w:spacing w:before="240" w:after="240"/>
        <w:ind w:left="993"/>
      </w:pPr>
      <w:r w:rsidRPr="00942C19">
        <w:t xml:space="preserve">The distribution loss reduction trajectory is ambitious but plan for its implementation is not indicated in the Petition. </w:t>
      </w:r>
    </w:p>
    <w:p w:rsidR="009043D4" w:rsidRPr="00942C19" w:rsidRDefault="009043D4" w:rsidP="000C0521">
      <w:pPr>
        <w:pStyle w:val="Heading3"/>
        <w:tabs>
          <w:tab w:val="clear" w:pos="720"/>
          <w:tab w:val="clear" w:pos="936"/>
          <w:tab w:val="num" w:pos="993"/>
        </w:tabs>
        <w:spacing w:before="240" w:after="240"/>
        <w:ind w:left="993"/>
      </w:pPr>
      <w:r w:rsidRPr="00942C19">
        <w:t xml:space="preserve">The stakeholders submitted that the distribution </w:t>
      </w:r>
      <w:r w:rsidR="009A3804" w:rsidRPr="00942C19">
        <w:t>Licensee</w:t>
      </w:r>
      <w:r w:rsidRPr="00942C19">
        <w:t xml:space="preserve"> spends </w:t>
      </w:r>
      <w:r w:rsidR="006C3BB3" w:rsidRPr="00942C19">
        <w:t>c</w:t>
      </w:r>
      <w:r w:rsidR="000D3A3C" w:rsidRPr="00942C19">
        <w:t>rore</w:t>
      </w:r>
      <w:r w:rsidR="006C3BB3" w:rsidRPr="00942C19">
        <w:t>s</w:t>
      </w:r>
      <w:r w:rsidRPr="00942C19">
        <w:t xml:space="preserve"> of rupees in procuring materials such as transformers, cables, conductors, meters etc. but due to poor quality of materials procured</w:t>
      </w:r>
      <w:r w:rsidR="000C0521" w:rsidRPr="00942C19">
        <w:t>,</w:t>
      </w:r>
      <w:r w:rsidRPr="00942C19">
        <w:t xml:space="preserve"> </w:t>
      </w:r>
      <w:r w:rsidR="006C3BB3" w:rsidRPr="00942C19">
        <w:t>c</w:t>
      </w:r>
      <w:r w:rsidR="000D3A3C" w:rsidRPr="00942C19">
        <w:t>rore</w:t>
      </w:r>
      <w:r w:rsidR="006C3BB3" w:rsidRPr="00942C19">
        <w:t>s</w:t>
      </w:r>
      <w:r w:rsidRPr="00942C19">
        <w:t xml:space="preserve"> of rupees are lost. To recover this loss from consumers is not appropriate.</w:t>
      </w:r>
    </w:p>
    <w:p w:rsidR="009043D4" w:rsidRPr="00942C19" w:rsidRDefault="009043D4" w:rsidP="000C0521">
      <w:pPr>
        <w:pStyle w:val="Heading3"/>
        <w:tabs>
          <w:tab w:val="clear" w:pos="720"/>
          <w:tab w:val="clear" w:pos="936"/>
          <w:tab w:val="num" w:pos="993"/>
        </w:tabs>
        <w:spacing w:before="240" w:after="240"/>
        <w:ind w:left="993"/>
      </w:pPr>
      <w:r w:rsidRPr="00942C19">
        <w:t>The stakeholders have submitted that right since inception of the reforms, the distribution companies have been getting enormous funds for 100% metering, system improvement, APDP, APDRP, R-APDRP, RGGVY, etc, but they have not shown any improvement and progress in terms of operational efficiency.</w:t>
      </w:r>
    </w:p>
    <w:p w:rsidR="009043D4" w:rsidRPr="00942C19" w:rsidRDefault="009043D4" w:rsidP="009043D4">
      <w:pPr>
        <w:pStyle w:val="Heading3"/>
        <w:numPr>
          <w:ilvl w:val="0"/>
          <w:numId w:val="0"/>
        </w:numPr>
        <w:ind w:left="720"/>
        <w:rPr>
          <w:rFonts w:asciiTheme="minorHAnsi" w:hAnsiTheme="minorHAnsi" w:cstheme="minorHAnsi"/>
        </w:rPr>
      </w:pPr>
    </w:p>
    <w:p w:rsidR="009043D4" w:rsidRPr="00942C19" w:rsidRDefault="002023A1" w:rsidP="00A818DC">
      <w:pPr>
        <w:pStyle w:val="Heading3"/>
        <w:numPr>
          <w:ilvl w:val="0"/>
          <w:numId w:val="14"/>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9043D4" w:rsidRPr="00942C19">
        <w:rPr>
          <w:rFonts w:asciiTheme="minorHAnsi" w:hAnsiTheme="minorHAnsi" w:cstheme="minorHAnsi"/>
          <w:b/>
          <w:i/>
        </w:rPr>
        <w:t>:</w:t>
      </w:r>
    </w:p>
    <w:p w:rsidR="009043D4" w:rsidRPr="00942C19" w:rsidRDefault="009043D4" w:rsidP="000C0521">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that they have planned a number of schemes to reduce line losses such as installation of ABC in theft prone areas, feeder separation program, special drive for checking consumer ledger and R-APDRP program.</w:t>
      </w:r>
    </w:p>
    <w:p w:rsidR="009043D4" w:rsidRPr="00942C19" w:rsidRDefault="009043D4" w:rsidP="000C0521">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submitted that </w:t>
      </w:r>
      <w:r w:rsidR="006C3BB3" w:rsidRPr="00942C19">
        <w:t>e</w:t>
      </w:r>
      <w:r w:rsidRPr="00942C19">
        <w:t xml:space="preserve">lectronic meters are being purchased to cater to the requirement of theft prevention. </w:t>
      </w:r>
    </w:p>
    <w:p w:rsidR="009043D4" w:rsidRPr="00942C19" w:rsidRDefault="009043D4" w:rsidP="000C0521">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that all materials are purchased from reputed firms through open tender and in every </w:t>
      </w:r>
      <w:proofErr w:type="gramStart"/>
      <w:r w:rsidRPr="00942C19">
        <w:t>Discom,</w:t>
      </w:r>
      <w:proofErr w:type="gramEnd"/>
      <w:r w:rsidRPr="00942C19">
        <w:t xml:space="preserve"> there is a </w:t>
      </w:r>
      <w:r w:rsidR="00906903" w:rsidRPr="00942C19">
        <w:t>C</w:t>
      </w:r>
      <w:r w:rsidRPr="00942C19">
        <w:t>ommittee for checking the quality of material. If it is found that a particular firm ha</w:t>
      </w:r>
      <w:r w:rsidR="000C0521" w:rsidRPr="00942C19">
        <w:t>s</w:t>
      </w:r>
      <w:r w:rsidRPr="00942C19">
        <w:t xml:space="preserve"> supplied poor quality material, then appropriate action is taken against that firm. At a further level, there is also an equipment </w:t>
      </w:r>
      <w:r w:rsidR="00E651F9" w:rsidRPr="00942C19">
        <w:t>Q</w:t>
      </w:r>
      <w:r w:rsidRPr="00942C19">
        <w:t xml:space="preserve">uality </w:t>
      </w:r>
      <w:r w:rsidR="00E651F9" w:rsidRPr="00942C19">
        <w:t>C</w:t>
      </w:r>
      <w:r w:rsidRPr="00942C19">
        <w:t xml:space="preserve">ontrol </w:t>
      </w:r>
      <w:r w:rsidR="00E651F9" w:rsidRPr="00942C19">
        <w:t>C</w:t>
      </w:r>
      <w:r w:rsidRPr="00942C19">
        <w:t>ommittee formed by the Commission which examines the quality of material from time to time.</w:t>
      </w:r>
    </w:p>
    <w:p w:rsidR="009043D4" w:rsidRPr="00942C19" w:rsidRDefault="009043D4" w:rsidP="000C0521">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submitted that over the years it has been able to reduce the technical and commercial losses, although not up to the expectations of the Commission. However, it is taking all possible steps to curb theft which </w:t>
      </w:r>
      <w:r w:rsidR="000C0521" w:rsidRPr="00942C19">
        <w:t>is</w:t>
      </w:r>
      <w:r w:rsidRPr="00942C19">
        <w:t xml:space="preserve"> highly prevalent across the state. </w:t>
      </w:r>
      <w:r w:rsidR="00FF09B0" w:rsidRPr="00942C19">
        <w:t>Theft prevention would be a significant measure to bring down commercial losses.</w:t>
      </w:r>
    </w:p>
    <w:p w:rsidR="009043D4" w:rsidRPr="00942C19" w:rsidRDefault="009043D4" w:rsidP="009043D4">
      <w:pPr>
        <w:pStyle w:val="Heading3"/>
        <w:numPr>
          <w:ilvl w:val="0"/>
          <w:numId w:val="0"/>
        </w:numPr>
        <w:ind w:left="720"/>
        <w:rPr>
          <w:rFonts w:asciiTheme="minorHAnsi" w:hAnsiTheme="minorHAnsi" w:cstheme="minorHAnsi"/>
        </w:rPr>
      </w:pPr>
    </w:p>
    <w:p w:rsidR="009043D4" w:rsidRPr="00942C19" w:rsidRDefault="009043D4" w:rsidP="00A818DC">
      <w:pPr>
        <w:pStyle w:val="ListParagraph"/>
        <w:numPr>
          <w:ilvl w:val="0"/>
          <w:numId w:val="14"/>
        </w:numPr>
        <w:tabs>
          <w:tab w:val="left" w:pos="1260"/>
        </w:tabs>
        <w:spacing w:before="0"/>
        <w:rPr>
          <w:rFonts w:asciiTheme="minorHAnsi" w:hAnsiTheme="minorHAnsi" w:cstheme="minorHAnsi"/>
          <w:b/>
          <w:i/>
        </w:rPr>
      </w:pPr>
      <w:r w:rsidRPr="00942C19">
        <w:rPr>
          <w:rFonts w:asciiTheme="minorHAnsi" w:hAnsiTheme="minorHAnsi" w:cstheme="minorHAnsi"/>
          <w:b/>
          <w:i/>
        </w:rPr>
        <w:t>The Commission views:</w:t>
      </w:r>
    </w:p>
    <w:p w:rsidR="009043D4" w:rsidRPr="00942C19" w:rsidRDefault="009043D4" w:rsidP="000C0521">
      <w:pPr>
        <w:pStyle w:val="Heading3"/>
        <w:tabs>
          <w:tab w:val="clear" w:pos="720"/>
          <w:tab w:val="clear" w:pos="936"/>
          <w:tab w:val="num" w:pos="993"/>
        </w:tabs>
        <w:spacing w:before="240" w:after="240"/>
        <w:ind w:left="993"/>
      </w:pPr>
      <w:r w:rsidRPr="00942C19">
        <w:t xml:space="preserve">Though the </w:t>
      </w:r>
      <w:r w:rsidR="006C3BB3" w:rsidRPr="00942C19">
        <w:t xml:space="preserve">Discoms </w:t>
      </w:r>
      <w:r w:rsidRPr="00942C19">
        <w:t>have standard procedures for material</w:t>
      </w:r>
      <w:r w:rsidR="000C0521" w:rsidRPr="00942C19">
        <w:t xml:space="preserve"> procurement</w:t>
      </w:r>
      <w:r w:rsidR="00FF09B0" w:rsidRPr="00942C19">
        <w:t>,</w:t>
      </w:r>
      <w:r w:rsidRPr="00942C19">
        <w:t xml:space="preserve"> yet</w:t>
      </w:r>
      <w:r w:rsidR="00FF09B0" w:rsidRPr="00942C19">
        <w:t>,</w:t>
      </w:r>
      <w:r w:rsidRPr="00942C19">
        <w:t xml:space="preserve"> with no control mechanism</w:t>
      </w:r>
      <w:r w:rsidR="00FF09B0" w:rsidRPr="00942C19">
        <w:t>,</w:t>
      </w:r>
      <w:r w:rsidRPr="00942C19">
        <w:t xml:space="preserve"> it is always questionable</w:t>
      </w:r>
      <w:r w:rsidR="00FF09B0" w:rsidRPr="00942C19">
        <w:t>,</w:t>
      </w:r>
      <w:r w:rsidRPr="00942C19">
        <w:t xml:space="preserve"> as to whether the procedures were strictly followed. Periodical and timely audit of books of accounts and records is one of several control mechanisms that could be adopted. The Commission has time and again directed the </w:t>
      </w:r>
      <w:r w:rsidR="009A3804" w:rsidRPr="00942C19">
        <w:t>Licensee</w:t>
      </w:r>
      <w:r w:rsidRPr="00942C19">
        <w:t xml:space="preserve"> to expedite the process of finalization and auditing of accounts as </w:t>
      </w:r>
      <w:r w:rsidR="000C0521" w:rsidRPr="00942C19">
        <w:t xml:space="preserve">it would </w:t>
      </w:r>
      <w:r w:rsidRPr="00942C19">
        <w:t>render sanctity to the procurement processes.</w:t>
      </w:r>
    </w:p>
    <w:p w:rsidR="00FF09B0" w:rsidRPr="00942C19" w:rsidRDefault="00FF09B0" w:rsidP="000C0521">
      <w:pPr>
        <w:pStyle w:val="Heading3"/>
        <w:tabs>
          <w:tab w:val="clear" w:pos="720"/>
          <w:tab w:val="clear" w:pos="936"/>
          <w:tab w:val="num" w:pos="993"/>
        </w:tabs>
        <w:spacing w:before="240" w:after="240"/>
        <w:ind w:left="993"/>
      </w:pPr>
      <w:r w:rsidRPr="00942C19">
        <w:t xml:space="preserve">The Commission is also aware of the large scale theft which is prevalent in the </w:t>
      </w:r>
      <w:r w:rsidR="00E651F9" w:rsidRPr="00942C19">
        <w:t>S</w:t>
      </w:r>
      <w:r w:rsidRPr="00942C19">
        <w:t xml:space="preserve">tate and consequent commercial losses. However, a large part of the blame is to be shouldered by the </w:t>
      </w:r>
      <w:r w:rsidR="009A3804" w:rsidRPr="00942C19">
        <w:t>Licensee</w:t>
      </w:r>
      <w:r w:rsidR="0075482C" w:rsidRPr="00942C19">
        <w:t>s</w:t>
      </w:r>
      <w:r w:rsidRPr="00942C19">
        <w:t xml:space="preserve"> themselves for their failure to curb theft.</w:t>
      </w:r>
    </w:p>
    <w:p w:rsidR="009043D4" w:rsidRPr="00942C19" w:rsidRDefault="009043D4" w:rsidP="00AE7F3A">
      <w:pPr>
        <w:pStyle w:val="Heading4"/>
        <w:numPr>
          <w:ilvl w:val="0"/>
          <w:numId w:val="0"/>
        </w:numPr>
        <w:spacing w:before="0"/>
        <w:rPr>
          <w:rFonts w:asciiTheme="minorHAnsi" w:hAnsiTheme="minorHAnsi" w:cstheme="minorHAnsi"/>
          <w:szCs w:val="24"/>
        </w:rPr>
      </w:pPr>
    </w:p>
    <w:p w:rsidR="000C0521" w:rsidRPr="00942C19" w:rsidRDefault="000C0521" w:rsidP="00AE7F3A">
      <w:pPr>
        <w:pStyle w:val="Heading4"/>
        <w:numPr>
          <w:ilvl w:val="0"/>
          <w:numId w:val="0"/>
        </w:numPr>
        <w:spacing w:before="0"/>
        <w:rPr>
          <w:rFonts w:asciiTheme="minorHAnsi" w:hAnsiTheme="minorHAnsi" w:cstheme="minorHAnsi"/>
          <w:szCs w:val="24"/>
        </w:rPr>
      </w:pPr>
    </w:p>
    <w:p w:rsidR="007C3501" w:rsidRPr="00942C19" w:rsidRDefault="007C3501" w:rsidP="00A818DC">
      <w:pPr>
        <w:pStyle w:val="Heading2"/>
        <w:numPr>
          <w:ilvl w:val="1"/>
          <w:numId w:val="21"/>
        </w:numPr>
      </w:pPr>
      <w:bookmarkStart w:id="356" w:name="_Toc337201360"/>
      <w:bookmarkStart w:id="357" w:name="_Toc337459201"/>
      <w:bookmarkStart w:id="358" w:name="_Toc338354674"/>
      <w:bookmarkStart w:id="359" w:name="_Toc357356076"/>
      <w:bookmarkStart w:id="360" w:name="_Toc357714366"/>
      <w:r w:rsidRPr="00942C19">
        <w:t>TARIFF FOR TELECOM TOWERS</w:t>
      </w:r>
      <w:bookmarkEnd w:id="356"/>
      <w:bookmarkEnd w:id="357"/>
      <w:bookmarkEnd w:id="358"/>
      <w:bookmarkEnd w:id="359"/>
      <w:bookmarkEnd w:id="360"/>
    </w:p>
    <w:p w:rsidR="007C3501" w:rsidRPr="00942C19" w:rsidRDefault="007C3501" w:rsidP="007C3501">
      <w:pPr>
        <w:pStyle w:val="Default"/>
        <w:jc w:val="both"/>
        <w:rPr>
          <w:rFonts w:asciiTheme="minorHAnsi" w:hAnsiTheme="minorHAnsi" w:cstheme="minorHAnsi"/>
          <w:bCs/>
          <w:color w:val="auto"/>
        </w:rPr>
      </w:pPr>
    </w:p>
    <w:p w:rsidR="007C3501" w:rsidRPr="00942C19" w:rsidRDefault="007C3501" w:rsidP="00A818DC">
      <w:pPr>
        <w:pStyle w:val="ListParagraph"/>
        <w:numPr>
          <w:ilvl w:val="0"/>
          <w:numId w:val="22"/>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7C3501" w:rsidRPr="00942C19" w:rsidRDefault="007C3501" w:rsidP="000C0521">
      <w:pPr>
        <w:pStyle w:val="Heading3"/>
        <w:tabs>
          <w:tab w:val="clear" w:pos="720"/>
          <w:tab w:val="clear" w:pos="936"/>
          <w:tab w:val="num" w:pos="993"/>
        </w:tabs>
        <w:spacing w:before="240" w:after="240"/>
        <w:ind w:left="993"/>
      </w:pPr>
      <w:r w:rsidRPr="00942C19">
        <w:t>The comments / objections submitted by M/s Viom Networks Limited</w:t>
      </w:r>
      <w:r w:rsidR="000C0521" w:rsidRPr="00942C19">
        <w:t xml:space="preserve"> and </w:t>
      </w:r>
      <w:r w:rsidRPr="00942C19">
        <w:t xml:space="preserve">Mr. </w:t>
      </w:r>
      <w:r w:rsidR="009A3804" w:rsidRPr="00942C19">
        <w:t>Awadhesh</w:t>
      </w:r>
      <w:r w:rsidRPr="00942C19">
        <w:t xml:space="preserve"> Kumar Verma, Chairman, </w:t>
      </w:r>
      <w:r w:rsidR="00D31494" w:rsidRPr="00942C19">
        <w:t>U.P. Rajya</w:t>
      </w:r>
      <w:r w:rsidRPr="00942C19">
        <w:t xml:space="preserve"> Vidyut Upbhokta Parishad are as under:</w:t>
      </w:r>
    </w:p>
    <w:p w:rsidR="007C3501" w:rsidRPr="00942C19" w:rsidRDefault="007C3501" w:rsidP="000C0521">
      <w:pPr>
        <w:pStyle w:val="Heading3"/>
        <w:tabs>
          <w:tab w:val="clear" w:pos="720"/>
          <w:tab w:val="clear" w:pos="936"/>
          <w:tab w:val="num" w:pos="993"/>
        </w:tabs>
        <w:spacing w:before="240" w:after="240"/>
        <w:ind w:left="993"/>
      </w:pPr>
      <w:r w:rsidRPr="00942C19">
        <w:t xml:space="preserve">The stakeholder has requested that tariff for mobile towers </w:t>
      </w:r>
      <w:proofErr w:type="gramStart"/>
      <w:r w:rsidRPr="00942C19">
        <w:t>be</w:t>
      </w:r>
      <w:proofErr w:type="gramEnd"/>
      <w:r w:rsidRPr="00942C19">
        <w:t xml:space="preserve"> specified as essential services maintenance category and its tariff may be fixed in such a manner that it is less than Non-domestic and Industrial category looking at the public interest and importance of these services as these are essential infrastructure services. </w:t>
      </w:r>
    </w:p>
    <w:p w:rsidR="007C3501" w:rsidRPr="00942C19" w:rsidRDefault="007C3501" w:rsidP="000C0521">
      <w:pPr>
        <w:pStyle w:val="Heading3"/>
        <w:tabs>
          <w:tab w:val="clear" w:pos="720"/>
          <w:tab w:val="clear" w:pos="936"/>
          <w:tab w:val="num" w:pos="993"/>
        </w:tabs>
        <w:spacing w:before="240" w:after="240"/>
        <w:ind w:left="993"/>
      </w:pPr>
      <w:r w:rsidRPr="00942C19">
        <w:t xml:space="preserve">In support of their contention, the stakeholder has cited some judgments including the APTEL judgment in Appeal No. 195 of 2009 in the matter of Mumbai International Airport Pvt. Ltd Vs Hon’ble MERC and Reliance Infrastructure Limited. The stakeholder has stated that unlike commercial and non domestic sector, telecom is a regulated sector and its tariffs are </w:t>
      </w:r>
      <w:r w:rsidR="006C3BB3" w:rsidRPr="00942C19">
        <w:t xml:space="preserve">set </w:t>
      </w:r>
      <w:r w:rsidRPr="00942C19">
        <w:t>by Telecom Regulatory Authority of India (TRAI) and it cannot be compared with commercial sector.</w:t>
      </w:r>
    </w:p>
    <w:p w:rsidR="007C3501" w:rsidRPr="00942C19" w:rsidRDefault="007C3501" w:rsidP="000C0521">
      <w:pPr>
        <w:pStyle w:val="Heading3"/>
        <w:tabs>
          <w:tab w:val="clear" w:pos="720"/>
          <w:tab w:val="clear" w:pos="936"/>
          <w:tab w:val="num" w:pos="993"/>
        </w:tabs>
        <w:spacing w:before="240" w:after="240"/>
        <w:ind w:left="993"/>
      </w:pPr>
      <w:r w:rsidRPr="00942C19">
        <w:t>One of the stakeholders has stated that the proposed new category would complicate the tariff determination for such category of consumers.</w:t>
      </w:r>
    </w:p>
    <w:p w:rsidR="007C3501" w:rsidRPr="00942C19" w:rsidRDefault="007C3501" w:rsidP="007C3501">
      <w:pPr>
        <w:pStyle w:val="Heading3"/>
        <w:numPr>
          <w:ilvl w:val="0"/>
          <w:numId w:val="0"/>
        </w:numPr>
        <w:ind w:left="720"/>
      </w:pPr>
    </w:p>
    <w:p w:rsidR="007C3501" w:rsidRPr="00942C19" w:rsidRDefault="002023A1" w:rsidP="00A818DC">
      <w:pPr>
        <w:pStyle w:val="Heading3"/>
        <w:numPr>
          <w:ilvl w:val="0"/>
          <w:numId w:val="22"/>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7C3501" w:rsidRPr="00942C19">
        <w:rPr>
          <w:b/>
          <w:i/>
        </w:rPr>
        <w:t>:</w:t>
      </w:r>
    </w:p>
    <w:p w:rsidR="007C3501" w:rsidRPr="00942C19" w:rsidRDefault="007C3501" w:rsidP="000C0521">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that the activity of consumers under this category is commercial in nature and so the category and tariff proposed for th</w:t>
      </w:r>
      <w:r w:rsidR="000C0521" w:rsidRPr="00942C19">
        <w:t>is</w:t>
      </w:r>
      <w:r w:rsidRPr="00942C19">
        <w:t xml:space="preserve"> category is justified and hence request of the stakeholder need not be considered.</w:t>
      </w:r>
    </w:p>
    <w:p w:rsidR="007C3501" w:rsidRPr="00942C19" w:rsidRDefault="007C3501" w:rsidP="007C3501">
      <w:pPr>
        <w:pStyle w:val="Heading3"/>
        <w:numPr>
          <w:ilvl w:val="0"/>
          <w:numId w:val="0"/>
        </w:numPr>
        <w:ind w:left="720"/>
      </w:pPr>
    </w:p>
    <w:p w:rsidR="007C3501" w:rsidRPr="00942C19" w:rsidRDefault="007C3501" w:rsidP="00A818DC">
      <w:pPr>
        <w:pStyle w:val="Heading3"/>
        <w:numPr>
          <w:ilvl w:val="0"/>
          <w:numId w:val="22"/>
        </w:numPr>
        <w:spacing w:before="0"/>
        <w:rPr>
          <w:b/>
          <w:i/>
        </w:rPr>
      </w:pPr>
      <w:r w:rsidRPr="00942C19">
        <w:rPr>
          <w:b/>
          <w:i/>
        </w:rPr>
        <w:t>Views of the Commission:</w:t>
      </w:r>
    </w:p>
    <w:p w:rsidR="007C3501" w:rsidRPr="00942C19" w:rsidRDefault="007C3501" w:rsidP="000C0521">
      <w:pPr>
        <w:pStyle w:val="Heading3"/>
        <w:tabs>
          <w:tab w:val="clear" w:pos="720"/>
          <w:tab w:val="clear" w:pos="936"/>
          <w:tab w:val="num" w:pos="993"/>
        </w:tabs>
        <w:spacing w:before="240" w:after="240"/>
        <w:ind w:left="993"/>
      </w:pPr>
      <w:r w:rsidRPr="00942C19">
        <w:t xml:space="preserve">The Commission does not agree with the contention of the stakeholder that telecom cannot be compared with commercial sector merely on the pretext that its tariffs are regulated. The Commission understands that the telecom companies are allowed to pass over the burden of legitimate costs through increase in tariffs to consumers. The judgment cited by the stakeholder also does not apply in the current case. </w:t>
      </w:r>
    </w:p>
    <w:p w:rsidR="007C3501" w:rsidRPr="00942C19" w:rsidRDefault="007C3501" w:rsidP="00891FE6">
      <w:pPr>
        <w:pStyle w:val="Heading3"/>
        <w:tabs>
          <w:tab w:val="clear" w:pos="720"/>
          <w:tab w:val="clear" w:pos="936"/>
          <w:tab w:val="num" w:pos="993"/>
        </w:tabs>
        <w:spacing w:before="0"/>
      </w:pPr>
      <w:r w:rsidRPr="00942C19">
        <w:t xml:space="preserve">The Commission does not agree with the proposal to create a separate category for mobile tower in this </w:t>
      </w:r>
      <w:r w:rsidR="000C0521" w:rsidRPr="00942C19">
        <w:t>T</w:t>
      </w:r>
      <w:r w:rsidRPr="00942C19">
        <w:t xml:space="preserve">ariff </w:t>
      </w:r>
      <w:r w:rsidR="000C0521" w:rsidRPr="00942C19">
        <w:t>O</w:t>
      </w:r>
      <w:r w:rsidRPr="00942C19">
        <w:t>rder</w:t>
      </w:r>
      <w:r w:rsidR="00E651F9" w:rsidRPr="00942C19">
        <w:t>.</w:t>
      </w:r>
      <w:r w:rsidRPr="00942C19">
        <w:t xml:space="preserve"> </w:t>
      </w:r>
    </w:p>
    <w:p w:rsidR="007C3501" w:rsidRPr="00942C19" w:rsidRDefault="007C3501" w:rsidP="00B303E2">
      <w:pPr>
        <w:pStyle w:val="Heading3"/>
        <w:numPr>
          <w:ilvl w:val="0"/>
          <w:numId w:val="0"/>
        </w:numPr>
      </w:pPr>
    </w:p>
    <w:p w:rsidR="00B303E2" w:rsidRPr="00942C19" w:rsidRDefault="00B303E2" w:rsidP="00B303E2">
      <w:pPr>
        <w:pStyle w:val="Heading3"/>
        <w:numPr>
          <w:ilvl w:val="0"/>
          <w:numId w:val="0"/>
        </w:numPr>
        <w:spacing w:before="0"/>
      </w:pPr>
    </w:p>
    <w:p w:rsidR="00B303E2" w:rsidRPr="00942C19" w:rsidRDefault="00B303E2" w:rsidP="00A818DC">
      <w:pPr>
        <w:pStyle w:val="Heading2"/>
        <w:numPr>
          <w:ilvl w:val="1"/>
          <w:numId w:val="21"/>
        </w:numPr>
      </w:pPr>
      <w:bookmarkStart w:id="361" w:name="_Toc357356077"/>
      <w:bookmarkStart w:id="362" w:name="_Toc357714367"/>
      <w:r w:rsidRPr="00942C19">
        <w:t>ACCOUNTING FOR FIXED ASSETS</w:t>
      </w:r>
      <w:bookmarkEnd w:id="361"/>
      <w:bookmarkEnd w:id="362"/>
    </w:p>
    <w:p w:rsidR="00B303E2" w:rsidRPr="00942C19" w:rsidRDefault="00B303E2" w:rsidP="00B303E2">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B303E2" w:rsidRPr="00942C19" w:rsidRDefault="00B303E2" w:rsidP="00A818DC">
      <w:pPr>
        <w:pStyle w:val="ListParagraph"/>
        <w:numPr>
          <w:ilvl w:val="0"/>
          <w:numId w:val="23"/>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B303E2" w:rsidRPr="00942C19" w:rsidRDefault="00B303E2" w:rsidP="00155906">
      <w:pPr>
        <w:pStyle w:val="Heading3"/>
        <w:tabs>
          <w:tab w:val="clear" w:pos="720"/>
          <w:tab w:val="clear" w:pos="936"/>
          <w:tab w:val="num" w:pos="993"/>
        </w:tabs>
        <w:spacing w:before="240" w:after="240"/>
        <w:ind w:left="993"/>
      </w:pPr>
      <w:r w:rsidRPr="00942C19">
        <w:t xml:space="preserve">The comments / objections submitted by Mr. Rama Shanker Awasthi, Lucknow </w:t>
      </w:r>
      <w:proofErr w:type="gramStart"/>
      <w:r w:rsidRPr="00942C19">
        <w:t>are</w:t>
      </w:r>
      <w:proofErr w:type="gramEnd"/>
      <w:r w:rsidRPr="00942C19">
        <w:t xml:space="preserve"> as under:</w:t>
      </w:r>
    </w:p>
    <w:p w:rsidR="00B303E2" w:rsidRPr="00942C19" w:rsidRDefault="00B303E2" w:rsidP="00155906">
      <w:pPr>
        <w:pStyle w:val="Heading3"/>
        <w:tabs>
          <w:tab w:val="clear" w:pos="720"/>
          <w:tab w:val="clear" w:pos="936"/>
          <w:tab w:val="num" w:pos="993"/>
        </w:tabs>
        <w:spacing w:before="240" w:after="240"/>
        <w:ind w:left="993"/>
      </w:pPr>
      <w:r w:rsidRPr="00942C19">
        <w:t xml:space="preserve">The stakeholder has stated that all the </w:t>
      </w:r>
      <w:r w:rsidR="003F273D" w:rsidRPr="00942C19">
        <w:t>D</w:t>
      </w:r>
      <w:r w:rsidRPr="00942C19">
        <w:t xml:space="preserve">istribution </w:t>
      </w:r>
      <w:r w:rsidR="009A3804" w:rsidRPr="00942C19">
        <w:t>Licensee</w:t>
      </w:r>
      <w:r w:rsidR="0075482C" w:rsidRPr="00942C19">
        <w:t>s</w:t>
      </w:r>
      <w:r w:rsidRPr="00942C19">
        <w:t xml:space="preserve"> except </w:t>
      </w:r>
      <w:r w:rsidR="00D31494" w:rsidRPr="00942C19">
        <w:t>KESCO</w:t>
      </w:r>
      <w:r w:rsidRPr="00942C19">
        <w:t xml:space="preserve"> have failed to provide any detail regarding fixed assets, inventories, depreciation, etc and this has been expressed by the auditors as well</w:t>
      </w:r>
      <w:r w:rsidR="003F273D" w:rsidRPr="00942C19">
        <w:t>,</w:t>
      </w:r>
      <w:r w:rsidRPr="00942C19">
        <w:t xml:space="preserve"> in their report annexed with the audited accounts.</w:t>
      </w:r>
    </w:p>
    <w:p w:rsidR="00B303E2" w:rsidRPr="00942C19" w:rsidRDefault="00B303E2" w:rsidP="00155906">
      <w:pPr>
        <w:pStyle w:val="Heading3"/>
        <w:tabs>
          <w:tab w:val="clear" w:pos="720"/>
          <w:tab w:val="clear" w:pos="936"/>
          <w:tab w:val="num" w:pos="993"/>
        </w:tabs>
        <w:spacing w:before="240" w:after="240"/>
        <w:ind w:left="993"/>
      </w:pPr>
      <w:r w:rsidRPr="00942C19">
        <w:t xml:space="preserve">The stakeholder has stated that the Commission should reject the amount of capitalisation claimed by the </w:t>
      </w:r>
      <w:r w:rsidR="009A3804" w:rsidRPr="00942C19">
        <w:t>Licensee</w:t>
      </w:r>
      <w:r w:rsidR="0075482C" w:rsidRPr="00942C19">
        <w:t>s</w:t>
      </w:r>
      <w:r w:rsidRPr="00942C19">
        <w:t xml:space="preserve"> as Clause 4.5.8 of the Distribution Tariff Regulations provide that the Commission will not accept any capitalisation that does not have work completion certificate and work is put to beneficial use of consumers.</w:t>
      </w:r>
    </w:p>
    <w:p w:rsidR="00B303E2" w:rsidRPr="00942C19" w:rsidRDefault="00B303E2" w:rsidP="00B303E2">
      <w:pPr>
        <w:pStyle w:val="Heading3"/>
        <w:numPr>
          <w:ilvl w:val="0"/>
          <w:numId w:val="0"/>
        </w:numPr>
        <w:ind w:left="720"/>
      </w:pPr>
    </w:p>
    <w:p w:rsidR="00B303E2" w:rsidRPr="00942C19" w:rsidRDefault="002023A1" w:rsidP="00A818DC">
      <w:pPr>
        <w:pStyle w:val="Heading3"/>
        <w:numPr>
          <w:ilvl w:val="0"/>
          <w:numId w:val="23"/>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B303E2" w:rsidRPr="00942C19">
        <w:rPr>
          <w:b/>
          <w:i/>
        </w:rPr>
        <w:t>:</w:t>
      </w:r>
    </w:p>
    <w:p w:rsidR="00B303E2" w:rsidRPr="00942C19" w:rsidRDefault="00B303E2" w:rsidP="00155906">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clarified the fixed asset registers could not be prepared as the </w:t>
      </w:r>
      <w:r w:rsidR="00A24A40" w:rsidRPr="00942C19">
        <w:t>Transfer Scheme</w:t>
      </w:r>
      <w:r w:rsidRPr="00942C19">
        <w:t xml:space="preserve"> is yet to be finalised. Considering this, the asset wise opening balances are yet to be finalised. Further, the </w:t>
      </w:r>
      <w:r w:rsidR="009A3804" w:rsidRPr="00942C19">
        <w:t>Licensee</w:t>
      </w:r>
      <w:r w:rsidRPr="00942C19">
        <w:t xml:space="preserve"> stated that the broad level opening balances have been adopted from the </w:t>
      </w:r>
      <w:r w:rsidR="003F273D" w:rsidRPr="00942C19">
        <w:t>T</w:t>
      </w:r>
      <w:r w:rsidRPr="00942C19">
        <w:t xml:space="preserve">ransfer </w:t>
      </w:r>
      <w:r w:rsidR="003F273D" w:rsidRPr="00942C19">
        <w:t>S</w:t>
      </w:r>
      <w:r w:rsidRPr="00942C19">
        <w:t xml:space="preserve">cheme approved by the GoUP. Further, year wise capitalisations, as provided in the audited financial statements, have been considered for tariff purposes. The same have been approved by the independent statutory auditor as well as by the CAG. The growth in the distribution network and growth in consumer base is also a testimony of the large capital investment undertaken by the </w:t>
      </w:r>
      <w:r w:rsidR="009A3804" w:rsidRPr="00942C19">
        <w:t>Licensee</w:t>
      </w:r>
      <w:r w:rsidRPr="00942C19">
        <w:t xml:space="preserve"> in the state. Hence it cannot be denied that the capital investment has not been put to beneficial use.</w:t>
      </w:r>
    </w:p>
    <w:p w:rsidR="00B303E2" w:rsidRPr="00942C19" w:rsidRDefault="00B303E2" w:rsidP="00155906">
      <w:pPr>
        <w:pStyle w:val="Heading3"/>
        <w:tabs>
          <w:tab w:val="clear" w:pos="720"/>
          <w:tab w:val="clear" w:pos="936"/>
          <w:tab w:val="num" w:pos="993"/>
        </w:tabs>
        <w:spacing w:before="240" w:after="240"/>
        <w:ind w:left="993"/>
      </w:pPr>
      <w:r w:rsidRPr="00942C19">
        <w:t xml:space="preserve">The </w:t>
      </w:r>
      <w:r w:rsidR="009A3804" w:rsidRPr="00942C19">
        <w:t>Licensee</w:t>
      </w:r>
      <w:r w:rsidRPr="00942C19">
        <w:t xml:space="preserve"> submitted that the accounting policy in relation to fixed assets is provided as part of the audited accounts. The fixed assets are shown at the value transferred as per the second </w:t>
      </w:r>
      <w:r w:rsidR="00A24A40" w:rsidRPr="00942C19">
        <w:t>Transfer Scheme</w:t>
      </w:r>
      <w:r w:rsidRPr="00942C19">
        <w:t xml:space="preserve"> as opening balance. All costs relating to the acquisition and installation of fixed assets till the date of their commissioning are capitalised in the accounts. Based on this policy, the capitalisations have been accounted for in each year’s audited accounts. The statutory auditors have expressed their confidence in this policy and have given their true and fair view to the overall balance sheet of the </w:t>
      </w:r>
      <w:r w:rsidR="009A3804" w:rsidRPr="00942C19">
        <w:t>Licensee</w:t>
      </w:r>
      <w:r w:rsidR="0075482C" w:rsidRPr="00942C19">
        <w:t>s</w:t>
      </w:r>
      <w:r w:rsidRPr="00942C19">
        <w:t>. Even the supplementary audit report of the AGUP has not found any discrepancy in this policy</w:t>
      </w:r>
    </w:p>
    <w:p w:rsidR="00B303E2" w:rsidRPr="00942C19" w:rsidRDefault="00B303E2" w:rsidP="00B303E2">
      <w:pPr>
        <w:pStyle w:val="Heading3"/>
        <w:numPr>
          <w:ilvl w:val="0"/>
          <w:numId w:val="0"/>
        </w:numPr>
        <w:spacing w:before="0"/>
        <w:ind w:left="720"/>
      </w:pPr>
    </w:p>
    <w:p w:rsidR="00B303E2" w:rsidRPr="00942C19" w:rsidRDefault="00B303E2" w:rsidP="00A818DC">
      <w:pPr>
        <w:pStyle w:val="Heading3"/>
        <w:numPr>
          <w:ilvl w:val="0"/>
          <w:numId w:val="23"/>
        </w:numPr>
        <w:spacing w:before="0"/>
        <w:rPr>
          <w:b/>
          <w:i/>
        </w:rPr>
      </w:pPr>
      <w:r w:rsidRPr="00942C19">
        <w:rPr>
          <w:b/>
          <w:i/>
        </w:rPr>
        <w:t>The Commission’s views:</w:t>
      </w:r>
    </w:p>
    <w:p w:rsidR="00B303E2" w:rsidRPr="00942C19" w:rsidRDefault="00B303E2" w:rsidP="00540A34">
      <w:pPr>
        <w:pStyle w:val="Heading3"/>
        <w:tabs>
          <w:tab w:val="clear" w:pos="720"/>
          <w:tab w:val="clear" w:pos="936"/>
          <w:tab w:val="num" w:pos="993"/>
        </w:tabs>
        <w:spacing w:before="240" w:after="240"/>
      </w:pPr>
      <w:r w:rsidRPr="00942C19">
        <w:t xml:space="preserve">The Commission has already expressed its displeasure on the non-availability of fixed asset registers of the </w:t>
      </w:r>
      <w:r w:rsidR="009A3804" w:rsidRPr="00942C19">
        <w:t>Licensee</w:t>
      </w:r>
      <w:r w:rsidRPr="00942C19">
        <w:t>. However, the Commission has initiat</w:t>
      </w:r>
      <w:r w:rsidR="00155906" w:rsidRPr="00942C19">
        <w:t>ed suo-motu</w:t>
      </w:r>
      <w:r w:rsidRPr="00942C19">
        <w:t xml:space="preserve"> proceedings for tariff determination based on its best judgment of the actual capital investments and capitalisation in the distribution segment by various </w:t>
      </w:r>
      <w:r w:rsidR="009A3804" w:rsidRPr="00942C19">
        <w:t>Licensee</w:t>
      </w:r>
      <w:r w:rsidR="0075482C" w:rsidRPr="00942C19">
        <w:t>s</w:t>
      </w:r>
      <w:r w:rsidRPr="00942C19">
        <w:t xml:space="preserve">.  </w:t>
      </w:r>
    </w:p>
    <w:p w:rsidR="00B303E2" w:rsidRPr="00942C19" w:rsidRDefault="00B303E2" w:rsidP="00540A34">
      <w:pPr>
        <w:pStyle w:val="Heading3"/>
        <w:tabs>
          <w:tab w:val="clear" w:pos="720"/>
          <w:tab w:val="clear" w:pos="936"/>
          <w:tab w:val="num" w:pos="993"/>
        </w:tabs>
        <w:spacing w:before="240" w:after="240"/>
      </w:pPr>
      <w:r w:rsidRPr="00942C19">
        <w:t xml:space="preserve">As a first step towards reprimanding the </w:t>
      </w:r>
      <w:r w:rsidR="009A3804" w:rsidRPr="00942C19">
        <w:t>Licensee</w:t>
      </w:r>
      <w:r w:rsidR="0075482C" w:rsidRPr="00942C19">
        <w:t>s</w:t>
      </w:r>
      <w:r w:rsidRPr="00942C19">
        <w:t xml:space="preserve"> over the issue of non-preparation of fixed asset registers, the Commission has </w:t>
      </w:r>
      <w:r w:rsidR="00785E17" w:rsidRPr="00942C19">
        <w:t>withheld 20% of the allowable depreciation for FY 2013-14. The same wou</w:t>
      </w:r>
      <w:r w:rsidRPr="00942C19">
        <w:t>ld be released for recovery through tariff</w:t>
      </w:r>
      <w:r w:rsidR="004A4473" w:rsidRPr="00942C19">
        <w:t>,</w:t>
      </w:r>
      <w:r w:rsidRPr="00942C19">
        <w:t xml:space="preserve"> upon submission of fixed assets registers up to the current year i.e., FY 2012-13</w:t>
      </w:r>
      <w:r w:rsidR="00906903" w:rsidRPr="00942C19">
        <w:t xml:space="preserve"> by 30</w:t>
      </w:r>
      <w:r w:rsidR="00785E17" w:rsidRPr="00942C19">
        <w:rPr>
          <w:vertAlign w:val="superscript"/>
        </w:rPr>
        <w:t>th</w:t>
      </w:r>
      <w:r w:rsidR="00906903" w:rsidRPr="00942C19">
        <w:t xml:space="preserve"> November, 2013</w:t>
      </w:r>
      <w:r w:rsidRPr="00942C19">
        <w:t xml:space="preserve">. The Commission is also not satisfied with the explanation provided that the fixed asset registers could not be prepared as the </w:t>
      </w:r>
      <w:r w:rsidR="00A24A40" w:rsidRPr="00942C19">
        <w:t>Transfer Scheme</w:t>
      </w:r>
      <w:r w:rsidRPr="00942C19">
        <w:t xml:space="preserve"> finalisation is pending. The responsibility of the </w:t>
      </w:r>
      <w:r w:rsidR="00A24A40" w:rsidRPr="00942C19">
        <w:t>Transfer Scheme</w:t>
      </w:r>
      <w:r w:rsidRPr="00942C19">
        <w:t xml:space="preserve"> finalisation also rests with the </w:t>
      </w:r>
      <w:r w:rsidR="009A3804" w:rsidRPr="00942C19">
        <w:t>Licensee</w:t>
      </w:r>
      <w:r w:rsidRPr="00942C19">
        <w:t xml:space="preserve">. The </w:t>
      </w:r>
      <w:r w:rsidR="009A3804" w:rsidRPr="00942C19">
        <w:t>Licensee</w:t>
      </w:r>
      <w:r w:rsidRPr="00942C19">
        <w:t xml:space="preserve"> need</w:t>
      </w:r>
      <w:r w:rsidR="004A64E3" w:rsidRPr="00942C19">
        <w:t>s</w:t>
      </w:r>
      <w:r w:rsidRPr="00942C19">
        <w:t xml:space="preserve"> to pursue with the GoUP to get the </w:t>
      </w:r>
      <w:r w:rsidR="00A24A40" w:rsidRPr="00942C19">
        <w:t>Transfer Scheme</w:t>
      </w:r>
      <w:r w:rsidRPr="00942C19">
        <w:t xml:space="preserve"> finalised. Nevertheless, it cannot be argued</w:t>
      </w:r>
      <w:r w:rsidR="004A4473" w:rsidRPr="00942C19">
        <w:t>,</w:t>
      </w:r>
      <w:r w:rsidRPr="00942C19">
        <w:t xml:space="preserve"> that</w:t>
      </w:r>
      <w:r w:rsidR="004A4473" w:rsidRPr="00942C19">
        <w:t xml:space="preserve"> fixed asset registers capturing at least the yearly capitalisations could always have been prepared. The Commission directs the </w:t>
      </w:r>
      <w:r w:rsidR="009A3804" w:rsidRPr="00942C19">
        <w:t>Licensee</w:t>
      </w:r>
      <w:r w:rsidR="004A4473" w:rsidRPr="00942C19">
        <w:t xml:space="preserve"> to prepare the fixed asset registers duly accounting for the yearly capitalisations from FY 2012-13 onwards. The capitalisations for the period before that may be shown on gross level basis. Upon finalisation of the </w:t>
      </w:r>
      <w:r w:rsidR="00A24A40" w:rsidRPr="00942C19">
        <w:t>Transfer Scheme</w:t>
      </w:r>
      <w:r w:rsidR="004A4473" w:rsidRPr="00942C19">
        <w:t xml:space="preserve">, the </w:t>
      </w:r>
      <w:r w:rsidR="009A3804" w:rsidRPr="00942C19">
        <w:t>Licensee</w:t>
      </w:r>
      <w:r w:rsidR="0075482C" w:rsidRPr="00942C19">
        <w:t>s</w:t>
      </w:r>
      <w:r w:rsidR="004A4473" w:rsidRPr="00942C19">
        <w:t xml:space="preserve"> may update the fixed asset registers appropriate by passing necessary adjustments.</w:t>
      </w:r>
    </w:p>
    <w:p w:rsidR="00B303E2" w:rsidRPr="00942C19" w:rsidRDefault="00B303E2" w:rsidP="00540A34">
      <w:pPr>
        <w:pStyle w:val="Heading3"/>
        <w:tabs>
          <w:tab w:val="clear" w:pos="720"/>
          <w:tab w:val="clear" w:pos="936"/>
          <w:tab w:val="num" w:pos="993"/>
        </w:tabs>
        <w:spacing w:before="240" w:after="240"/>
      </w:pPr>
      <w:r w:rsidRPr="00942C19">
        <w:t>The Commission while approving the past years capitalisation in true up orders have relied on the gross fixed asset balances as per audited accounts. While approving the investment for the FY 2013-14, the Commission has disallowed 30% of the investment proposed in the ARR Petitions.</w:t>
      </w:r>
    </w:p>
    <w:p w:rsidR="009043D4" w:rsidRPr="00942C19" w:rsidRDefault="009043D4" w:rsidP="00AD68DC">
      <w:pPr>
        <w:pStyle w:val="Heading3"/>
        <w:numPr>
          <w:ilvl w:val="0"/>
          <w:numId w:val="0"/>
        </w:numPr>
        <w:spacing w:before="0"/>
        <w:ind w:left="936" w:hanging="936"/>
      </w:pPr>
    </w:p>
    <w:p w:rsidR="004A4473" w:rsidRPr="00942C19" w:rsidRDefault="004A4473" w:rsidP="00AD68DC">
      <w:pPr>
        <w:pStyle w:val="Heading3"/>
        <w:numPr>
          <w:ilvl w:val="0"/>
          <w:numId w:val="0"/>
        </w:numPr>
        <w:spacing w:before="0"/>
        <w:ind w:left="936" w:hanging="936"/>
      </w:pPr>
    </w:p>
    <w:p w:rsidR="00AD68DC" w:rsidRPr="00942C19" w:rsidRDefault="00AD68DC" w:rsidP="00A818DC">
      <w:pPr>
        <w:pStyle w:val="Heading2"/>
        <w:numPr>
          <w:ilvl w:val="1"/>
          <w:numId w:val="21"/>
        </w:numPr>
      </w:pPr>
      <w:bookmarkStart w:id="363" w:name="_Toc357356078"/>
      <w:bookmarkStart w:id="364" w:name="_Toc357714368"/>
      <w:r w:rsidRPr="00942C19">
        <w:t>CONSUMPTION OF UNMETERED CATEGORY CONSUMERS</w:t>
      </w:r>
      <w:bookmarkEnd w:id="363"/>
      <w:bookmarkEnd w:id="364"/>
    </w:p>
    <w:p w:rsidR="00AD68DC" w:rsidRPr="00942C19" w:rsidRDefault="00AD68DC" w:rsidP="00AD68DC">
      <w:pPr>
        <w:tabs>
          <w:tab w:val="left" w:pos="1260"/>
        </w:tabs>
        <w:spacing w:before="0"/>
        <w:ind w:left="720"/>
        <w:rPr>
          <w:rFonts w:asciiTheme="minorHAnsi" w:hAnsiTheme="minorHAnsi" w:cstheme="minorHAnsi"/>
          <w:b/>
          <w:i/>
        </w:rPr>
      </w:pPr>
      <w:r w:rsidRPr="00942C19">
        <w:rPr>
          <w:rFonts w:asciiTheme="minorHAnsi" w:hAnsiTheme="minorHAnsi" w:cstheme="minorHAnsi"/>
          <w:b/>
          <w:i/>
        </w:rPr>
        <w:t xml:space="preserve"> </w:t>
      </w:r>
    </w:p>
    <w:p w:rsidR="00AD68DC" w:rsidRPr="00942C19" w:rsidRDefault="00AD68DC" w:rsidP="00A818DC">
      <w:pPr>
        <w:pStyle w:val="Heading3"/>
        <w:numPr>
          <w:ilvl w:val="0"/>
          <w:numId w:val="24"/>
        </w:numPr>
        <w:spacing w:before="0"/>
      </w:pPr>
      <w:r w:rsidRPr="00942C19">
        <w:rPr>
          <w:rFonts w:asciiTheme="minorHAnsi" w:hAnsiTheme="minorHAnsi" w:cstheme="minorHAnsi"/>
          <w:b/>
          <w:i/>
        </w:rPr>
        <w:t>Comments / Suggestions of the Public:</w:t>
      </w:r>
    </w:p>
    <w:p w:rsidR="00AD68DC" w:rsidRPr="00942C19" w:rsidRDefault="00AD68DC" w:rsidP="00AD68DC">
      <w:pPr>
        <w:pStyle w:val="Heading3"/>
        <w:numPr>
          <w:ilvl w:val="0"/>
          <w:numId w:val="0"/>
        </w:numPr>
        <w:spacing w:before="0"/>
        <w:ind w:left="936"/>
      </w:pPr>
    </w:p>
    <w:p w:rsidR="00AD68DC" w:rsidRPr="00942C19" w:rsidRDefault="00AD68DC" w:rsidP="00540A34">
      <w:pPr>
        <w:pStyle w:val="Heading3"/>
        <w:tabs>
          <w:tab w:val="clear" w:pos="720"/>
          <w:tab w:val="clear" w:pos="936"/>
          <w:tab w:val="num" w:pos="993"/>
        </w:tabs>
        <w:spacing w:before="240" w:after="240"/>
      </w:pPr>
      <w:r w:rsidRPr="00942C19">
        <w:t xml:space="preserve">The comments / objections submitted by Mr. Rama Shanker Awasthi, Lucknow </w:t>
      </w:r>
      <w:proofErr w:type="gramStart"/>
      <w:r w:rsidRPr="00942C19">
        <w:t>are</w:t>
      </w:r>
      <w:proofErr w:type="gramEnd"/>
      <w:r w:rsidRPr="00942C19">
        <w:t xml:space="preserve"> as under:</w:t>
      </w:r>
    </w:p>
    <w:p w:rsidR="00AD68DC" w:rsidRPr="00942C19" w:rsidRDefault="00AD68DC" w:rsidP="00540A34">
      <w:pPr>
        <w:pStyle w:val="Heading3"/>
        <w:tabs>
          <w:tab w:val="clear" w:pos="720"/>
          <w:tab w:val="clear" w:pos="936"/>
          <w:tab w:val="num" w:pos="993"/>
        </w:tabs>
        <w:spacing w:before="240" w:after="240"/>
      </w:pPr>
      <w:r w:rsidRPr="00942C19">
        <w:t xml:space="preserve">The stakeholder has stated the Commission should not proceed with tariff determination without strict compliance with the Clause 3.1.3 of the Distribution Tariff Regulations which provide that metering shall be completed by March 2007 and in case where exemption towards metering obligations is sought by the </w:t>
      </w:r>
      <w:r w:rsidR="009A3804" w:rsidRPr="00942C19">
        <w:t>Licensee</w:t>
      </w:r>
      <w:r w:rsidRPr="00942C19">
        <w:t xml:space="preserve"> for any consumer category, it must provide the Commission with fresh revised norms, based on fresh studies, for assessment of consumption for the unmetered categories. The sales forecasts for such unmetered categories shall be validated with norms approved by the Commission on the basis of above studies carried out by the </w:t>
      </w:r>
      <w:r w:rsidR="009A3804" w:rsidRPr="00942C19">
        <w:t>Licensee</w:t>
      </w:r>
      <w:r w:rsidRPr="00942C19">
        <w:t>.</w:t>
      </w:r>
    </w:p>
    <w:p w:rsidR="00AD68DC" w:rsidRPr="00942C19" w:rsidRDefault="00AD68DC" w:rsidP="00AD68DC">
      <w:pPr>
        <w:pStyle w:val="Heading3"/>
        <w:numPr>
          <w:ilvl w:val="0"/>
          <w:numId w:val="0"/>
        </w:numPr>
        <w:ind w:left="720"/>
      </w:pPr>
    </w:p>
    <w:p w:rsidR="00AD68DC" w:rsidRPr="00942C19" w:rsidRDefault="002023A1" w:rsidP="00A818DC">
      <w:pPr>
        <w:pStyle w:val="Heading3"/>
        <w:numPr>
          <w:ilvl w:val="0"/>
          <w:numId w:val="24"/>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AD68DC" w:rsidRPr="00942C19">
        <w:rPr>
          <w:b/>
          <w:i/>
        </w:rPr>
        <w:t>:</w:t>
      </w:r>
    </w:p>
    <w:p w:rsidR="00AD68DC" w:rsidRPr="00942C19" w:rsidRDefault="00AD68DC"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it </w:t>
      </w:r>
      <w:r w:rsidR="001828BB" w:rsidRPr="00942C19">
        <w:t>has already adequately detailed its methodology for estimation of consumption of unmetered category under the sections titled “Load Forecast and Revenue Assessment”</w:t>
      </w:r>
      <w:r w:rsidR="004A64E3" w:rsidRPr="00942C19">
        <w:t xml:space="preserve"> in its ARR / Tariff Petition.</w:t>
      </w:r>
    </w:p>
    <w:p w:rsidR="00AD68DC" w:rsidRPr="00942C19" w:rsidRDefault="00AD68DC" w:rsidP="00AD68DC">
      <w:pPr>
        <w:pStyle w:val="Heading3"/>
        <w:numPr>
          <w:ilvl w:val="0"/>
          <w:numId w:val="0"/>
        </w:numPr>
        <w:ind w:left="720"/>
      </w:pPr>
    </w:p>
    <w:p w:rsidR="00AD68DC" w:rsidRPr="00942C19" w:rsidRDefault="00785E17" w:rsidP="00A818DC">
      <w:pPr>
        <w:pStyle w:val="Heading3"/>
        <w:numPr>
          <w:ilvl w:val="0"/>
          <w:numId w:val="24"/>
        </w:numPr>
        <w:spacing w:before="0"/>
        <w:rPr>
          <w:b/>
          <w:i/>
        </w:rPr>
      </w:pPr>
      <w:r w:rsidRPr="00942C19">
        <w:rPr>
          <w:rFonts w:asciiTheme="minorHAnsi" w:hAnsiTheme="minorHAnsi" w:cstheme="minorHAnsi"/>
          <w:b/>
          <w:i/>
        </w:rPr>
        <w:t>The</w:t>
      </w:r>
      <w:r w:rsidRPr="00942C19">
        <w:rPr>
          <w:b/>
          <w:i/>
        </w:rPr>
        <w:t xml:space="preserve"> Commission’s views:</w:t>
      </w:r>
    </w:p>
    <w:p w:rsidR="003940AA" w:rsidRPr="00942C19" w:rsidRDefault="00785E17" w:rsidP="003940AA">
      <w:pPr>
        <w:pStyle w:val="Heading3"/>
        <w:tabs>
          <w:tab w:val="clear" w:pos="720"/>
          <w:tab w:val="clear" w:pos="936"/>
          <w:tab w:val="num" w:pos="993"/>
        </w:tabs>
        <w:spacing w:before="240" w:after="240"/>
      </w:pPr>
      <w:r w:rsidRPr="00942C19">
        <w:rPr>
          <w:bCs w:val="0"/>
        </w:rPr>
        <w:t xml:space="preserve">The Commission has noted the points raised by the stakeholder. It is a matter of concern and the Licensee must take up this issue very seriously. It should draw up a plan of 2 years with quarterly milestones to achieve 100% metering and submit the same within 2 months of this Order. </w:t>
      </w:r>
      <w:r w:rsidRPr="00942C19">
        <w:rPr>
          <w:rFonts w:asciiTheme="minorHAnsi" w:hAnsiTheme="minorHAnsi" w:cstheme="minorHAnsi"/>
        </w:rPr>
        <w:t xml:space="preserve">However, based on the ground realities, </w:t>
      </w:r>
      <w:r w:rsidRPr="00942C19">
        <w:rPr>
          <w:rFonts w:asciiTheme="minorHAnsi" w:hAnsiTheme="minorHAnsi" w:cs="Tahoma"/>
        </w:rPr>
        <w:t>if the Distribution Licensee seeks exemption towards its metering obligation for any particular category of consumers, it must provide the Commission revised norms, based on fresh studies, for assessment of consumption for these categories. Sales forecast for such un-metered categories shall be validated with norms approved by the Commission on the basis of above study carried out by the Licensee.</w:t>
      </w:r>
    </w:p>
    <w:p w:rsidR="00A24A40" w:rsidRPr="00942C19" w:rsidRDefault="00A24A40" w:rsidP="00AE7F3A">
      <w:pPr>
        <w:pStyle w:val="Heading3"/>
        <w:numPr>
          <w:ilvl w:val="0"/>
          <w:numId w:val="0"/>
        </w:numPr>
        <w:spacing w:before="0"/>
      </w:pPr>
    </w:p>
    <w:p w:rsidR="00AE7F3A" w:rsidRPr="00942C19" w:rsidRDefault="00AE7F3A" w:rsidP="00AE7F3A">
      <w:pPr>
        <w:pStyle w:val="Heading3"/>
        <w:numPr>
          <w:ilvl w:val="0"/>
          <w:numId w:val="0"/>
        </w:numPr>
        <w:spacing w:before="0"/>
      </w:pPr>
    </w:p>
    <w:p w:rsidR="001828BB" w:rsidRPr="00942C19" w:rsidRDefault="001828BB" w:rsidP="00A818DC">
      <w:pPr>
        <w:pStyle w:val="Heading2"/>
        <w:numPr>
          <w:ilvl w:val="1"/>
          <w:numId w:val="21"/>
        </w:numPr>
      </w:pPr>
      <w:bookmarkStart w:id="365" w:name="_Toc357356079"/>
      <w:bookmarkStart w:id="366" w:name="_Toc357714369"/>
      <w:r w:rsidRPr="00942C19">
        <w:t>REGULATORY ASSETS</w:t>
      </w:r>
      <w:bookmarkEnd w:id="365"/>
      <w:bookmarkEnd w:id="366"/>
    </w:p>
    <w:p w:rsidR="001828BB" w:rsidRPr="00942C19" w:rsidRDefault="001828BB" w:rsidP="001828BB">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1828BB" w:rsidRPr="00942C19" w:rsidRDefault="001828BB" w:rsidP="00A818DC">
      <w:pPr>
        <w:pStyle w:val="Heading3"/>
        <w:numPr>
          <w:ilvl w:val="0"/>
          <w:numId w:val="25"/>
        </w:numPr>
        <w:spacing w:before="0"/>
        <w:rPr>
          <w:rFonts w:asciiTheme="minorHAnsi" w:hAnsiTheme="minorHAnsi" w:cstheme="minorHAnsi"/>
          <w:b/>
          <w:i/>
        </w:rPr>
      </w:pPr>
      <w:r w:rsidRPr="00942C19">
        <w:rPr>
          <w:rFonts w:asciiTheme="minorHAnsi" w:hAnsiTheme="minorHAnsi" w:cstheme="minorHAnsi"/>
          <w:b/>
          <w:i/>
        </w:rPr>
        <w:t>Comments / Suggestions of the Public:</w:t>
      </w:r>
    </w:p>
    <w:p w:rsidR="001828BB" w:rsidRPr="00942C19" w:rsidRDefault="001828BB" w:rsidP="00540A34">
      <w:pPr>
        <w:pStyle w:val="Heading3"/>
        <w:tabs>
          <w:tab w:val="clear" w:pos="720"/>
          <w:tab w:val="clear" w:pos="936"/>
          <w:tab w:val="num" w:pos="993"/>
        </w:tabs>
        <w:spacing w:before="240" w:after="240"/>
      </w:pPr>
      <w:r w:rsidRPr="00942C19">
        <w:t xml:space="preserve">The comments / objections submitted by Mr. Rama Shanker Awasthi, Lucknow </w:t>
      </w:r>
      <w:proofErr w:type="gramStart"/>
      <w:r w:rsidRPr="00942C19">
        <w:t>are</w:t>
      </w:r>
      <w:proofErr w:type="gramEnd"/>
      <w:r w:rsidRPr="00942C19">
        <w:t xml:space="preserve"> as under:</w:t>
      </w:r>
    </w:p>
    <w:p w:rsidR="001828BB" w:rsidRPr="00942C19" w:rsidRDefault="001828BB" w:rsidP="00540A34">
      <w:pPr>
        <w:pStyle w:val="Heading3"/>
        <w:tabs>
          <w:tab w:val="clear" w:pos="720"/>
          <w:tab w:val="clear" w:pos="936"/>
          <w:tab w:val="num" w:pos="993"/>
        </w:tabs>
        <w:spacing w:before="240" w:after="240"/>
      </w:pPr>
      <w:r w:rsidRPr="00942C19">
        <w:t>The stakeholder has stated that as per Clause 6.12</w:t>
      </w:r>
      <w:r w:rsidR="001C6740" w:rsidRPr="00942C19">
        <w:t xml:space="preserve"> of the Distribution Tariff Regulations</w:t>
      </w:r>
      <w:r w:rsidRPr="00942C19">
        <w:t>, the Commission should reject amount of such regulatory assets exceeding three years immediately following the year in which it is created.</w:t>
      </w:r>
    </w:p>
    <w:p w:rsidR="001828BB" w:rsidRPr="00942C19" w:rsidRDefault="001828BB" w:rsidP="001828BB">
      <w:pPr>
        <w:pStyle w:val="Heading3"/>
        <w:numPr>
          <w:ilvl w:val="0"/>
          <w:numId w:val="0"/>
        </w:numPr>
        <w:ind w:left="720"/>
      </w:pPr>
    </w:p>
    <w:p w:rsidR="001828BB" w:rsidRPr="00942C19" w:rsidRDefault="002023A1" w:rsidP="00A818DC">
      <w:pPr>
        <w:pStyle w:val="Heading3"/>
        <w:numPr>
          <w:ilvl w:val="0"/>
          <w:numId w:val="25"/>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1828BB" w:rsidRPr="00942C19">
        <w:rPr>
          <w:b/>
          <w:i/>
        </w:rPr>
        <w:t>:</w:t>
      </w:r>
    </w:p>
    <w:p w:rsidR="001828BB" w:rsidRPr="00942C19" w:rsidRDefault="001828BB"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the stakeholder has interpreted the regulation wrongly. The intent of the regulations is </w:t>
      </w:r>
      <w:r w:rsidR="001C6740" w:rsidRPr="00942C19">
        <w:t xml:space="preserve">that </w:t>
      </w:r>
      <w:r w:rsidRPr="00942C19">
        <w:t>the regulatory assets have to be amortised over a maximum period of 3 (three) years from the date of their creation.</w:t>
      </w:r>
    </w:p>
    <w:p w:rsidR="001828BB" w:rsidRPr="00942C19" w:rsidRDefault="001828BB" w:rsidP="001828BB">
      <w:pPr>
        <w:pStyle w:val="Heading3"/>
        <w:numPr>
          <w:ilvl w:val="0"/>
          <w:numId w:val="0"/>
        </w:numPr>
        <w:ind w:left="720"/>
      </w:pPr>
    </w:p>
    <w:p w:rsidR="001828BB" w:rsidRPr="00942C19" w:rsidRDefault="001828BB" w:rsidP="00A818DC">
      <w:pPr>
        <w:pStyle w:val="Heading3"/>
        <w:numPr>
          <w:ilvl w:val="0"/>
          <w:numId w:val="25"/>
        </w:numPr>
        <w:spacing w:before="0"/>
        <w:rPr>
          <w:b/>
          <w:i/>
        </w:rPr>
      </w:pPr>
      <w:r w:rsidRPr="00942C19">
        <w:rPr>
          <w:rFonts w:asciiTheme="minorHAnsi" w:hAnsiTheme="minorHAnsi" w:cstheme="minorHAnsi"/>
          <w:b/>
          <w:i/>
        </w:rPr>
        <w:t>The</w:t>
      </w:r>
      <w:r w:rsidRPr="00942C19">
        <w:rPr>
          <w:b/>
          <w:i/>
        </w:rPr>
        <w:t xml:space="preserve"> Commission’s views:</w:t>
      </w:r>
    </w:p>
    <w:p w:rsidR="001828BB" w:rsidRPr="00942C19" w:rsidRDefault="001828BB" w:rsidP="00540A34">
      <w:pPr>
        <w:pStyle w:val="Heading3"/>
        <w:tabs>
          <w:tab w:val="clear" w:pos="720"/>
          <w:tab w:val="clear" w:pos="936"/>
          <w:tab w:val="num" w:pos="993"/>
        </w:tabs>
        <w:spacing w:before="240" w:after="240"/>
      </w:pPr>
      <w:r w:rsidRPr="00942C19">
        <w:t xml:space="preserve">The Commission does not agree with the interpretation of the stakeholder. The intent of the regulations is </w:t>
      </w:r>
      <w:r w:rsidR="001C6740" w:rsidRPr="00942C19">
        <w:t xml:space="preserve">that </w:t>
      </w:r>
      <w:r w:rsidRPr="00942C19">
        <w:t>the regulatory assets have to be amortised over a maximum period of 3 (three) years from the date of their creation.</w:t>
      </w:r>
    </w:p>
    <w:p w:rsidR="001828BB" w:rsidRPr="00942C19" w:rsidRDefault="001828BB" w:rsidP="00AE7F3A">
      <w:pPr>
        <w:pStyle w:val="Heading3"/>
        <w:numPr>
          <w:ilvl w:val="0"/>
          <w:numId w:val="0"/>
        </w:numPr>
        <w:spacing w:before="0"/>
      </w:pPr>
    </w:p>
    <w:p w:rsidR="00AE7F3A" w:rsidRPr="00942C19" w:rsidRDefault="00AE7F3A" w:rsidP="00AE7F3A">
      <w:pPr>
        <w:pStyle w:val="Heading3"/>
        <w:numPr>
          <w:ilvl w:val="0"/>
          <w:numId w:val="0"/>
        </w:numPr>
        <w:spacing w:before="0"/>
      </w:pPr>
    </w:p>
    <w:p w:rsidR="00F07D3A" w:rsidRPr="00942C19" w:rsidRDefault="00F07D3A" w:rsidP="00A818DC">
      <w:pPr>
        <w:pStyle w:val="Heading2"/>
        <w:numPr>
          <w:ilvl w:val="1"/>
          <w:numId w:val="21"/>
        </w:numPr>
      </w:pPr>
      <w:bookmarkStart w:id="367" w:name="_Toc357356080"/>
      <w:bookmarkStart w:id="368" w:name="_Toc357714370"/>
      <w:r w:rsidRPr="00942C19">
        <w:t>INTEREST AND FINANCE CHARGES</w:t>
      </w:r>
      <w:bookmarkEnd w:id="367"/>
      <w:bookmarkEnd w:id="368"/>
    </w:p>
    <w:p w:rsidR="00F07D3A" w:rsidRPr="00942C19" w:rsidRDefault="00F07D3A" w:rsidP="00F07D3A">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F07D3A" w:rsidRPr="00942C19" w:rsidRDefault="00F07D3A" w:rsidP="00A818DC">
      <w:pPr>
        <w:pStyle w:val="ListParagraph"/>
        <w:numPr>
          <w:ilvl w:val="0"/>
          <w:numId w:val="26"/>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F07D3A" w:rsidRPr="00942C19" w:rsidRDefault="00F07D3A" w:rsidP="00540A34">
      <w:pPr>
        <w:pStyle w:val="Heading3"/>
        <w:tabs>
          <w:tab w:val="clear" w:pos="720"/>
          <w:tab w:val="clear" w:pos="936"/>
          <w:tab w:val="num" w:pos="993"/>
        </w:tabs>
        <w:spacing w:before="240" w:after="240"/>
      </w:pPr>
      <w:r w:rsidRPr="00942C19">
        <w:t xml:space="preserve">The comments / objections submitted by Mr. Rama Shanker Awasthi, Lucknow </w:t>
      </w:r>
      <w:proofErr w:type="gramStart"/>
      <w:r w:rsidRPr="00942C19">
        <w:t>are</w:t>
      </w:r>
      <w:proofErr w:type="gramEnd"/>
      <w:r w:rsidRPr="00942C19">
        <w:t xml:space="preserve"> as under:</w:t>
      </w:r>
    </w:p>
    <w:p w:rsidR="00F07D3A" w:rsidRPr="00942C19" w:rsidRDefault="00F07D3A" w:rsidP="00540A34">
      <w:pPr>
        <w:pStyle w:val="Heading3"/>
        <w:tabs>
          <w:tab w:val="clear" w:pos="720"/>
          <w:tab w:val="clear" w:pos="936"/>
          <w:tab w:val="num" w:pos="993"/>
        </w:tabs>
        <w:spacing w:before="240" w:after="240"/>
      </w:pPr>
      <w:r w:rsidRPr="00942C19">
        <w:t xml:space="preserve">The stakeholder has stated that interest on loans for R-APDRP projects should not be allowed in tariff as the scheme formulated by the Central Government provides that the R-APDRP loans would be converted into grant in case the distribution companies achieve the target efficiency levels fixed. </w:t>
      </w:r>
    </w:p>
    <w:p w:rsidR="00F07D3A" w:rsidRPr="00942C19" w:rsidRDefault="00F07D3A" w:rsidP="00540A34">
      <w:pPr>
        <w:pStyle w:val="Heading3"/>
        <w:tabs>
          <w:tab w:val="clear" w:pos="720"/>
          <w:tab w:val="clear" w:pos="936"/>
          <w:tab w:val="num" w:pos="993"/>
        </w:tabs>
        <w:spacing w:before="240" w:after="240"/>
      </w:pPr>
      <w:r w:rsidRPr="00942C19">
        <w:t xml:space="preserve">The stakeholder has stated that the </w:t>
      </w:r>
      <w:r w:rsidR="009A3804" w:rsidRPr="00942C19">
        <w:t>Licensee</w:t>
      </w:r>
      <w:r w:rsidRPr="00942C19">
        <w:t xml:space="preserve"> ha</w:t>
      </w:r>
      <w:r w:rsidR="001C6740" w:rsidRPr="00942C19">
        <w:t>s</w:t>
      </w:r>
      <w:r w:rsidRPr="00942C19">
        <w:t xml:space="preserve"> failed to comply with Clause 4.8(c) of the Distribution Tariff Regulations because </w:t>
      </w:r>
      <w:r w:rsidR="009A3804" w:rsidRPr="00942C19">
        <w:t>Licensee</w:t>
      </w:r>
      <w:r w:rsidRPr="00942C19">
        <w:t xml:space="preserve"> ha</w:t>
      </w:r>
      <w:r w:rsidR="001C6740" w:rsidRPr="00942C19">
        <w:t>s</w:t>
      </w:r>
      <w:r w:rsidRPr="00942C19">
        <w:t xml:space="preserve"> not filed any document related to project approval granted by the Commission.</w:t>
      </w:r>
    </w:p>
    <w:p w:rsidR="00F07D3A" w:rsidRPr="00942C19" w:rsidRDefault="00F07D3A" w:rsidP="00F07D3A">
      <w:pPr>
        <w:pStyle w:val="Heading3"/>
        <w:numPr>
          <w:ilvl w:val="0"/>
          <w:numId w:val="0"/>
        </w:numPr>
        <w:ind w:left="720"/>
      </w:pPr>
    </w:p>
    <w:p w:rsidR="00F07D3A" w:rsidRPr="00942C19" w:rsidRDefault="002023A1" w:rsidP="00A818DC">
      <w:pPr>
        <w:pStyle w:val="Heading3"/>
        <w:numPr>
          <w:ilvl w:val="0"/>
          <w:numId w:val="26"/>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F07D3A" w:rsidRPr="00942C19">
        <w:rPr>
          <w:b/>
          <w:i/>
        </w:rPr>
        <w:t>:</w:t>
      </w:r>
    </w:p>
    <w:p w:rsidR="00F07D3A" w:rsidRPr="00942C19" w:rsidRDefault="00F07D3A"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it has not claimed any interest on R-APDRP loans proposed in the ARR Petitions filed by it. The </w:t>
      </w:r>
      <w:r w:rsidR="009A3804" w:rsidRPr="00942C19">
        <w:t>Licensee</w:t>
      </w:r>
      <w:r w:rsidRPr="00942C19">
        <w:t xml:space="preserve"> clarified that there is automatic approval of investments up to a threshold limit of Rs. 1 crore</w:t>
      </w:r>
      <w:r w:rsidR="00EE510D">
        <w:t>s</w:t>
      </w:r>
      <w:r w:rsidRPr="00942C19">
        <w:t xml:space="preserve"> in terms of Proviso to Clause 4.5 (2) of the Distribution Tariff Regulations.</w:t>
      </w:r>
    </w:p>
    <w:p w:rsidR="00F07D3A" w:rsidRPr="00942C19" w:rsidRDefault="00F07D3A" w:rsidP="00F07D3A">
      <w:pPr>
        <w:pStyle w:val="Heading3"/>
        <w:numPr>
          <w:ilvl w:val="0"/>
          <w:numId w:val="0"/>
        </w:numPr>
        <w:ind w:left="936"/>
      </w:pPr>
    </w:p>
    <w:p w:rsidR="00F07D3A" w:rsidRPr="00942C19" w:rsidRDefault="00F07D3A" w:rsidP="00A818DC">
      <w:pPr>
        <w:pStyle w:val="Heading3"/>
        <w:numPr>
          <w:ilvl w:val="0"/>
          <w:numId w:val="26"/>
        </w:numPr>
        <w:spacing w:before="0"/>
        <w:rPr>
          <w:b/>
          <w:i/>
        </w:rPr>
      </w:pPr>
      <w:r w:rsidRPr="00942C19">
        <w:rPr>
          <w:b/>
          <w:i/>
        </w:rPr>
        <w:t>The Commission’s views:</w:t>
      </w:r>
    </w:p>
    <w:p w:rsidR="00F07D3A" w:rsidRPr="00942C19" w:rsidRDefault="00F07D3A" w:rsidP="00540A34">
      <w:pPr>
        <w:pStyle w:val="Heading3"/>
        <w:tabs>
          <w:tab w:val="clear" w:pos="720"/>
          <w:tab w:val="clear" w:pos="936"/>
          <w:tab w:val="num" w:pos="993"/>
        </w:tabs>
        <w:spacing w:before="240" w:after="240"/>
      </w:pPr>
      <w:r w:rsidRPr="00942C19">
        <w:t xml:space="preserve">The Commission is aware of the features and administration of the funds for R-APDRP scheme. The Commission has not allowed any interest on R-APDRP related loans in the ARR. </w:t>
      </w:r>
    </w:p>
    <w:p w:rsidR="00F07D3A" w:rsidRPr="00942C19" w:rsidRDefault="00F07D3A" w:rsidP="00540A34">
      <w:pPr>
        <w:pStyle w:val="Heading3"/>
        <w:tabs>
          <w:tab w:val="clear" w:pos="720"/>
          <w:tab w:val="clear" w:pos="936"/>
          <w:tab w:val="num" w:pos="993"/>
        </w:tabs>
        <w:spacing w:before="240" w:after="240"/>
      </w:pPr>
      <w:r w:rsidRPr="00942C19">
        <w:t xml:space="preserve">As per Proviso to Clause 4.5 (2) of the Distribution Tariff Regulations, prior approval of the Commission in respect of capital investment towards projects / works below Rs. 1 </w:t>
      </w:r>
      <w:r w:rsidR="001C6740" w:rsidRPr="00942C19">
        <w:t>c</w:t>
      </w:r>
      <w:r w:rsidR="000D3A3C" w:rsidRPr="00942C19">
        <w:t>rore</w:t>
      </w:r>
      <w:r w:rsidR="00EE510D">
        <w:t>s</w:t>
      </w:r>
      <w:r w:rsidRPr="00942C19">
        <w:t xml:space="preserve"> is not required. </w:t>
      </w:r>
    </w:p>
    <w:p w:rsidR="00F07D3A" w:rsidRPr="00942C19" w:rsidRDefault="00F07D3A" w:rsidP="00540A34">
      <w:pPr>
        <w:pStyle w:val="Heading3"/>
        <w:tabs>
          <w:tab w:val="clear" w:pos="720"/>
          <w:tab w:val="clear" w:pos="936"/>
          <w:tab w:val="num" w:pos="993"/>
        </w:tabs>
        <w:spacing w:before="240" w:after="240"/>
      </w:pPr>
      <w:r w:rsidRPr="00942C19">
        <w:t xml:space="preserve">While approving the investment for the FY 2013-14, the Commission has disallowed 30% of the investment proposed in the ARR Petitions. </w:t>
      </w:r>
    </w:p>
    <w:p w:rsidR="00F07D3A" w:rsidRPr="00942C19" w:rsidRDefault="00F07D3A" w:rsidP="002A11C6">
      <w:pPr>
        <w:pStyle w:val="Heading3"/>
        <w:numPr>
          <w:ilvl w:val="0"/>
          <w:numId w:val="0"/>
        </w:numPr>
        <w:spacing w:before="0"/>
        <w:ind w:left="936"/>
      </w:pPr>
    </w:p>
    <w:p w:rsidR="002A11C6" w:rsidRPr="00942C19" w:rsidRDefault="002A11C6" w:rsidP="002A11C6">
      <w:pPr>
        <w:pStyle w:val="Heading3"/>
        <w:numPr>
          <w:ilvl w:val="0"/>
          <w:numId w:val="0"/>
        </w:numPr>
        <w:spacing w:before="0"/>
        <w:ind w:left="936"/>
      </w:pPr>
    </w:p>
    <w:p w:rsidR="002A11C6" w:rsidRPr="00942C19" w:rsidRDefault="002A11C6" w:rsidP="00A818DC">
      <w:pPr>
        <w:pStyle w:val="Heading2"/>
        <w:numPr>
          <w:ilvl w:val="1"/>
          <w:numId w:val="21"/>
        </w:numPr>
      </w:pPr>
      <w:bookmarkStart w:id="369" w:name="_Toc357356081"/>
      <w:bookmarkStart w:id="370" w:name="_Toc357714371"/>
      <w:r w:rsidRPr="00942C19">
        <w:t>SYSTEM LOADING CHARGES</w:t>
      </w:r>
      <w:bookmarkEnd w:id="369"/>
      <w:bookmarkEnd w:id="370"/>
    </w:p>
    <w:p w:rsidR="002A11C6" w:rsidRPr="00942C19" w:rsidRDefault="002A11C6" w:rsidP="002A11C6">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2A11C6" w:rsidRPr="00942C19" w:rsidRDefault="002A11C6" w:rsidP="00A818DC">
      <w:pPr>
        <w:pStyle w:val="ListParagraph"/>
        <w:numPr>
          <w:ilvl w:val="0"/>
          <w:numId w:val="27"/>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2A11C6" w:rsidRPr="00942C19" w:rsidRDefault="002A11C6" w:rsidP="00540A34">
      <w:pPr>
        <w:pStyle w:val="Heading3"/>
        <w:tabs>
          <w:tab w:val="clear" w:pos="720"/>
          <w:tab w:val="clear" w:pos="936"/>
          <w:tab w:val="num" w:pos="993"/>
        </w:tabs>
        <w:spacing w:before="240" w:after="240"/>
      </w:pPr>
      <w:r w:rsidRPr="00942C19">
        <w:t xml:space="preserve">The comments / objections submitted by Mr. Rama Shanker Awasthi, Lucknow </w:t>
      </w:r>
      <w:proofErr w:type="gramStart"/>
      <w:r w:rsidRPr="00942C19">
        <w:t>are</w:t>
      </w:r>
      <w:proofErr w:type="gramEnd"/>
      <w:r w:rsidRPr="00942C19">
        <w:t xml:space="preserve"> as under:</w:t>
      </w:r>
    </w:p>
    <w:p w:rsidR="002A11C6" w:rsidRPr="00942C19" w:rsidRDefault="002A11C6" w:rsidP="00540A34">
      <w:pPr>
        <w:pStyle w:val="Heading3"/>
        <w:tabs>
          <w:tab w:val="clear" w:pos="720"/>
          <w:tab w:val="clear" w:pos="936"/>
          <w:tab w:val="num" w:pos="993"/>
        </w:tabs>
        <w:spacing w:before="240" w:after="240"/>
      </w:pPr>
      <w:r w:rsidRPr="00942C19">
        <w:t xml:space="preserve">The stakeholder has stated that the </w:t>
      </w:r>
      <w:r w:rsidR="009A3804" w:rsidRPr="00942C19">
        <w:t>Licensee</w:t>
      </w:r>
      <w:r w:rsidRPr="00942C19">
        <w:t xml:space="preserve"> ha</w:t>
      </w:r>
      <w:r w:rsidR="001C6740" w:rsidRPr="00942C19">
        <w:t>s</w:t>
      </w:r>
      <w:r w:rsidRPr="00942C19">
        <w:t xml:space="preserve"> not shown the amounts realised towards system loading charges. The stakeholder has requested the Commission to ensure avoidance of double counting of the capital expenses carried out from system loading charges for the purpose of returns to the </w:t>
      </w:r>
      <w:r w:rsidR="009A3804" w:rsidRPr="00942C19">
        <w:t>Licensee</w:t>
      </w:r>
      <w:r w:rsidRPr="00942C19">
        <w:t xml:space="preserve"> in compliance of APTEL judgment in Appeal No. 121 of 2010.</w:t>
      </w:r>
    </w:p>
    <w:p w:rsidR="002A11C6" w:rsidRPr="00942C19" w:rsidRDefault="002A11C6" w:rsidP="002A11C6">
      <w:pPr>
        <w:pStyle w:val="Heading3"/>
        <w:numPr>
          <w:ilvl w:val="0"/>
          <w:numId w:val="0"/>
        </w:numPr>
        <w:ind w:left="720"/>
      </w:pPr>
    </w:p>
    <w:p w:rsidR="002A11C6" w:rsidRPr="00942C19" w:rsidRDefault="002023A1" w:rsidP="00A818DC">
      <w:pPr>
        <w:pStyle w:val="Heading3"/>
        <w:numPr>
          <w:ilvl w:val="0"/>
          <w:numId w:val="27"/>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2A11C6" w:rsidRPr="00942C19">
        <w:rPr>
          <w:b/>
          <w:i/>
        </w:rPr>
        <w:t>:</w:t>
      </w:r>
    </w:p>
    <w:p w:rsidR="00A04B1D" w:rsidRPr="00942C19" w:rsidRDefault="002A11C6"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it has already elaborated during the proceedings for determination of ARR / Tariff for FY 2012-13 that the system loading charges are accounted for as part of consumer contributions under Accounting Group Code 55 (AG-55). </w:t>
      </w:r>
    </w:p>
    <w:p w:rsidR="002A11C6" w:rsidRPr="00942C19" w:rsidRDefault="002A11C6"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for the purpose of claiming depreciation for FY 2013-14 has excluded the projected capital investment through consumer contributions.</w:t>
      </w:r>
    </w:p>
    <w:p w:rsidR="002A11C6" w:rsidRPr="00942C19" w:rsidRDefault="002A11C6" w:rsidP="002A11C6">
      <w:pPr>
        <w:pStyle w:val="Heading3"/>
        <w:numPr>
          <w:ilvl w:val="0"/>
          <w:numId w:val="0"/>
        </w:numPr>
        <w:ind w:left="936"/>
      </w:pPr>
    </w:p>
    <w:p w:rsidR="002A11C6" w:rsidRPr="00942C19" w:rsidRDefault="002A11C6" w:rsidP="00A818DC">
      <w:pPr>
        <w:pStyle w:val="Heading3"/>
        <w:numPr>
          <w:ilvl w:val="0"/>
          <w:numId w:val="27"/>
        </w:numPr>
        <w:spacing w:before="0"/>
        <w:rPr>
          <w:b/>
          <w:i/>
        </w:rPr>
      </w:pPr>
      <w:r w:rsidRPr="00942C19">
        <w:rPr>
          <w:b/>
          <w:i/>
        </w:rPr>
        <w:t>The Commission’s views:</w:t>
      </w:r>
    </w:p>
    <w:p w:rsidR="00E55FAD" w:rsidRPr="00942C19" w:rsidRDefault="00E55FAD" w:rsidP="00540A34">
      <w:pPr>
        <w:pStyle w:val="Heading3"/>
        <w:tabs>
          <w:tab w:val="clear" w:pos="720"/>
          <w:tab w:val="clear" w:pos="936"/>
          <w:tab w:val="num" w:pos="993"/>
        </w:tabs>
        <w:spacing w:before="240" w:after="240"/>
      </w:pPr>
      <w:r w:rsidRPr="00942C19">
        <w:t>The Commission</w:t>
      </w:r>
      <w:r w:rsidR="001C6740" w:rsidRPr="00942C19">
        <w:t>,</w:t>
      </w:r>
      <w:r w:rsidRPr="00942C19">
        <w:t xml:space="preserve"> in the proceedings for determination of ARR / Tariff for FY 2012-13, had gone into the detailed procedure for accounting of system loading charges. The Commission had observed that the system loading charges were accounted for</w:t>
      </w:r>
      <w:r w:rsidR="001C6740" w:rsidRPr="00942C19">
        <w:t xml:space="preserve"> by the Licensee</w:t>
      </w:r>
      <w:r w:rsidRPr="00942C19">
        <w:t xml:space="preserve"> as part of consumer contributions under Accounting Group Code 55 (AG-55).</w:t>
      </w:r>
    </w:p>
    <w:p w:rsidR="00E55FAD" w:rsidRPr="00942C19" w:rsidRDefault="00E55FAD" w:rsidP="00540A34">
      <w:pPr>
        <w:pStyle w:val="Heading3"/>
        <w:tabs>
          <w:tab w:val="clear" w:pos="720"/>
          <w:tab w:val="clear" w:pos="936"/>
          <w:tab w:val="num" w:pos="993"/>
        </w:tabs>
        <w:spacing w:before="240" w:after="240"/>
      </w:pPr>
      <w:r w:rsidRPr="00942C19">
        <w:t xml:space="preserve">The Commission while truing up the interest on long term loan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(including system loading charges), capital subsidies and grants has been separated as the depreciation and interest thereon would not be charged to the consumers. Allowable depreciation for the year has been considered as normative loan repayment. The actual weighted average rate as per audited accounts has been considered for computing the interest. The approved interest capitalisation has been considered at a rate equivalent to the rate as per audited accounts. </w:t>
      </w:r>
    </w:p>
    <w:p w:rsidR="00E55FAD" w:rsidRPr="00942C19" w:rsidRDefault="00E55FAD" w:rsidP="00540A34">
      <w:pPr>
        <w:pStyle w:val="Heading3"/>
        <w:tabs>
          <w:tab w:val="clear" w:pos="720"/>
          <w:tab w:val="clear" w:pos="936"/>
          <w:tab w:val="num" w:pos="993"/>
        </w:tabs>
        <w:spacing w:before="240" w:after="240"/>
      </w:pPr>
      <w:r w:rsidRPr="00942C19">
        <w:t>The same philosophy has been extended while determining the ARR / Tariff for FY 2013-14.</w:t>
      </w:r>
    </w:p>
    <w:p w:rsidR="00E55FAD" w:rsidRPr="00942C19" w:rsidRDefault="00E55FAD" w:rsidP="00540A34">
      <w:pPr>
        <w:pStyle w:val="Heading3"/>
        <w:tabs>
          <w:tab w:val="clear" w:pos="720"/>
          <w:tab w:val="clear" w:pos="936"/>
          <w:tab w:val="num" w:pos="993"/>
        </w:tabs>
        <w:spacing w:before="240" w:after="240"/>
      </w:pPr>
      <w:r w:rsidRPr="00942C19">
        <w:t xml:space="preserve">This has ensured that no charges in respect of assets created out of consumer contributions (including system loading charges), capital subsidies and grants are imposed on the consumers’ </w:t>
      </w:r>
      <w:r w:rsidR="001C6740" w:rsidRPr="00942C19">
        <w:t xml:space="preserve">beginning </w:t>
      </w:r>
      <w:r w:rsidRPr="00942C19">
        <w:t>from FY 2000-01 to FY 2013-14.</w:t>
      </w:r>
    </w:p>
    <w:p w:rsidR="00E55FAD" w:rsidRPr="00942C19" w:rsidRDefault="00E55FAD" w:rsidP="005D3AE9">
      <w:pPr>
        <w:pStyle w:val="Heading3"/>
        <w:numPr>
          <w:ilvl w:val="0"/>
          <w:numId w:val="0"/>
        </w:numPr>
        <w:spacing w:before="0"/>
        <w:ind w:left="936"/>
      </w:pPr>
    </w:p>
    <w:p w:rsidR="005D3AE9" w:rsidRPr="00942C19" w:rsidRDefault="005D3AE9" w:rsidP="005D3AE9">
      <w:pPr>
        <w:pStyle w:val="Heading3"/>
        <w:numPr>
          <w:ilvl w:val="0"/>
          <w:numId w:val="0"/>
        </w:numPr>
        <w:spacing w:before="0"/>
        <w:ind w:left="936" w:hanging="936"/>
      </w:pPr>
    </w:p>
    <w:p w:rsidR="005D3AE9" w:rsidRPr="00942C19" w:rsidRDefault="005D3AE9" w:rsidP="00A818DC">
      <w:pPr>
        <w:pStyle w:val="Heading2"/>
        <w:numPr>
          <w:ilvl w:val="1"/>
          <w:numId w:val="21"/>
        </w:numPr>
      </w:pPr>
      <w:bookmarkStart w:id="371" w:name="_Toc357356082"/>
      <w:bookmarkStart w:id="372" w:name="_Toc357714372"/>
      <w:r w:rsidRPr="00942C19">
        <w:t>BAD AND DOUBTFUL DEBTS</w:t>
      </w:r>
      <w:bookmarkEnd w:id="371"/>
      <w:bookmarkEnd w:id="372"/>
    </w:p>
    <w:p w:rsidR="005D3AE9" w:rsidRPr="00942C19" w:rsidRDefault="005D3AE9" w:rsidP="005D3AE9">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5D3AE9" w:rsidRPr="00942C19" w:rsidRDefault="005D3AE9" w:rsidP="00A818DC">
      <w:pPr>
        <w:pStyle w:val="ListParagraph"/>
        <w:numPr>
          <w:ilvl w:val="0"/>
          <w:numId w:val="28"/>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5D3AE9" w:rsidRPr="00942C19" w:rsidRDefault="005D3AE9" w:rsidP="00540A34">
      <w:pPr>
        <w:pStyle w:val="Heading3"/>
        <w:tabs>
          <w:tab w:val="clear" w:pos="720"/>
          <w:tab w:val="clear" w:pos="936"/>
          <w:tab w:val="num" w:pos="993"/>
        </w:tabs>
        <w:spacing w:before="240" w:after="240"/>
      </w:pPr>
      <w:r w:rsidRPr="00942C19">
        <w:t xml:space="preserve">The comments / objections submitted by Mr. Rama Shanker Awasthi, Lucknow </w:t>
      </w:r>
      <w:proofErr w:type="gramStart"/>
      <w:r w:rsidRPr="00942C19">
        <w:t>are</w:t>
      </w:r>
      <w:proofErr w:type="gramEnd"/>
      <w:r w:rsidRPr="00942C19">
        <w:t xml:space="preserve"> as under:</w:t>
      </w:r>
    </w:p>
    <w:p w:rsidR="005D3AE9" w:rsidRPr="00942C19" w:rsidRDefault="005D3AE9" w:rsidP="00540A34">
      <w:pPr>
        <w:pStyle w:val="Heading3"/>
        <w:tabs>
          <w:tab w:val="clear" w:pos="720"/>
          <w:tab w:val="clear" w:pos="936"/>
          <w:tab w:val="num" w:pos="993"/>
        </w:tabs>
        <w:spacing w:before="240" w:after="240"/>
      </w:pPr>
      <w:r w:rsidRPr="00942C19">
        <w:t xml:space="preserve">The stakeholder has stated that the provision for bad and doubtful debts may be disallowed to the </w:t>
      </w:r>
      <w:r w:rsidR="009A3804" w:rsidRPr="00942C19">
        <w:t>Licensee</w:t>
      </w:r>
      <w:r w:rsidRPr="00942C19">
        <w:t xml:space="preserve"> as they have failed to frame a policy </w:t>
      </w:r>
      <w:r w:rsidR="001C6740" w:rsidRPr="00942C19">
        <w:t xml:space="preserve">for </w:t>
      </w:r>
      <w:r w:rsidRPr="00942C19">
        <w:t xml:space="preserve">identification of arrears and their writing off. </w:t>
      </w:r>
    </w:p>
    <w:p w:rsidR="005D3AE9" w:rsidRPr="00942C19" w:rsidRDefault="005D3AE9" w:rsidP="005D3AE9">
      <w:pPr>
        <w:pStyle w:val="Heading3"/>
        <w:numPr>
          <w:ilvl w:val="0"/>
          <w:numId w:val="0"/>
        </w:numPr>
        <w:ind w:left="720"/>
      </w:pPr>
    </w:p>
    <w:p w:rsidR="005D3AE9" w:rsidRPr="00942C19" w:rsidRDefault="002023A1" w:rsidP="00A818DC">
      <w:pPr>
        <w:pStyle w:val="Heading3"/>
        <w:numPr>
          <w:ilvl w:val="0"/>
          <w:numId w:val="28"/>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5D3AE9" w:rsidRPr="00942C19">
        <w:rPr>
          <w:b/>
          <w:i/>
        </w:rPr>
        <w:t>:</w:t>
      </w:r>
    </w:p>
    <w:p w:rsidR="00D06665" w:rsidRPr="00942C19" w:rsidRDefault="00D06665"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such expenses are legitimate business expenses and are an accepted accounting principle even in sector like Banking where the provisioning of un-collectable dues is considered as a normal commercial practice.</w:t>
      </w:r>
    </w:p>
    <w:p w:rsidR="005D3AE9" w:rsidRPr="00942C19" w:rsidRDefault="005D3AE9"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w:t>
      </w:r>
      <w:r w:rsidR="00D06665" w:rsidRPr="00942C19">
        <w:t xml:space="preserve">has submitted that it has claimed such expenses in line with the stipulations of the </w:t>
      </w:r>
      <w:r w:rsidR="001C6740" w:rsidRPr="00942C19">
        <w:t xml:space="preserve">Distribution </w:t>
      </w:r>
      <w:r w:rsidR="00D06665" w:rsidRPr="00942C19">
        <w:t>Tariff Regulations</w:t>
      </w:r>
      <w:r w:rsidRPr="00942C19">
        <w:t>.</w:t>
      </w:r>
    </w:p>
    <w:p w:rsidR="005D3AE9" w:rsidRPr="00942C19" w:rsidRDefault="005D3AE9" w:rsidP="00D06665">
      <w:pPr>
        <w:pStyle w:val="Heading3"/>
        <w:numPr>
          <w:ilvl w:val="0"/>
          <w:numId w:val="0"/>
        </w:numPr>
        <w:ind w:left="720"/>
      </w:pPr>
    </w:p>
    <w:p w:rsidR="005D3AE9" w:rsidRPr="00942C19" w:rsidRDefault="005D3AE9" w:rsidP="00A818DC">
      <w:pPr>
        <w:pStyle w:val="Heading3"/>
        <w:numPr>
          <w:ilvl w:val="0"/>
          <w:numId w:val="28"/>
        </w:numPr>
        <w:spacing w:before="0"/>
        <w:rPr>
          <w:b/>
          <w:i/>
        </w:rPr>
      </w:pPr>
      <w:r w:rsidRPr="00942C19">
        <w:rPr>
          <w:b/>
          <w:i/>
        </w:rPr>
        <w:t>The Commission’s views:</w:t>
      </w:r>
    </w:p>
    <w:p w:rsidR="005D3AE9" w:rsidRPr="00942C19" w:rsidRDefault="005D3AE9" w:rsidP="00540A34">
      <w:pPr>
        <w:pStyle w:val="Heading3"/>
        <w:tabs>
          <w:tab w:val="clear" w:pos="720"/>
          <w:tab w:val="clear" w:pos="936"/>
          <w:tab w:val="num" w:pos="993"/>
        </w:tabs>
        <w:spacing w:before="240" w:after="240"/>
      </w:pPr>
      <w:r w:rsidRPr="00942C19">
        <w:t xml:space="preserve">The Commission in the Tariff Order has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w:t>
      </w:r>
      <w:r w:rsidR="00D06665" w:rsidRPr="00942C19">
        <w:t xml:space="preserve">has disallowed </w:t>
      </w:r>
      <w:r w:rsidRPr="00942C19">
        <w:t>the claims towards provision for bad and doubtful debts.</w:t>
      </w:r>
    </w:p>
    <w:p w:rsidR="005D3AE9" w:rsidRPr="00942C19" w:rsidRDefault="005D3AE9" w:rsidP="005A2DEB">
      <w:pPr>
        <w:pStyle w:val="Heading3"/>
        <w:numPr>
          <w:ilvl w:val="0"/>
          <w:numId w:val="0"/>
        </w:numPr>
        <w:spacing w:before="0"/>
        <w:ind w:left="936" w:hanging="936"/>
      </w:pPr>
    </w:p>
    <w:p w:rsidR="00A6232C" w:rsidRPr="00942C19" w:rsidRDefault="00A6232C" w:rsidP="005A2DEB">
      <w:pPr>
        <w:pStyle w:val="Heading3"/>
        <w:numPr>
          <w:ilvl w:val="0"/>
          <w:numId w:val="0"/>
        </w:numPr>
        <w:spacing w:before="0"/>
        <w:ind w:left="936" w:hanging="936"/>
      </w:pPr>
    </w:p>
    <w:p w:rsidR="00D06665" w:rsidRPr="00942C19" w:rsidRDefault="00D06665" w:rsidP="00A818DC">
      <w:pPr>
        <w:pStyle w:val="Heading2"/>
        <w:numPr>
          <w:ilvl w:val="1"/>
          <w:numId w:val="21"/>
        </w:numPr>
      </w:pPr>
      <w:bookmarkStart w:id="373" w:name="_Toc337201359"/>
      <w:bookmarkStart w:id="374" w:name="_Toc337459200"/>
      <w:bookmarkStart w:id="375" w:name="_Toc338354673"/>
      <w:bookmarkStart w:id="376" w:name="_Toc357356083"/>
      <w:bookmarkStart w:id="377" w:name="_Toc357714373"/>
      <w:r w:rsidRPr="00942C19">
        <w:t>INTER UNIT ADJUSTMENTS</w:t>
      </w:r>
      <w:bookmarkEnd w:id="373"/>
      <w:bookmarkEnd w:id="374"/>
      <w:bookmarkEnd w:id="375"/>
      <w:bookmarkEnd w:id="376"/>
      <w:bookmarkEnd w:id="377"/>
    </w:p>
    <w:p w:rsidR="00D06665" w:rsidRPr="00942C19" w:rsidRDefault="00D06665" w:rsidP="00D06665">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D06665" w:rsidRPr="00942C19" w:rsidRDefault="00D06665" w:rsidP="00A818DC">
      <w:pPr>
        <w:pStyle w:val="ListParagraph"/>
        <w:numPr>
          <w:ilvl w:val="0"/>
          <w:numId w:val="29"/>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D06665" w:rsidRPr="00942C19" w:rsidRDefault="00D06665" w:rsidP="00540A34">
      <w:pPr>
        <w:pStyle w:val="Heading3"/>
        <w:tabs>
          <w:tab w:val="clear" w:pos="720"/>
          <w:tab w:val="clear" w:pos="936"/>
          <w:tab w:val="num" w:pos="993"/>
        </w:tabs>
        <w:spacing w:before="240" w:after="240"/>
      </w:pPr>
      <w:r w:rsidRPr="00942C19">
        <w:t xml:space="preserve">The comments / objections submitted by </w:t>
      </w:r>
      <w:r w:rsidR="005A2DEB" w:rsidRPr="00942C19">
        <w:t xml:space="preserve">Mr. </w:t>
      </w:r>
      <w:r w:rsidRPr="00942C19">
        <w:t>Rama Shanker Awasthi, Lucknow are as under:</w:t>
      </w:r>
    </w:p>
    <w:p w:rsidR="00D06665" w:rsidRPr="00942C19" w:rsidRDefault="00D06665" w:rsidP="00540A34">
      <w:pPr>
        <w:pStyle w:val="Heading3"/>
        <w:tabs>
          <w:tab w:val="clear" w:pos="720"/>
          <w:tab w:val="clear" w:pos="936"/>
          <w:tab w:val="num" w:pos="993"/>
        </w:tabs>
        <w:spacing w:before="240" w:after="240"/>
      </w:pPr>
      <w:r w:rsidRPr="00942C19">
        <w:t xml:space="preserve">The stakeholder has expressed concerns over the increasing trend in the balance of inter-unit adjustments as per the audited accounts of the </w:t>
      </w:r>
      <w:r w:rsidR="009A3804" w:rsidRPr="00942C19">
        <w:t>Licensee</w:t>
      </w:r>
      <w:r w:rsidRPr="00942C19">
        <w:t>.</w:t>
      </w:r>
    </w:p>
    <w:p w:rsidR="00D06665" w:rsidRPr="00942C19" w:rsidRDefault="00D06665" w:rsidP="00D06665">
      <w:pPr>
        <w:pStyle w:val="Heading3"/>
        <w:numPr>
          <w:ilvl w:val="0"/>
          <w:numId w:val="0"/>
        </w:numPr>
        <w:ind w:left="720"/>
      </w:pPr>
    </w:p>
    <w:p w:rsidR="00D06665" w:rsidRPr="00942C19" w:rsidRDefault="002023A1" w:rsidP="00A818DC">
      <w:pPr>
        <w:pStyle w:val="Heading3"/>
        <w:numPr>
          <w:ilvl w:val="0"/>
          <w:numId w:val="29"/>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D06665" w:rsidRPr="00942C19">
        <w:rPr>
          <w:b/>
          <w:i/>
        </w:rPr>
        <w:t>:</w:t>
      </w:r>
    </w:p>
    <w:p w:rsidR="00D06665" w:rsidRPr="00942C19" w:rsidRDefault="00D06665"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the inter-unit adjustments are within the subsidiary companies on accounting of various accounting entries on both capital and revenue side. However, since the ARR is determined as per the principles enshrined in the Tariff Regulations, the </w:t>
      </w:r>
      <w:r w:rsidR="009A3804" w:rsidRPr="00942C19">
        <w:t>Licensee</w:t>
      </w:r>
      <w:r w:rsidRPr="00942C19">
        <w:t xml:space="preserve"> doesn’t see any merit in the stakeholder’s objections on this issue.</w:t>
      </w:r>
    </w:p>
    <w:p w:rsidR="00D06665" w:rsidRPr="00942C19" w:rsidRDefault="00D06665" w:rsidP="00D06665">
      <w:pPr>
        <w:pStyle w:val="Heading3"/>
        <w:numPr>
          <w:ilvl w:val="0"/>
          <w:numId w:val="0"/>
        </w:numPr>
        <w:ind w:left="720"/>
      </w:pPr>
    </w:p>
    <w:p w:rsidR="00D06665" w:rsidRPr="00942C19" w:rsidRDefault="00D06665" w:rsidP="00A818DC">
      <w:pPr>
        <w:pStyle w:val="Heading3"/>
        <w:numPr>
          <w:ilvl w:val="0"/>
          <w:numId w:val="29"/>
        </w:numPr>
        <w:spacing w:before="0"/>
        <w:rPr>
          <w:b/>
          <w:i/>
        </w:rPr>
      </w:pPr>
      <w:r w:rsidRPr="00942C19">
        <w:rPr>
          <w:b/>
          <w:i/>
        </w:rPr>
        <w:t>The Commission’s views:</w:t>
      </w:r>
    </w:p>
    <w:p w:rsidR="00D06665" w:rsidRPr="00942C19" w:rsidRDefault="00D06665" w:rsidP="00540A34">
      <w:pPr>
        <w:pStyle w:val="Heading3"/>
        <w:tabs>
          <w:tab w:val="clear" w:pos="720"/>
          <w:tab w:val="clear" w:pos="936"/>
          <w:tab w:val="num" w:pos="993"/>
        </w:tabs>
        <w:spacing w:before="240" w:after="240"/>
      </w:pPr>
      <w:r w:rsidRPr="00942C19">
        <w:t xml:space="preserve">The Commission has determined the tariff of the </w:t>
      </w:r>
      <w:r w:rsidR="009A3804" w:rsidRPr="00942C19">
        <w:t>Licensee</w:t>
      </w:r>
      <w:r w:rsidR="0075482C" w:rsidRPr="00942C19">
        <w:t>s</w:t>
      </w:r>
      <w:r w:rsidRPr="00942C19">
        <w:t xml:space="preserve"> as per the principles stipulated in the Tariff Regulations. However in order to rationalise the un</w:t>
      </w:r>
      <w:r w:rsidR="001C6740" w:rsidRPr="00942C19">
        <w:t>-</w:t>
      </w:r>
      <w:r w:rsidRPr="00942C19">
        <w:t xml:space="preserve">reconciled inter unit balances within the subsidiary distribution companies, directions are being issued to the </w:t>
      </w:r>
      <w:r w:rsidR="009A3804" w:rsidRPr="00942C19">
        <w:t>Licensee</w:t>
      </w:r>
      <w:r w:rsidRPr="00942C19">
        <w:t xml:space="preserve"> to take steps to reconcile the inter unit balances </w:t>
      </w:r>
      <w:r w:rsidR="001C6740" w:rsidRPr="00942C19">
        <w:t xml:space="preserve">either itself or </w:t>
      </w:r>
      <w:r w:rsidRPr="00942C19">
        <w:t>through independent chartered accountant firms.</w:t>
      </w:r>
    </w:p>
    <w:p w:rsidR="005A2DEB" w:rsidRPr="00942C19" w:rsidRDefault="005A2DEB" w:rsidP="00AE7F3A">
      <w:pPr>
        <w:pStyle w:val="Heading3"/>
        <w:numPr>
          <w:ilvl w:val="0"/>
          <w:numId w:val="0"/>
        </w:numPr>
        <w:spacing w:before="0"/>
      </w:pPr>
    </w:p>
    <w:p w:rsidR="005A2DEB" w:rsidRPr="00942C19" w:rsidRDefault="005A2DEB" w:rsidP="00AE7F3A">
      <w:pPr>
        <w:pStyle w:val="Heading3"/>
        <w:numPr>
          <w:ilvl w:val="0"/>
          <w:numId w:val="0"/>
        </w:numPr>
        <w:spacing w:before="0"/>
      </w:pPr>
    </w:p>
    <w:p w:rsidR="005A2DEB" w:rsidRPr="00942C19" w:rsidRDefault="005A2DEB" w:rsidP="00A818DC">
      <w:pPr>
        <w:pStyle w:val="Heading2"/>
        <w:numPr>
          <w:ilvl w:val="1"/>
          <w:numId w:val="21"/>
        </w:numPr>
      </w:pPr>
      <w:bookmarkStart w:id="378" w:name="_Toc357356084"/>
      <w:bookmarkStart w:id="379" w:name="_Toc357714374"/>
      <w:r w:rsidRPr="00942C19">
        <w:t>REQUEST FOR SPECIAL TARIFF FOR COLD STORAGE</w:t>
      </w:r>
      <w:bookmarkEnd w:id="378"/>
      <w:bookmarkEnd w:id="379"/>
    </w:p>
    <w:p w:rsidR="005A2DEB" w:rsidRPr="00942C19" w:rsidRDefault="005A2DEB" w:rsidP="005A2DEB">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5A2DEB" w:rsidRPr="00942C19" w:rsidRDefault="005A2DEB" w:rsidP="00A818DC">
      <w:pPr>
        <w:pStyle w:val="Heading3"/>
        <w:numPr>
          <w:ilvl w:val="0"/>
          <w:numId w:val="30"/>
        </w:numPr>
        <w:spacing w:before="0"/>
      </w:pPr>
      <w:r w:rsidRPr="00942C19">
        <w:rPr>
          <w:rFonts w:asciiTheme="minorHAnsi" w:hAnsiTheme="minorHAnsi" w:cstheme="minorHAnsi"/>
          <w:b/>
          <w:i/>
        </w:rPr>
        <w:t>Comments / Suggestions of the Public:</w:t>
      </w:r>
    </w:p>
    <w:p w:rsidR="005A2DEB" w:rsidRPr="00942C19" w:rsidRDefault="005A2DEB" w:rsidP="00540A34">
      <w:pPr>
        <w:pStyle w:val="Heading3"/>
        <w:tabs>
          <w:tab w:val="clear" w:pos="720"/>
          <w:tab w:val="clear" w:pos="936"/>
          <w:tab w:val="num" w:pos="993"/>
        </w:tabs>
        <w:spacing w:before="240" w:after="240"/>
      </w:pPr>
      <w:r w:rsidRPr="00942C19">
        <w:t>The comments / objections submitted by Mr. Mahendra Swarup, President, Cold Storage Association, Lucknow, are as under:</w:t>
      </w:r>
    </w:p>
    <w:p w:rsidR="005A2DEB" w:rsidRPr="00942C19" w:rsidRDefault="005A2DEB" w:rsidP="00540A34">
      <w:pPr>
        <w:pStyle w:val="Heading3"/>
        <w:tabs>
          <w:tab w:val="clear" w:pos="720"/>
          <w:tab w:val="clear" w:pos="936"/>
          <w:tab w:val="num" w:pos="993"/>
        </w:tabs>
        <w:spacing w:before="240" w:after="240"/>
      </w:pPr>
      <w:r w:rsidRPr="00942C19">
        <w:t xml:space="preserve">The stakeholder has requested the Commission to frame a new concessional tariff for Cold Storages on the lines of the tariff scheme framed by Maharashtra State Electricity Distribution Co. Limited (MSEDCL) which puts cold storage at par with Agricultural Tariff. The stakeholders have stated that cold storage is an agro based industry and is solely for the benefit of agriculturists. The stakeholder has stated that cold storages in Uttar Pradesh are incurring heavy losses because of high rates of electricity. The stakeholder has estimated that if the scheme proposed by them is adopted, then UPPCL would incur a loss of Rs. 125 </w:t>
      </w:r>
      <w:r w:rsidR="001C6740" w:rsidRPr="00942C19">
        <w:t xml:space="preserve">crores </w:t>
      </w:r>
      <w:r w:rsidRPr="00942C19">
        <w:t>on this account.</w:t>
      </w:r>
    </w:p>
    <w:p w:rsidR="005A2DEB" w:rsidRPr="00942C19" w:rsidRDefault="005A2DEB" w:rsidP="005A2DEB">
      <w:pPr>
        <w:pStyle w:val="Heading3"/>
        <w:numPr>
          <w:ilvl w:val="0"/>
          <w:numId w:val="0"/>
        </w:numPr>
        <w:ind w:left="720"/>
      </w:pPr>
    </w:p>
    <w:p w:rsidR="005A2DEB" w:rsidRPr="00942C19" w:rsidRDefault="002023A1" w:rsidP="00A818DC">
      <w:pPr>
        <w:pStyle w:val="Heading3"/>
        <w:numPr>
          <w:ilvl w:val="0"/>
          <w:numId w:val="30"/>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5A2DEB" w:rsidRPr="00942C19">
        <w:rPr>
          <w:b/>
          <w:i/>
        </w:rPr>
        <w:t>:</w:t>
      </w:r>
    </w:p>
    <w:p w:rsidR="005A2DEB" w:rsidRPr="00942C19" w:rsidRDefault="005A2DEB"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private cold storages run with commercial motives. The cold storages pass the incidence of their cost on to their consumers in terms of hike in the charges of their services. </w:t>
      </w:r>
    </w:p>
    <w:p w:rsidR="005A2DEB" w:rsidRPr="00942C19" w:rsidRDefault="005A2DEB" w:rsidP="00540A34">
      <w:pPr>
        <w:pStyle w:val="Heading3"/>
        <w:tabs>
          <w:tab w:val="clear" w:pos="720"/>
          <w:tab w:val="clear" w:pos="936"/>
          <w:tab w:val="num" w:pos="993"/>
        </w:tabs>
        <w:spacing w:before="240" w:after="240"/>
      </w:pPr>
      <w:r w:rsidRPr="00942C19">
        <w:t xml:space="preserve">Any move to reduce the tariff of such consumers would hurt the </w:t>
      </w:r>
      <w:r w:rsidR="001C6740" w:rsidRPr="00942C19">
        <w:t xml:space="preserve">Licensee </w:t>
      </w:r>
      <w:r w:rsidRPr="00942C19">
        <w:t>who are already reeling under severe financial crisis.</w:t>
      </w:r>
    </w:p>
    <w:p w:rsidR="00752B84" w:rsidRPr="00942C19" w:rsidRDefault="00752B84" w:rsidP="00540A34">
      <w:pPr>
        <w:pStyle w:val="Heading3"/>
        <w:tabs>
          <w:tab w:val="clear" w:pos="720"/>
          <w:tab w:val="clear" w:pos="936"/>
          <w:tab w:val="num" w:pos="993"/>
        </w:tabs>
        <w:spacing w:before="240" w:after="240"/>
      </w:pPr>
      <w:r w:rsidRPr="00942C19">
        <w:t xml:space="preserve">No subsidy is being received from the State Government towards such cold storage consumers. Hence, any reduction in their tariffs would be uncovered gap for the </w:t>
      </w:r>
      <w:r w:rsidR="009A3804" w:rsidRPr="00942C19">
        <w:t>Licensee</w:t>
      </w:r>
      <w:r w:rsidRPr="00942C19">
        <w:t>.</w:t>
      </w:r>
    </w:p>
    <w:p w:rsidR="005A2DEB" w:rsidRPr="00942C19" w:rsidRDefault="005A2DEB" w:rsidP="005A2DEB">
      <w:pPr>
        <w:pStyle w:val="Heading3"/>
        <w:numPr>
          <w:ilvl w:val="0"/>
          <w:numId w:val="0"/>
        </w:numPr>
        <w:ind w:left="720"/>
      </w:pPr>
    </w:p>
    <w:p w:rsidR="005A2DEB" w:rsidRPr="00942C19" w:rsidRDefault="005A2DEB" w:rsidP="00A818DC">
      <w:pPr>
        <w:pStyle w:val="Heading3"/>
        <w:numPr>
          <w:ilvl w:val="0"/>
          <w:numId w:val="30"/>
        </w:numPr>
        <w:spacing w:before="0"/>
        <w:rPr>
          <w:b/>
          <w:i/>
        </w:rPr>
      </w:pPr>
      <w:r w:rsidRPr="00942C19">
        <w:rPr>
          <w:b/>
          <w:i/>
        </w:rPr>
        <w:t xml:space="preserve">The </w:t>
      </w:r>
      <w:r w:rsidRPr="00942C19">
        <w:rPr>
          <w:rFonts w:asciiTheme="minorHAnsi" w:hAnsiTheme="minorHAnsi" w:cstheme="minorHAnsi"/>
          <w:b/>
          <w:i/>
        </w:rPr>
        <w:t>Commission’s</w:t>
      </w:r>
      <w:r w:rsidRPr="00942C19">
        <w:rPr>
          <w:b/>
          <w:i/>
        </w:rPr>
        <w:t xml:space="preserve"> views:</w:t>
      </w:r>
    </w:p>
    <w:p w:rsidR="005A2DEB" w:rsidRPr="00942C19" w:rsidRDefault="005A2DEB" w:rsidP="00540A34">
      <w:pPr>
        <w:pStyle w:val="Heading3"/>
        <w:tabs>
          <w:tab w:val="clear" w:pos="720"/>
          <w:tab w:val="clear" w:pos="936"/>
          <w:tab w:val="num" w:pos="993"/>
        </w:tabs>
        <w:spacing w:before="240" w:after="240"/>
      </w:pPr>
      <w:r w:rsidRPr="00942C19">
        <w:t xml:space="preserve">The </w:t>
      </w:r>
      <w:r w:rsidR="00752B84" w:rsidRPr="00942C19">
        <w:t>proposal for reduction in tariff to put it at par with agricultural tariff needs to be backed by subsidy provision by the State Government. The Commission does not see any merit in separating the tariff for cold storage from the current scheme of rate schedule.</w:t>
      </w:r>
    </w:p>
    <w:p w:rsidR="005A2DEB" w:rsidRPr="00942C19" w:rsidRDefault="005A2DEB" w:rsidP="00AE7F3A">
      <w:pPr>
        <w:pStyle w:val="Heading3"/>
        <w:numPr>
          <w:ilvl w:val="0"/>
          <w:numId w:val="0"/>
        </w:numPr>
        <w:spacing w:before="0"/>
      </w:pPr>
    </w:p>
    <w:p w:rsidR="00A6232C" w:rsidRPr="00942C19" w:rsidRDefault="00A6232C" w:rsidP="00AE7F3A">
      <w:pPr>
        <w:pStyle w:val="Heading2"/>
        <w:numPr>
          <w:ilvl w:val="0"/>
          <w:numId w:val="0"/>
        </w:numPr>
        <w:spacing w:before="0"/>
        <w:ind w:left="780"/>
      </w:pPr>
      <w:bookmarkStart w:id="380" w:name="_Toc354053168"/>
    </w:p>
    <w:p w:rsidR="00752B84" w:rsidRPr="00942C19" w:rsidRDefault="00752B84" w:rsidP="00A818DC">
      <w:pPr>
        <w:pStyle w:val="Heading2"/>
        <w:numPr>
          <w:ilvl w:val="1"/>
          <w:numId w:val="21"/>
        </w:numPr>
      </w:pPr>
      <w:bookmarkStart w:id="381" w:name="_Toc357356085"/>
      <w:bookmarkStart w:id="382" w:name="_Toc357714375"/>
      <w:r w:rsidRPr="00942C19">
        <w:t>RECOVERY OF ARREARS</w:t>
      </w:r>
      <w:bookmarkEnd w:id="380"/>
      <w:bookmarkEnd w:id="381"/>
      <w:bookmarkEnd w:id="382"/>
    </w:p>
    <w:p w:rsidR="00752B84" w:rsidRPr="00942C19" w:rsidRDefault="00752B84" w:rsidP="00752B84">
      <w:pPr>
        <w:pStyle w:val="Heading2"/>
        <w:numPr>
          <w:ilvl w:val="0"/>
          <w:numId w:val="0"/>
        </w:numPr>
        <w:ind w:left="576"/>
      </w:pPr>
    </w:p>
    <w:p w:rsidR="00752B84" w:rsidRPr="00942C19" w:rsidRDefault="00752B84" w:rsidP="00A818DC">
      <w:pPr>
        <w:pStyle w:val="ListParagraph"/>
        <w:numPr>
          <w:ilvl w:val="0"/>
          <w:numId w:val="31"/>
        </w:numPr>
        <w:spacing w:before="0"/>
        <w:rPr>
          <w:b/>
          <w:i/>
        </w:rPr>
      </w:pPr>
      <w:r w:rsidRPr="00942C19">
        <w:rPr>
          <w:b/>
          <w:i/>
        </w:rPr>
        <w:t>Comments / Suggestions of the Public</w:t>
      </w:r>
    </w:p>
    <w:p w:rsidR="00752B84" w:rsidRPr="00942C19" w:rsidRDefault="00752B84" w:rsidP="00540A34">
      <w:pPr>
        <w:pStyle w:val="Heading3"/>
        <w:tabs>
          <w:tab w:val="clear" w:pos="720"/>
          <w:tab w:val="clear" w:pos="936"/>
          <w:tab w:val="num" w:pos="993"/>
        </w:tabs>
        <w:spacing w:before="240" w:after="240"/>
      </w:pPr>
      <w:r w:rsidRPr="00942C19">
        <w:t xml:space="preserve">The comments / suggestions submitted by </w:t>
      </w:r>
      <w:r w:rsidR="00274D68" w:rsidRPr="00942C19">
        <w:t>Mr</w:t>
      </w:r>
      <w:r w:rsidR="003940AA" w:rsidRPr="00942C19">
        <w:t>.</w:t>
      </w:r>
      <w:r w:rsidR="00274D68" w:rsidRPr="00942C19">
        <w:t xml:space="preserve"> </w:t>
      </w:r>
      <w:r w:rsidRPr="00942C19">
        <w:t xml:space="preserve">R.K. Jain, Secretary, Western UP Chamber of Commerce &amp; Industry, </w:t>
      </w:r>
      <w:r w:rsidR="00274D68" w:rsidRPr="00942C19">
        <w:t xml:space="preserve">Mr. </w:t>
      </w:r>
      <w:r w:rsidRPr="00942C19">
        <w:rPr>
          <w:rFonts w:asciiTheme="minorHAnsi" w:hAnsiTheme="minorHAnsi" w:cstheme="minorHAnsi"/>
        </w:rPr>
        <w:t>Shashi Bhushan Mishra, Sachiv, Upbhokta Sanrakshan Evam Kalyan Samiti, Mathura</w:t>
      </w:r>
      <w:r w:rsidRPr="00942C19">
        <w:t xml:space="preserve">, </w:t>
      </w:r>
      <w:r w:rsidR="00274D68" w:rsidRPr="00942C19">
        <w:t xml:space="preserve">Mr. </w:t>
      </w:r>
      <w:r w:rsidRPr="00942C19">
        <w:t xml:space="preserve">Jag Mohan Lal Vaish, </w:t>
      </w:r>
      <w:r w:rsidR="00274D68" w:rsidRPr="00942C19">
        <w:t xml:space="preserve">Mr. </w:t>
      </w:r>
      <w:r w:rsidRPr="00942C19">
        <w:t xml:space="preserve">S.B. Agarwal, Secy. Gen., Associated Chambers Of Commerce and Industry of UP, </w:t>
      </w:r>
      <w:r w:rsidR="00274D68" w:rsidRPr="00942C19">
        <w:t xml:space="preserve">Mr. </w:t>
      </w:r>
      <w:r w:rsidRPr="00942C19">
        <w:t xml:space="preserve">Vishnu Bhagwan Agarwal, Chairman, National Chamber of Industries and Commerce, U.P., Mr. </w:t>
      </w:r>
      <w:r w:rsidR="009A3804" w:rsidRPr="00942C19">
        <w:t>Awadhesh</w:t>
      </w:r>
      <w:r w:rsidRPr="00942C19">
        <w:t xml:space="preserve"> Kumar Verma, Chairman, UPRVUP</w:t>
      </w:r>
      <w:r w:rsidR="00274D68" w:rsidRPr="00942C19">
        <w:t xml:space="preserve"> and</w:t>
      </w:r>
      <w:r w:rsidRPr="00942C19">
        <w:t xml:space="preserve"> </w:t>
      </w:r>
      <w:r w:rsidR="00274D68" w:rsidRPr="00942C19">
        <w:t xml:space="preserve">Mr. </w:t>
      </w:r>
      <w:r w:rsidRPr="00942C19">
        <w:t>Rama Shanker Awasthi, Lucknow, are as under:</w:t>
      </w:r>
    </w:p>
    <w:p w:rsidR="00752B84" w:rsidRPr="00942C19" w:rsidRDefault="00752B84" w:rsidP="00540A34">
      <w:pPr>
        <w:pStyle w:val="Heading3"/>
        <w:tabs>
          <w:tab w:val="clear" w:pos="720"/>
          <w:tab w:val="clear" w:pos="936"/>
          <w:tab w:val="num" w:pos="993"/>
        </w:tabs>
        <w:spacing w:before="240" w:after="240"/>
      </w:pPr>
      <w:r w:rsidRPr="00942C19">
        <w:t xml:space="preserve">The stakeholders have expressed concern over the large arrears towards receivable from sale of power as the </w:t>
      </w:r>
      <w:r w:rsidR="00186F0B" w:rsidRPr="00942C19">
        <w:t xml:space="preserve">Licensee </w:t>
      </w:r>
      <w:r w:rsidRPr="00942C19">
        <w:t>ha</w:t>
      </w:r>
      <w:r w:rsidR="00186F0B" w:rsidRPr="00942C19">
        <w:t>s</w:t>
      </w:r>
      <w:r w:rsidRPr="00942C19">
        <w:t xml:space="preserve"> failed to realise the dues from the consumers. </w:t>
      </w:r>
    </w:p>
    <w:p w:rsidR="00752B84" w:rsidRPr="00942C19" w:rsidRDefault="00752B84" w:rsidP="00540A34">
      <w:pPr>
        <w:pStyle w:val="Heading3"/>
        <w:tabs>
          <w:tab w:val="clear" w:pos="720"/>
          <w:tab w:val="clear" w:pos="936"/>
          <w:tab w:val="num" w:pos="993"/>
        </w:tabs>
        <w:spacing w:before="240" w:after="240"/>
      </w:pPr>
      <w:r w:rsidRPr="00942C19">
        <w:t xml:space="preserve">The stakeholders have purported that the </w:t>
      </w:r>
      <w:r w:rsidR="009A3804" w:rsidRPr="00942C19">
        <w:t>Licensee</w:t>
      </w:r>
      <w:r w:rsidRPr="00942C19">
        <w:t xml:space="preserve"> ha</w:t>
      </w:r>
      <w:r w:rsidR="00186F0B" w:rsidRPr="00942C19">
        <w:t>s</w:t>
      </w:r>
      <w:r w:rsidRPr="00942C19">
        <w:t xml:space="preserve"> not declared the position of arrears in the ARR filing.</w:t>
      </w:r>
    </w:p>
    <w:p w:rsidR="00752B84" w:rsidRPr="00942C19" w:rsidRDefault="00752B84" w:rsidP="00540A34">
      <w:pPr>
        <w:pStyle w:val="Heading3"/>
        <w:tabs>
          <w:tab w:val="clear" w:pos="720"/>
          <w:tab w:val="clear" w:pos="936"/>
          <w:tab w:val="num" w:pos="993"/>
        </w:tabs>
        <w:spacing w:before="240" w:after="240"/>
      </w:pPr>
      <w:r w:rsidRPr="00942C19">
        <w:t>One consumer representative organisation stated that the arrears of the distribution companies as on January</w:t>
      </w:r>
      <w:r w:rsidR="00186F0B" w:rsidRPr="00942C19">
        <w:t>,</w:t>
      </w:r>
      <w:r w:rsidRPr="00942C19">
        <w:t xml:space="preserve"> 2013 were to the tune of Rs. 27,750 </w:t>
      </w:r>
      <w:r w:rsidR="00186F0B" w:rsidRPr="00942C19">
        <w:t>c</w:t>
      </w:r>
      <w:r w:rsidR="000D3A3C" w:rsidRPr="00942C19">
        <w:t>rore</w:t>
      </w:r>
      <w:r w:rsidR="00186F0B" w:rsidRPr="00942C19">
        <w:t>s</w:t>
      </w:r>
      <w:r w:rsidRPr="00942C19">
        <w:t xml:space="preserve">, out of which the Government dues were </w:t>
      </w:r>
      <w:r w:rsidR="00186F0B" w:rsidRPr="00942C19">
        <w:t xml:space="preserve">about </w:t>
      </w:r>
      <w:r w:rsidRPr="00942C19">
        <w:t xml:space="preserve">Rs. 9,000 </w:t>
      </w:r>
      <w:r w:rsidR="00186F0B" w:rsidRPr="00942C19">
        <w:t>c</w:t>
      </w:r>
      <w:r w:rsidR="000D3A3C" w:rsidRPr="00942C19">
        <w:t>rore</w:t>
      </w:r>
      <w:r w:rsidR="00186F0B" w:rsidRPr="00942C19">
        <w:t>s</w:t>
      </w:r>
      <w:r w:rsidRPr="00942C19">
        <w:t>.</w:t>
      </w:r>
    </w:p>
    <w:p w:rsidR="00752B84" w:rsidRPr="00942C19" w:rsidRDefault="00752B84" w:rsidP="00540A34">
      <w:pPr>
        <w:pStyle w:val="Heading3"/>
        <w:tabs>
          <w:tab w:val="clear" w:pos="720"/>
          <w:tab w:val="clear" w:pos="936"/>
          <w:tab w:val="num" w:pos="993"/>
        </w:tabs>
        <w:spacing w:before="240" w:after="240"/>
      </w:pPr>
      <w:r w:rsidRPr="00942C19">
        <w:t xml:space="preserve">The stakeholders have alleged that the amount of arrears exceeds the claims made by the </w:t>
      </w:r>
      <w:r w:rsidR="009A3804" w:rsidRPr="00942C19">
        <w:t>Licensee</w:t>
      </w:r>
      <w:r w:rsidRPr="00942C19">
        <w:t xml:space="preserve"> in the ARR Petition to such an extent, such that, if all arrears are recovered, then there would be no need for passing any recoverable amounts in </w:t>
      </w:r>
      <w:r w:rsidR="00186F0B" w:rsidRPr="00942C19">
        <w:t xml:space="preserve">the </w:t>
      </w:r>
      <w:r w:rsidRPr="00942C19">
        <w:t>ARR for FY 2013-14 as they would be in surplus.</w:t>
      </w:r>
    </w:p>
    <w:p w:rsidR="00752B84" w:rsidRPr="00942C19" w:rsidRDefault="00752B84" w:rsidP="00752B84">
      <w:pPr>
        <w:pStyle w:val="ListParagraph"/>
        <w:rPr>
          <w:rFonts w:asciiTheme="minorHAnsi" w:hAnsiTheme="minorHAnsi" w:cstheme="minorHAnsi"/>
        </w:rPr>
      </w:pPr>
    </w:p>
    <w:p w:rsidR="00752B84" w:rsidRPr="00942C19" w:rsidRDefault="002023A1" w:rsidP="00A818DC">
      <w:pPr>
        <w:pStyle w:val="ListParagraph"/>
        <w:numPr>
          <w:ilvl w:val="0"/>
          <w:numId w:val="31"/>
        </w:numPr>
        <w:tabs>
          <w:tab w:val="left" w:pos="1260"/>
        </w:tabs>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752B84" w:rsidRPr="00942C19">
        <w:rPr>
          <w:rFonts w:asciiTheme="minorHAnsi" w:hAnsiTheme="minorHAnsi" w:cstheme="minorHAnsi"/>
          <w:b/>
          <w:i/>
        </w:rPr>
        <w:t>:</w:t>
      </w:r>
    </w:p>
    <w:p w:rsidR="00752B84" w:rsidRPr="00942C19" w:rsidRDefault="00752B84"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arrear in the books of accounts include a huge amount against the consumers whose permanent disconnection are pending for final settlement. Further in the past, One Time Settlement schemes were launched, wherein old arrears were settled; but in some cases the arrears are still shown in commercial records. Further true-up </w:t>
      </w:r>
      <w:r w:rsidR="00274D68" w:rsidRPr="00942C19">
        <w:t xml:space="preserve">petitions up to FY 2010-11 (FY 2011-12 in case of </w:t>
      </w:r>
      <w:r w:rsidR="00D31494" w:rsidRPr="00942C19">
        <w:t>KESCO</w:t>
      </w:r>
      <w:r w:rsidR="00274D68" w:rsidRPr="00942C19">
        <w:t>) ha</w:t>
      </w:r>
      <w:r w:rsidR="00186F0B" w:rsidRPr="00942C19">
        <w:t>ve</w:t>
      </w:r>
      <w:r w:rsidR="00274D68" w:rsidRPr="00942C19">
        <w:t xml:space="preserve"> already been filed </w:t>
      </w:r>
      <w:r w:rsidRPr="00942C19">
        <w:t>on the basis of audited accounts</w:t>
      </w:r>
      <w:r w:rsidR="00274D68" w:rsidRPr="00942C19">
        <w:t>,</w:t>
      </w:r>
      <w:r w:rsidRPr="00942C19">
        <w:t xml:space="preserve"> so every concern of the consumers would be taken care of in yearly calculation which will depict the correct picture of the revenue and expenditure. The Tariff and True-up </w:t>
      </w:r>
      <w:r w:rsidR="00186F0B" w:rsidRPr="00942C19">
        <w:t>P</w:t>
      </w:r>
      <w:r w:rsidRPr="00942C19">
        <w:t>etition</w:t>
      </w:r>
      <w:r w:rsidR="00274D68" w:rsidRPr="00942C19">
        <w:t>s</w:t>
      </w:r>
      <w:r w:rsidRPr="00942C19">
        <w:t xml:space="preserve"> ha</w:t>
      </w:r>
      <w:r w:rsidR="00274D68" w:rsidRPr="00942C19">
        <w:t>ve</w:t>
      </w:r>
      <w:r w:rsidRPr="00942C19">
        <w:t xml:space="preserve"> been filed in accordance with the Tariff Regulations. The burden of arrears and the recovery thereof</w:t>
      </w:r>
      <w:r w:rsidR="00186F0B" w:rsidRPr="00942C19">
        <w:t>,</w:t>
      </w:r>
      <w:r w:rsidRPr="00942C19">
        <w:t xml:space="preserve"> if any</w:t>
      </w:r>
      <w:r w:rsidR="00186F0B" w:rsidRPr="00942C19">
        <w:t>,</w:t>
      </w:r>
      <w:r w:rsidRPr="00942C19">
        <w:t xml:space="preserve"> would have no impact of the allowable True-up and ARR of any year.</w:t>
      </w:r>
    </w:p>
    <w:p w:rsidR="00752B84" w:rsidRPr="00942C19" w:rsidRDefault="00752B84" w:rsidP="00540A34">
      <w:pPr>
        <w:pStyle w:val="Heading3"/>
        <w:tabs>
          <w:tab w:val="clear" w:pos="720"/>
          <w:tab w:val="clear" w:pos="936"/>
          <w:tab w:val="num" w:pos="993"/>
        </w:tabs>
        <w:spacing w:before="240" w:after="240"/>
      </w:pPr>
      <w:r w:rsidRPr="00942C19">
        <w:t xml:space="preserve">Further, the </w:t>
      </w:r>
      <w:r w:rsidR="00274D68" w:rsidRPr="00942C19">
        <w:t xml:space="preserve">ARR / Tariff for FY 2013-14 would be determined by the Commission backed by audited accounts </w:t>
      </w:r>
      <w:r w:rsidRPr="00942C19">
        <w:t xml:space="preserve">which reflect true and fair view of the financial transaction. Further this exercise will be carried on yearly basis which will take care of the concern of the </w:t>
      </w:r>
      <w:r w:rsidR="00186F0B" w:rsidRPr="00942C19">
        <w:t>stakeholders</w:t>
      </w:r>
      <w:r w:rsidRPr="00942C19">
        <w:t xml:space="preserve">. </w:t>
      </w:r>
    </w:p>
    <w:p w:rsidR="00752B84" w:rsidRPr="00942C19" w:rsidRDefault="00752B84" w:rsidP="00752B84">
      <w:pPr>
        <w:pStyle w:val="Heading3"/>
        <w:numPr>
          <w:ilvl w:val="0"/>
          <w:numId w:val="0"/>
        </w:numPr>
        <w:ind w:left="936"/>
      </w:pPr>
      <w:r w:rsidRPr="00942C19">
        <w:t xml:space="preserve"> </w:t>
      </w:r>
    </w:p>
    <w:p w:rsidR="00752B84" w:rsidRPr="00942C19" w:rsidRDefault="00752B84" w:rsidP="00A818DC">
      <w:pPr>
        <w:pStyle w:val="ListParagraph"/>
        <w:numPr>
          <w:ilvl w:val="0"/>
          <w:numId w:val="31"/>
        </w:numPr>
        <w:tabs>
          <w:tab w:val="left" w:pos="1260"/>
        </w:tabs>
        <w:spacing w:before="0"/>
        <w:rPr>
          <w:rFonts w:asciiTheme="minorHAnsi" w:hAnsiTheme="minorHAnsi" w:cstheme="minorHAnsi"/>
          <w:b/>
          <w:i/>
        </w:rPr>
      </w:pPr>
      <w:r w:rsidRPr="00942C19">
        <w:rPr>
          <w:rFonts w:asciiTheme="minorHAnsi" w:hAnsiTheme="minorHAnsi" w:cstheme="minorHAnsi"/>
          <w:b/>
          <w:i/>
        </w:rPr>
        <w:t>The Commission’s view:</w:t>
      </w:r>
    </w:p>
    <w:p w:rsidR="00752B84" w:rsidRPr="00942C19" w:rsidRDefault="00752B84" w:rsidP="00540A34">
      <w:pPr>
        <w:pStyle w:val="Heading3"/>
        <w:tabs>
          <w:tab w:val="clear" w:pos="720"/>
          <w:tab w:val="clear" w:pos="936"/>
          <w:tab w:val="num" w:pos="993"/>
        </w:tabs>
        <w:spacing w:before="240" w:after="240"/>
      </w:pPr>
      <w:r w:rsidRPr="00942C19">
        <w:t xml:space="preserve">The tariff of the </w:t>
      </w:r>
      <w:r w:rsidR="00186F0B" w:rsidRPr="00942C19">
        <w:t>D</w:t>
      </w:r>
      <w:r w:rsidRPr="00942C19">
        <w:t xml:space="preserve">istribution </w:t>
      </w:r>
      <w:r w:rsidR="009A3804" w:rsidRPr="00942C19">
        <w:t>Licensee</w:t>
      </w:r>
      <w:r w:rsidRPr="00942C19">
        <w:t xml:space="preserve"> is determined on accrual basis. The past dues cannot be treated as income of the Distribution </w:t>
      </w:r>
      <w:r w:rsidR="009A3804" w:rsidRPr="00942C19">
        <w:t>Licensee</w:t>
      </w:r>
      <w:r w:rsidRPr="00942C19">
        <w:t>. Thus, it will have no effect on determination of tariff. The electricity charges are recognised as income once the bills are raised on accrual basis. Hence they cannot be recognised as income source when arrears are collected. The Commission fixes the tariff on accrual basis and not on the cash basis.</w:t>
      </w:r>
    </w:p>
    <w:p w:rsidR="00752B84" w:rsidRPr="00942C19" w:rsidRDefault="00752B84" w:rsidP="00540A34">
      <w:pPr>
        <w:pStyle w:val="Heading3"/>
        <w:tabs>
          <w:tab w:val="clear" w:pos="720"/>
          <w:tab w:val="clear" w:pos="936"/>
          <w:tab w:val="num" w:pos="993"/>
        </w:tabs>
        <w:spacing w:before="240" w:after="240"/>
      </w:pPr>
      <w:r w:rsidRPr="00942C19">
        <w:t xml:space="preserve">Treating the realization of arrears as income would amount to double counting of income. Therefore, it cannot be treated as income again on realization. This issue has been fairly established by the </w:t>
      </w:r>
      <w:r w:rsidR="00186F0B" w:rsidRPr="00942C19">
        <w:t xml:space="preserve">Hon’ble </w:t>
      </w:r>
      <w:r w:rsidRPr="00942C19">
        <w:t>APTEL in its judgment in Appeal No. 15 of 2012 and Appeal No. 152 of 2011.</w:t>
      </w:r>
    </w:p>
    <w:p w:rsidR="00752B84" w:rsidRPr="00942C19" w:rsidRDefault="00752B84" w:rsidP="00540A34">
      <w:pPr>
        <w:pStyle w:val="Heading3"/>
        <w:tabs>
          <w:tab w:val="clear" w:pos="720"/>
          <w:tab w:val="clear" w:pos="936"/>
          <w:tab w:val="num" w:pos="993"/>
        </w:tabs>
        <w:spacing w:before="240" w:after="240"/>
      </w:pPr>
      <w:r w:rsidRPr="00942C19">
        <w:t xml:space="preserve">The Commission has ensured that truing up </w:t>
      </w:r>
      <w:r w:rsidR="00274D68" w:rsidRPr="00942C19">
        <w:t xml:space="preserve">and tariff determination </w:t>
      </w:r>
      <w:r w:rsidRPr="00942C19">
        <w:t xml:space="preserve">has been done in accordance with the philosophies and principles laid in the past Tariff Orders and Tariff Regulations framed by the Commission. </w:t>
      </w:r>
      <w:r w:rsidR="00274D68" w:rsidRPr="00942C19">
        <w:t xml:space="preserve">In the </w:t>
      </w:r>
      <w:r w:rsidR="00186F0B" w:rsidRPr="00942C19">
        <w:t>T</w:t>
      </w:r>
      <w:r w:rsidR="00274D68" w:rsidRPr="00942C19">
        <w:t xml:space="preserve">rue up </w:t>
      </w:r>
      <w:r w:rsidR="00186F0B" w:rsidRPr="00942C19">
        <w:t>O</w:t>
      </w:r>
      <w:r w:rsidR="00274D68" w:rsidRPr="00942C19">
        <w:t xml:space="preserve">rders passed by the </w:t>
      </w:r>
      <w:r w:rsidRPr="00942C19">
        <w:t xml:space="preserve">Commission </w:t>
      </w:r>
      <w:r w:rsidR="00274D68" w:rsidRPr="00942C19">
        <w:t xml:space="preserve">in Petition No. 809/2012 and 813/2012, it </w:t>
      </w:r>
      <w:r w:rsidRPr="00942C19">
        <w:t xml:space="preserve">has also conducted a revenue side truing up, which has ensured that the burden of poor collection efficiency and consequent larger arrears is not passed on to the consumers. </w:t>
      </w:r>
    </w:p>
    <w:p w:rsidR="00752B84" w:rsidRPr="00942C19" w:rsidRDefault="00752B84" w:rsidP="00540A34">
      <w:pPr>
        <w:pStyle w:val="Heading3"/>
        <w:tabs>
          <w:tab w:val="clear" w:pos="720"/>
          <w:tab w:val="clear" w:pos="936"/>
          <w:tab w:val="num" w:pos="993"/>
        </w:tabs>
        <w:spacing w:before="240" w:after="240"/>
      </w:pPr>
      <w:r w:rsidRPr="00942C19">
        <w:t xml:space="preserve">The Commission </w:t>
      </w:r>
      <w:r w:rsidR="00274D68" w:rsidRPr="00942C19">
        <w:t xml:space="preserve">in the </w:t>
      </w:r>
      <w:r w:rsidR="00186F0B" w:rsidRPr="00942C19">
        <w:t>O</w:t>
      </w:r>
      <w:r w:rsidR="00274D68" w:rsidRPr="00942C19">
        <w:t xml:space="preserve">rder on Petition No. 809/2012 and 813/2012 has already directed the </w:t>
      </w:r>
      <w:r w:rsidR="00186F0B" w:rsidRPr="00942C19">
        <w:t>D</w:t>
      </w:r>
      <w:r w:rsidR="00274D68" w:rsidRPr="00942C19">
        <w:t xml:space="preserve">istribution </w:t>
      </w:r>
      <w:r w:rsidR="00186F0B" w:rsidRPr="00942C19">
        <w:t>L</w:t>
      </w:r>
      <w:r w:rsidR="009A3804" w:rsidRPr="00942C19">
        <w:t>icensee</w:t>
      </w:r>
      <w:r w:rsidR="00274D68" w:rsidRPr="00942C19">
        <w:t xml:space="preserve"> </w:t>
      </w:r>
      <w:r w:rsidRPr="00942C19">
        <w:t xml:space="preserve">to formulate a policy for identifying and writing off fictitious arrears within a period of 6 months </w:t>
      </w:r>
      <w:r w:rsidR="00274D68" w:rsidRPr="00942C19">
        <w:t>from the dat</w:t>
      </w:r>
      <w:r w:rsidR="00186F0B" w:rsidRPr="00942C19">
        <w:t>e</w:t>
      </w:r>
      <w:r w:rsidR="00274D68" w:rsidRPr="00942C19">
        <w:t xml:space="preserve"> of </w:t>
      </w:r>
      <w:r w:rsidR="00186F0B" w:rsidRPr="00942C19">
        <w:t>O</w:t>
      </w:r>
      <w:r w:rsidR="00274D68" w:rsidRPr="00942C19">
        <w:t xml:space="preserve">rder </w:t>
      </w:r>
      <w:r w:rsidRPr="00942C19">
        <w:t>and submit a copy of such report before the Commission.</w:t>
      </w:r>
    </w:p>
    <w:p w:rsidR="00752B84" w:rsidRPr="00942C19" w:rsidRDefault="00752B84" w:rsidP="00AE7F3A">
      <w:pPr>
        <w:pStyle w:val="Heading3"/>
        <w:numPr>
          <w:ilvl w:val="0"/>
          <w:numId w:val="0"/>
        </w:numPr>
        <w:spacing w:before="0"/>
        <w:ind w:left="936" w:hanging="936"/>
      </w:pPr>
    </w:p>
    <w:p w:rsidR="00274D68" w:rsidRPr="00942C19" w:rsidRDefault="00274D68" w:rsidP="00AE7F3A">
      <w:pPr>
        <w:pStyle w:val="Heading3"/>
        <w:numPr>
          <w:ilvl w:val="0"/>
          <w:numId w:val="0"/>
        </w:numPr>
        <w:spacing w:before="0"/>
        <w:ind w:left="936" w:hanging="936"/>
      </w:pPr>
    </w:p>
    <w:p w:rsidR="00274D68" w:rsidRPr="00942C19" w:rsidRDefault="00274D68" w:rsidP="00A818DC">
      <w:pPr>
        <w:pStyle w:val="Heading2"/>
        <w:numPr>
          <w:ilvl w:val="1"/>
          <w:numId w:val="21"/>
        </w:numPr>
      </w:pPr>
      <w:bookmarkStart w:id="383" w:name="_Toc357356086"/>
      <w:bookmarkStart w:id="384" w:name="_Toc357714376"/>
      <w:r w:rsidRPr="00942C19">
        <w:t>INTEREST ON CONSUMER SECURITY DEPOSIT</w:t>
      </w:r>
      <w:bookmarkEnd w:id="383"/>
      <w:bookmarkEnd w:id="384"/>
    </w:p>
    <w:p w:rsidR="00274D68" w:rsidRPr="00942C19" w:rsidRDefault="00274D68" w:rsidP="00274D68">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274D68" w:rsidRPr="00942C19" w:rsidRDefault="00274D68" w:rsidP="00A818DC">
      <w:pPr>
        <w:pStyle w:val="Heading3"/>
        <w:numPr>
          <w:ilvl w:val="0"/>
          <w:numId w:val="32"/>
        </w:numPr>
        <w:spacing w:before="0"/>
      </w:pPr>
      <w:r w:rsidRPr="00942C19">
        <w:rPr>
          <w:rFonts w:asciiTheme="minorHAnsi" w:hAnsiTheme="minorHAnsi" w:cstheme="minorHAnsi"/>
          <w:b/>
          <w:i/>
        </w:rPr>
        <w:t>Comments / Suggestions of the Public:</w:t>
      </w:r>
    </w:p>
    <w:p w:rsidR="00274D68" w:rsidRPr="00942C19" w:rsidRDefault="00274D68" w:rsidP="00540A34">
      <w:pPr>
        <w:pStyle w:val="Heading3"/>
        <w:tabs>
          <w:tab w:val="clear" w:pos="720"/>
          <w:tab w:val="clear" w:pos="936"/>
          <w:tab w:val="num" w:pos="993"/>
        </w:tabs>
        <w:spacing w:before="240" w:after="240"/>
      </w:pPr>
      <w:r w:rsidRPr="00942C19">
        <w:t>The comments / suggestions submitted by Mr. Mahendra Swaroop, President, Cold Storage Association, Lucknow and Mr. Rama Shanker Awasthi, Lucknow are as under:</w:t>
      </w:r>
    </w:p>
    <w:p w:rsidR="00274D68" w:rsidRPr="00942C19" w:rsidRDefault="00274D68" w:rsidP="00540A34">
      <w:pPr>
        <w:pStyle w:val="Heading3"/>
        <w:tabs>
          <w:tab w:val="clear" w:pos="720"/>
          <w:tab w:val="clear" w:pos="936"/>
          <w:tab w:val="num" w:pos="993"/>
        </w:tabs>
        <w:spacing w:before="240" w:after="240"/>
      </w:pPr>
      <w:r w:rsidRPr="00942C19">
        <w:t>President, Cold Storage Association, Lucknow has alleged that the cold storages are not getting credit of interest on consumer security deposits in their bills. Similar concern has been expressed by other stakeholders.</w:t>
      </w:r>
    </w:p>
    <w:p w:rsidR="00274D68" w:rsidRPr="00942C19" w:rsidRDefault="00274D68" w:rsidP="00540A34">
      <w:pPr>
        <w:pStyle w:val="Heading3"/>
        <w:tabs>
          <w:tab w:val="clear" w:pos="720"/>
          <w:tab w:val="clear" w:pos="936"/>
          <w:tab w:val="num" w:pos="993"/>
        </w:tabs>
        <w:spacing w:before="240" w:after="240"/>
      </w:pPr>
      <w:r w:rsidRPr="00942C19">
        <w:t>The stakeholder</w:t>
      </w:r>
      <w:r w:rsidR="00186F0B" w:rsidRPr="00942C19">
        <w:t>s</w:t>
      </w:r>
      <w:r w:rsidRPr="00942C19">
        <w:t xml:space="preserve"> ha</w:t>
      </w:r>
      <w:r w:rsidR="00186F0B" w:rsidRPr="00942C19">
        <w:t>ve</w:t>
      </w:r>
      <w:r w:rsidRPr="00942C19">
        <w:t xml:space="preserve"> stated that the distribution companies have claimed interest on consumer security deposit at the rate of 6% instead of the bank rate published by the Reserve Bank of India which is higher than 6%.</w:t>
      </w:r>
    </w:p>
    <w:p w:rsidR="00274D68" w:rsidRPr="00942C19" w:rsidRDefault="00274D68" w:rsidP="00274D68">
      <w:pPr>
        <w:pStyle w:val="Heading3"/>
        <w:numPr>
          <w:ilvl w:val="0"/>
          <w:numId w:val="0"/>
        </w:numPr>
        <w:ind w:left="720"/>
      </w:pPr>
    </w:p>
    <w:p w:rsidR="00274D68" w:rsidRPr="00942C19" w:rsidRDefault="002023A1" w:rsidP="00A818DC">
      <w:pPr>
        <w:pStyle w:val="Heading3"/>
        <w:numPr>
          <w:ilvl w:val="0"/>
          <w:numId w:val="32"/>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274D68" w:rsidRPr="00942C19">
        <w:rPr>
          <w:b/>
          <w:i/>
        </w:rPr>
        <w:t>:</w:t>
      </w:r>
    </w:p>
    <w:p w:rsidR="00274D68" w:rsidRPr="00942C19" w:rsidRDefault="00274D68"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w:t>
      </w:r>
      <w:r w:rsidR="00186F0B" w:rsidRPr="00942C19">
        <w:t>i</w:t>
      </w:r>
      <w:r w:rsidRPr="00942C19">
        <w:t xml:space="preserve">nterest on </w:t>
      </w:r>
      <w:r w:rsidR="00186F0B" w:rsidRPr="00942C19">
        <w:t xml:space="preserve">consumer </w:t>
      </w:r>
      <w:r w:rsidRPr="00942C19">
        <w:t xml:space="preserve">security </w:t>
      </w:r>
      <w:r w:rsidR="00186F0B" w:rsidRPr="00942C19">
        <w:t xml:space="preserve">deposit </w:t>
      </w:r>
      <w:r w:rsidRPr="00942C19">
        <w:t xml:space="preserve">is being given to consumer as per </w:t>
      </w:r>
      <w:r w:rsidR="00186F0B" w:rsidRPr="00942C19">
        <w:t>O</w:t>
      </w:r>
      <w:r w:rsidRPr="00942C19">
        <w:t xml:space="preserve">rders of the Hon’ble Commission. </w:t>
      </w:r>
    </w:p>
    <w:p w:rsidR="00274D68" w:rsidRPr="00942C19" w:rsidRDefault="00274D68" w:rsidP="00274D68">
      <w:pPr>
        <w:pStyle w:val="Heading3"/>
        <w:numPr>
          <w:ilvl w:val="0"/>
          <w:numId w:val="0"/>
        </w:numPr>
        <w:ind w:left="720"/>
      </w:pPr>
    </w:p>
    <w:p w:rsidR="00274D68" w:rsidRPr="00942C19" w:rsidRDefault="00274D68" w:rsidP="00A818DC">
      <w:pPr>
        <w:pStyle w:val="Heading3"/>
        <w:numPr>
          <w:ilvl w:val="0"/>
          <w:numId w:val="32"/>
        </w:numPr>
        <w:spacing w:before="0"/>
        <w:rPr>
          <w:b/>
          <w:i/>
        </w:rPr>
      </w:pPr>
      <w:r w:rsidRPr="00942C19">
        <w:rPr>
          <w:b/>
          <w:i/>
        </w:rPr>
        <w:t xml:space="preserve">The </w:t>
      </w:r>
      <w:r w:rsidRPr="00942C19">
        <w:rPr>
          <w:rFonts w:asciiTheme="minorHAnsi" w:hAnsiTheme="minorHAnsi" w:cstheme="minorHAnsi"/>
          <w:b/>
          <w:i/>
        </w:rPr>
        <w:t>Commission’s</w:t>
      </w:r>
      <w:r w:rsidRPr="00942C19">
        <w:rPr>
          <w:b/>
          <w:i/>
        </w:rPr>
        <w:t xml:space="preserve"> views:</w:t>
      </w:r>
    </w:p>
    <w:p w:rsidR="00274D68" w:rsidRPr="00942C19" w:rsidRDefault="00274D68" w:rsidP="00540A34">
      <w:pPr>
        <w:pStyle w:val="Heading3"/>
        <w:tabs>
          <w:tab w:val="clear" w:pos="720"/>
          <w:tab w:val="clear" w:pos="936"/>
          <w:tab w:val="num" w:pos="993"/>
        </w:tabs>
        <w:spacing w:before="240" w:after="240"/>
      </w:pPr>
      <w:r w:rsidRPr="00942C19">
        <w:t xml:space="preserve">The provisions related to security deposit and the interest payable on the same are amply clear and are dealt with in detail in the </w:t>
      </w:r>
      <w:r w:rsidR="00F01CD4" w:rsidRPr="00942C19">
        <w:t xml:space="preserve">Distribution </w:t>
      </w:r>
      <w:r w:rsidRPr="00942C19">
        <w:t xml:space="preserve">Tariff Regulations. It needs to be followed in the same spirit by both, the </w:t>
      </w:r>
      <w:r w:rsidR="00186F0B" w:rsidRPr="00942C19">
        <w:t xml:space="preserve">Licensee </w:t>
      </w:r>
      <w:r w:rsidRPr="00942C19">
        <w:t>as well as the consumers.</w:t>
      </w:r>
    </w:p>
    <w:p w:rsidR="00F01CD4" w:rsidRPr="00942C19" w:rsidRDefault="00F01CD4" w:rsidP="00540A34">
      <w:pPr>
        <w:pStyle w:val="Heading3"/>
        <w:tabs>
          <w:tab w:val="clear" w:pos="720"/>
          <w:tab w:val="clear" w:pos="936"/>
          <w:tab w:val="num" w:pos="993"/>
        </w:tabs>
        <w:spacing w:before="240" w:after="240"/>
      </w:pPr>
      <w:r w:rsidRPr="00942C19">
        <w:t>The Reserve Bank of India vide circular no. RBI/2012-13/492 dated 3</w:t>
      </w:r>
      <w:r w:rsidRPr="00942C19">
        <w:rPr>
          <w:vertAlign w:val="superscript"/>
        </w:rPr>
        <w:t>rd</w:t>
      </w:r>
      <w:r w:rsidRPr="00942C19">
        <w:t xml:space="preserve"> May, 2013 ha</w:t>
      </w:r>
      <w:r w:rsidR="00186F0B" w:rsidRPr="00942C19">
        <w:t>s</w:t>
      </w:r>
      <w:r w:rsidRPr="00942C19">
        <w:t xml:space="preserve"> revised the bank rate from 8.50% to 8.25% w.e.f 3</w:t>
      </w:r>
      <w:r w:rsidRPr="00942C19">
        <w:rPr>
          <w:vertAlign w:val="superscript"/>
        </w:rPr>
        <w:t>rd</w:t>
      </w:r>
      <w:r w:rsidRPr="00942C19">
        <w:t xml:space="preserve"> May, 2013. The Commission </w:t>
      </w:r>
      <w:r w:rsidR="003940AA" w:rsidRPr="00942C19">
        <w:t xml:space="preserve">in this Order </w:t>
      </w:r>
      <w:r w:rsidRPr="00942C19">
        <w:t>has approved a rate of 8.50% on interest on consumer security deposit for the period 1</w:t>
      </w:r>
      <w:r w:rsidRPr="00942C19">
        <w:rPr>
          <w:vertAlign w:val="superscript"/>
        </w:rPr>
        <w:t>st</w:t>
      </w:r>
      <w:r w:rsidRPr="00942C19">
        <w:t xml:space="preserve"> April, 2013 to 2</w:t>
      </w:r>
      <w:r w:rsidRPr="00942C19">
        <w:rPr>
          <w:vertAlign w:val="superscript"/>
        </w:rPr>
        <w:t>nd</w:t>
      </w:r>
      <w:r w:rsidRPr="00942C19">
        <w:t xml:space="preserve"> May, 2013 and a rate of 8.25% from 3</w:t>
      </w:r>
      <w:r w:rsidRPr="00942C19">
        <w:rPr>
          <w:vertAlign w:val="superscript"/>
        </w:rPr>
        <w:t>rd</w:t>
      </w:r>
      <w:r w:rsidRPr="00942C19">
        <w:t xml:space="preserve"> May, 2013 to 31</w:t>
      </w:r>
      <w:r w:rsidRPr="00942C19">
        <w:rPr>
          <w:vertAlign w:val="superscript"/>
        </w:rPr>
        <w:t>st</w:t>
      </w:r>
      <w:r w:rsidRPr="00942C19">
        <w:t xml:space="preserve"> March, 2014.</w:t>
      </w:r>
    </w:p>
    <w:p w:rsidR="00274D68" w:rsidRPr="00942C19" w:rsidRDefault="00274D68" w:rsidP="00B97B43">
      <w:pPr>
        <w:pStyle w:val="Heading3"/>
        <w:numPr>
          <w:ilvl w:val="0"/>
          <w:numId w:val="0"/>
        </w:numPr>
        <w:spacing w:before="0"/>
        <w:ind w:left="936" w:hanging="936"/>
      </w:pPr>
    </w:p>
    <w:p w:rsidR="002A11C6" w:rsidRPr="00942C19" w:rsidRDefault="002A11C6" w:rsidP="00B97B43">
      <w:pPr>
        <w:pStyle w:val="Heading3"/>
        <w:numPr>
          <w:ilvl w:val="0"/>
          <w:numId w:val="0"/>
        </w:numPr>
        <w:spacing w:before="0"/>
        <w:ind w:left="936"/>
      </w:pPr>
    </w:p>
    <w:p w:rsidR="00B97B43" w:rsidRPr="00942C19" w:rsidRDefault="00B97B43" w:rsidP="00A818DC">
      <w:pPr>
        <w:pStyle w:val="Heading2"/>
        <w:numPr>
          <w:ilvl w:val="1"/>
          <w:numId w:val="21"/>
        </w:numPr>
      </w:pPr>
      <w:bookmarkStart w:id="385" w:name="_Toc357356087"/>
      <w:bookmarkStart w:id="386" w:name="_Toc357714377"/>
      <w:r w:rsidRPr="00942C19">
        <w:t>RELATIONSHIP BETWEEN HOLDING COMPANY UPPCL AND ITS SUBSIDIARY DISTRIBUTION COMPANIES</w:t>
      </w:r>
      <w:bookmarkEnd w:id="385"/>
      <w:bookmarkEnd w:id="386"/>
    </w:p>
    <w:p w:rsidR="00B97B43" w:rsidRPr="00942C19" w:rsidRDefault="00B97B43" w:rsidP="00B97B43">
      <w:pPr>
        <w:tabs>
          <w:tab w:val="left" w:pos="1260"/>
        </w:tabs>
        <w:ind w:left="720"/>
        <w:rPr>
          <w:rFonts w:asciiTheme="minorHAnsi" w:hAnsiTheme="minorHAnsi" w:cstheme="minorHAnsi"/>
          <w:b/>
          <w:i/>
        </w:rPr>
      </w:pPr>
    </w:p>
    <w:p w:rsidR="00B97B43" w:rsidRPr="00942C19" w:rsidRDefault="00B97B43" w:rsidP="00A818DC">
      <w:pPr>
        <w:pStyle w:val="ListParagraph"/>
        <w:numPr>
          <w:ilvl w:val="0"/>
          <w:numId w:val="33"/>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B97B43" w:rsidRPr="00942C19" w:rsidRDefault="00B97B43" w:rsidP="00540A34">
      <w:pPr>
        <w:pStyle w:val="Heading3"/>
        <w:tabs>
          <w:tab w:val="clear" w:pos="720"/>
          <w:tab w:val="clear" w:pos="936"/>
          <w:tab w:val="num" w:pos="993"/>
        </w:tabs>
        <w:spacing w:before="240" w:after="240"/>
      </w:pPr>
      <w:r w:rsidRPr="00942C19">
        <w:t xml:space="preserve">The comments / objections submitted by </w:t>
      </w:r>
      <w:r w:rsidR="002A3FAE" w:rsidRPr="00942C19">
        <w:t xml:space="preserve">Mr. </w:t>
      </w:r>
      <w:r w:rsidRPr="00942C19">
        <w:t>B.B. Jindal</w:t>
      </w:r>
      <w:r w:rsidR="002A3FAE" w:rsidRPr="00942C19">
        <w:t>,</w:t>
      </w:r>
      <w:r w:rsidRPr="00942C19">
        <w:t xml:space="preserve"> Lucknow are as under:</w:t>
      </w:r>
    </w:p>
    <w:p w:rsidR="00B97B43" w:rsidRPr="00942C19" w:rsidRDefault="00B97B43" w:rsidP="00540A34">
      <w:pPr>
        <w:pStyle w:val="Heading3"/>
        <w:tabs>
          <w:tab w:val="clear" w:pos="720"/>
          <w:tab w:val="clear" w:pos="936"/>
          <w:tab w:val="num" w:pos="993"/>
        </w:tabs>
        <w:spacing w:before="240" w:after="240"/>
      </w:pPr>
      <w:r w:rsidRPr="00942C19">
        <w:t>The stakeholder has expressed his concern over the governance issues and the relationship between the holding company</w:t>
      </w:r>
      <w:r w:rsidR="00186F0B" w:rsidRPr="00942C19">
        <w:t>,</w:t>
      </w:r>
      <w:r w:rsidRPr="00942C19">
        <w:t xml:space="preserve"> namely UPPCL and its subsidiary distribution companies. The stakeholder has alleged that all policy, manpower, financial, legal and accounting matters continue to be de-facto controlled by UPPCL. The stakeholder has stated that there is lack of a well defined and documented understanding or MoU between UPPCL and its subsidiaries. The stakeholder has further suggested that the </w:t>
      </w:r>
      <w:r w:rsidR="009A3804" w:rsidRPr="00942C19">
        <w:t>Licensee</w:t>
      </w:r>
      <w:r w:rsidRPr="00942C19">
        <w:t xml:space="preserve"> should enter into a comprehensive agreement which may provide a transparent charter of working, sharing of accountability and coordination between the holding company and the subsidiary distribution companies, preferably on the lines of the agreement done by Madhya Pradesh Power Management Company Limited.</w:t>
      </w:r>
    </w:p>
    <w:p w:rsidR="00B97B43" w:rsidRPr="00942C19" w:rsidRDefault="00B97B43" w:rsidP="00B97B43">
      <w:pPr>
        <w:pStyle w:val="Heading3"/>
        <w:numPr>
          <w:ilvl w:val="0"/>
          <w:numId w:val="0"/>
        </w:numPr>
        <w:ind w:left="720"/>
      </w:pPr>
    </w:p>
    <w:p w:rsidR="00B97B43" w:rsidRPr="00942C19" w:rsidRDefault="002023A1" w:rsidP="00A818DC">
      <w:pPr>
        <w:pStyle w:val="Heading3"/>
        <w:numPr>
          <w:ilvl w:val="0"/>
          <w:numId w:val="33"/>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B97B43" w:rsidRPr="00942C19">
        <w:rPr>
          <w:b/>
          <w:i/>
        </w:rPr>
        <w:t>:</w:t>
      </w:r>
    </w:p>
    <w:p w:rsidR="00B97B43" w:rsidRPr="00942C19" w:rsidRDefault="00B97B43" w:rsidP="00540A34">
      <w:pPr>
        <w:pStyle w:val="Heading3"/>
        <w:tabs>
          <w:tab w:val="clear" w:pos="720"/>
          <w:tab w:val="clear" w:pos="936"/>
          <w:tab w:val="num" w:pos="993"/>
        </w:tabs>
        <w:spacing w:before="240" w:after="240"/>
      </w:pPr>
      <w:r w:rsidRPr="00942C19">
        <w:t>The</w:t>
      </w:r>
      <w:r w:rsidR="002A3FAE" w:rsidRPr="00942C19">
        <w:t xml:space="preserve"> </w:t>
      </w:r>
      <w:r w:rsidR="009A3804" w:rsidRPr="00942C19">
        <w:t>Licensee</w:t>
      </w:r>
      <w:r w:rsidR="002A3FAE" w:rsidRPr="00942C19">
        <w:t xml:space="preserve"> has submitted that the matter raised by the stakeholder does not pertain to the issue of tariff determination</w:t>
      </w:r>
      <w:r w:rsidRPr="00942C19">
        <w:t>.</w:t>
      </w:r>
      <w:r w:rsidR="002A3FAE" w:rsidRPr="00942C19">
        <w:t xml:space="preserve"> Further, it has stated that the working between the distribution companies and the holding company UPPCL has been very seamless.</w:t>
      </w:r>
    </w:p>
    <w:p w:rsidR="00B97B43" w:rsidRPr="00942C19" w:rsidRDefault="00B97B43" w:rsidP="00B97B43">
      <w:pPr>
        <w:pStyle w:val="Heading3"/>
        <w:numPr>
          <w:ilvl w:val="0"/>
          <w:numId w:val="0"/>
        </w:numPr>
        <w:ind w:left="720"/>
      </w:pPr>
    </w:p>
    <w:p w:rsidR="00B97B43" w:rsidRPr="00942C19" w:rsidRDefault="00B97B43" w:rsidP="00A818DC">
      <w:pPr>
        <w:pStyle w:val="Heading3"/>
        <w:numPr>
          <w:ilvl w:val="0"/>
          <w:numId w:val="33"/>
        </w:numPr>
        <w:spacing w:before="0"/>
        <w:rPr>
          <w:b/>
          <w:i/>
        </w:rPr>
      </w:pPr>
      <w:r w:rsidRPr="00942C19">
        <w:rPr>
          <w:b/>
          <w:i/>
        </w:rPr>
        <w:t>The Commission’s views:</w:t>
      </w:r>
    </w:p>
    <w:p w:rsidR="00A15DA9" w:rsidRPr="00942C19" w:rsidRDefault="002A3FAE" w:rsidP="00540A34">
      <w:pPr>
        <w:pStyle w:val="Heading3"/>
        <w:tabs>
          <w:tab w:val="clear" w:pos="720"/>
          <w:tab w:val="clear" w:pos="936"/>
          <w:tab w:val="num" w:pos="993"/>
        </w:tabs>
        <w:spacing w:before="240" w:after="240"/>
      </w:pPr>
      <w:r w:rsidRPr="00942C19">
        <w:t xml:space="preserve">The </w:t>
      </w:r>
      <w:r w:rsidR="00A15DA9" w:rsidRPr="00942C19">
        <w:t xml:space="preserve">Commission has </w:t>
      </w:r>
      <w:r w:rsidR="003940AA" w:rsidRPr="00942C19">
        <w:t xml:space="preserve">considered the views of the stakeholders. </w:t>
      </w:r>
    </w:p>
    <w:p w:rsidR="0043266E" w:rsidRPr="00942C19" w:rsidRDefault="0043266E" w:rsidP="0043266E">
      <w:pPr>
        <w:pStyle w:val="Heading3"/>
        <w:numPr>
          <w:ilvl w:val="0"/>
          <w:numId w:val="0"/>
        </w:numPr>
        <w:tabs>
          <w:tab w:val="clear" w:pos="720"/>
        </w:tabs>
        <w:spacing w:before="0"/>
        <w:ind w:left="936"/>
      </w:pPr>
    </w:p>
    <w:p w:rsidR="0043266E" w:rsidRPr="00942C19" w:rsidRDefault="0043266E" w:rsidP="0043266E">
      <w:pPr>
        <w:pStyle w:val="Heading3"/>
        <w:numPr>
          <w:ilvl w:val="0"/>
          <w:numId w:val="0"/>
        </w:numPr>
        <w:tabs>
          <w:tab w:val="clear" w:pos="720"/>
        </w:tabs>
        <w:spacing w:before="0"/>
        <w:ind w:left="936"/>
      </w:pPr>
    </w:p>
    <w:p w:rsidR="00DB4D1A" w:rsidRPr="00942C19" w:rsidRDefault="00DB4D1A" w:rsidP="00A818DC">
      <w:pPr>
        <w:pStyle w:val="Heading2"/>
        <w:numPr>
          <w:ilvl w:val="1"/>
          <w:numId w:val="21"/>
        </w:numPr>
      </w:pPr>
      <w:bookmarkStart w:id="387" w:name="_Toc357356088"/>
      <w:bookmarkStart w:id="388" w:name="_Toc357714378"/>
      <w:r w:rsidRPr="00942C19">
        <w:t>INCENTIVE TO CONSUMERS IN LOW LOSS AREAS</w:t>
      </w:r>
      <w:bookmarkEnd w:id="387"/>
      <w:bookmarkEnd w:id="388"/>
    </w:p>
    <w:p w:rsidR="00DB4D1A" w:rsidRPr="00942C19" w:rsidRDefault="00DB4D1A" w:rsidP="00DB4D1A">
      <w:pPr>
        <w:tabs>
          <w:tab w:val="left" w:pos="1260"/>
        </w:tabs>
        <w:ind w:left="720"/>
        <w:rPr>
          <w:rFonts w:asciiTheme="minorHAnsi" w:hAnsiTheme="minorHAnsi" w:cstheme="minorHAnsi"/>
          <w:b/>
          <w:i/>
        </w:rPr>
      </w:pPr>
      <w:r w:rsidRPr="00942C19">
        <w:rPr>
          <w:rFonts w:asciiTheme="minorHAnsi" w:hAnsiTheme="minorHAnsi" w:cstheme="minorHAnsi"/>
          <w:b/>
          <w:i/>
        </w:rPr>
        <w:t xml:space="preserve"> </w:t>
      </w:r>
    </w:p>
    <w:p w:rsidR="00DB4D1A" w:rsidRPr="00942C19" w:rsidRDefault="00DB4D1A" w:rsidP="00A818DC">
      <w:pPr>
        <w:pStyle w:val="ListParagraph"/>
        <w:numPr>
          <w:ilvl w:val="0"/>
          <w:numId w:val="34"/>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DB4D1A" w:rsidRPr="00942C19" w:rsidRDefault="00DB4D1A" w:rsidP="00540A34">
      <w:pPr>
        <w:pStyle w:val="Heading3"/>
        <w:tabs>
          <w:tab w:val="clear" w:pos="720"/>
          <w:tab w:val="clear" w:pos="936"/>
          <w:tab w:val="num" w:pos="993"/>
        </w:tabs>
        <w:spacing w:before="240" w:after="240"/>
      </w:pPr>
      <w:r w:rsidRPr="00942C19">
        <w:t>The comments / objections submitted by Mr. J.L. Bajaj, Former Chairman, UPERC, Mr. N.P. Singh, Federation of Noida Residents Welfare Association, are as under:</w:t>
      </w:r>
    </w:p>
    <w:p w:rsidR="00DB4D1A" w:rsidRPr="00942C19" w:rsidRDefault="00DB4D1A" w:rsidP="00540A34">
      <w:pPr>
        <w:pStyle w:val="Heading3"/>
        <w:tabs>
          <w:tab w:val="clear" w:pos="720"/>
          <w:tab w:val="clear" w:pos="936"/>
          <w:tab w:val="num" w:pos="993"/>
        </w:tabs>
        <w:spacing w:before="240" w:after="240"/>
      </w:pPr>
      <w:r w:rsidRPr="00942C19">
        <w:t xml:space="preserve">Many stakeholders have requested that the </w:t>
      </w:r>
      <w:r w:rsidR="00186F0B" w:rsidRPr="00942C19">
        <w:t xml:space="preserve">Licensee </w:t>
      </w:r>
      <w:r w:rsidRPr="00942C19">
        <w:t xml:space="preserve">should take cognizance of the fact that the loss level in their region such as NOIDA, etc. is </w:t>
      </w:r>
      <w:r w:rsidR="00186F0B" w:rsidRPr="00942C19">
        <w:t xml:space="preserve">very </w:t>
      </w:r>
      <w:r w:rsidRPr="00942C19">
        <w:t>low</w:t>
      </w:r>
      <w:r w:rsidR="00186F0B" w:rsidRPr="00942C19">
        <w:t>,</w:t>
      </w:r>
      <w:r w:rsidRPr="00942C19">
        <w:t xml:space="preserve"> compared to that in the rest of the State and therefore they should be given discount in their electricity bills or a separate tariff category should be fixed for such areas. Also they should be supplied </w:t>
      </w:r>
      <w:r w:rsidR="00186F0B" w:rsidRPr="00942C19">
        <w:t xml:space="preserve">power for more as </w:t>
      </w:r>
      <w:r w:rsidRPr="00942C19">
        <w:t xml:space="preserve">compared to areas with higher losses. </w:t>
      </w:r>
    </w:p>
    <w:p w:rsidR="00DB4D1A" w:rsidRPr="00942C19" w:rsidRDefault="00DB4D1A" w:rsidP="00DB4D1A">
      <w:pPr>
        <w:pStyle w:val="Heading3"/>
        <w:numPr>
          <w:ilvl w:val="0"/>
          <w:numId w:val="0"/>
        </w:numPr>
        <w:ind w:left="720"/>
      </w:pPr>
    </w:p>
    <w:p w:rsidR="00DB4D1A" w:rsidRPr="00942C19" w:rsidRDefault="002023A1" w:rsidP="00A818DC">
      <w:pPr>
        <w:pStyle w:val="Heading3"/>
        <w:numPr>
          <w:ilvl w:val="0"/>
          <w:numId w:val="34"/>
        </w:numPr>
        <w:spacing w:before="0"/>
        <w:rPr>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DB4D1A" w:rsidRPr="00942C19">
        <w:rPr>
          <w:b/>
          <w:i/>
        </w:rPr>
        <w:t>:</w:t>
      </w:r>
    </w:p>
    <w:p w:rsidR="00DB4D1A" w:rsidRPr="00942C19" w:rsidRDefault="00DB4D1A"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discrimination among consumers of a particular region or area would not be suitable as it would create discontent among the consumers. The </w:t>
      </w:r>
      <w:r w:rsidR="009A3804" w:rsidRPr="00942C19">
        <w:t>Licensee</w:t>
      </w:r>
      <w:r w:rsidRPr="00942C19">
        <w:t xml:space="preserve"> submitted that it has proposed a supply hour linked tariff proposal. The intention of the </w:t>
      </w:r>
      <w:r w:rsidR="009A3804" w:rsidRPr="00942C19">
        <w:t>Licensee</w:t>
      </w:r>
      <w:r w:rsidRPr="00942C19">
        <w:t xml:space="preserve"> in proposing such a tariff structure was to ensure that </w:t>
      </w:r>
      <w:r w:rsidR="00186F0B" w:rsidRPr="00942C19">
        <w:t xml:space="preserve">the </w:t>
      </w:r>
      <w:r w:rsidRPr="00942C19">
        <w:t>tariff for LMV-1 consumers is fixed at a level where best supply is provided i.e., in major cities where electricity is being supplied for 24 hours and for consumers of other areas</w:t>
      </w:r>
      <w:r w:rsidR="00186F0B" w:rsidRPr="00942C19">
        <w:t>,</w:t>
      </w:r>
      <w:r w:rsidRPr="00942C19">
        <w:t xml:space="preserve"> provide a tariff linked with the hours of supply thereby giving a discounted rate for areas getting less than 24 hours of supply.</w:t>
      </w:r>
    </w:p>
    <w:p w:rsidR="00DB4D1A" w:rsidRPr="00942C19" w:rsidRDefault="00DB4D1A" w:rsidP="00DB4D1A">
      <w:pPr>
        <w:pStyle w:val="Heading3"/>
        <w:numPr>
          <w:ilvl w:val="0"/>
          <w:numId w:val="0"/>
        </w:numPr>
        <w:ind w:left="720"/>
      </w:pPr>
    </w:p>
    <w:p w:rsidR="00DB4D1A" w:rsidRPr="00942C19" w:rsidRDefault="00DB4D1A" w:rsidP="00A818DC">
      <w:pPr>
        <w:pStyle w:val="Heading3"/>
        <w:numPr>
          <w:ilvl w:val="0"/>
          <w:numId w:val="34"/>
        </w:numPr>
        <w:spacing w:before="0"/>
        <w:rPr>
          <w:b/>
          <w:i/>
        </w:rPr>
      </w:pPr>
      <w:r w:rsidRPr="00942C19">
        <w:rPr>
          <w:b/>
          <w:i/>
        </w:rPr>
        <w:t>The Commission’s views:</w:t>
      </w:r>
    </w:p>
    <w:p w:rsidR="00DB4D1A" w:rsidRPr="00942C19" w:rsidRDefault="00DB4D1A" w:rsidP="00540A34">
      <w:pPr>
        <w:pStyle w:val="Heading3"/>
        <w:tabs>
          <w:tab w:val="clear" w:pos="720"/>
          <w:tab w:val="clear" w:pos="936"/>
          <w:tab w:val="num" w:pos="993"/>
        </w:tabs>
        <w:spacing w:before="240" w:after="240"/>
      </w:pPr>
      <w:r w:rsidRPr="00942C19">
        <w:t xml:space="preserve">The Commission has noted the comments of the </w:t>
      </w:r>
      <w:r w:rsidR="009A3804" w:rsidRPr="00942C19">
        <w:t>Licensee</w:t>
      </w:r>
      <w:r w:rsidRPr="00942C19">
        <w:t xml:space="preserve">. However it would not be suitable for the Commission to direct the </w:t>
      </w:r>
      <w:r w:rsidR="009A3804" w:rsidRPr="00942C19">
        <w:t>Licensee</w:t>
      </w:r>
      <w:r w:rsidRPr="00942C19">
        <w:t xml:space="preserve"> on the hours of supply to a particular area under its control.</w:t>
      </w:r>
    </w:p>
    <w:p w:rsidR="00DB4D1A" w:rsidRPr="00942C19" w:rsidRDefault="00DB4D1A" w:rsidP="00AE7F3A">
      <w:pPr>
        <w:pStyle w:val="Heading4"/>
        <w:numPr>
          <w:ilvl w:val="0"/>
          <w:numId w:val="0"/>
        </w:numPr>
        <w:spacing w:before="0"/>
        <w:ind w:left="864"/>
        <w:rPr>
          <w:rFonts w:asciiTheme="minorHAnsi" w:hAnsiTheme="minorHAnsi" w:cstheme="minorHAnsi"/>
          <w:bCs w:val="0"/>
        </w:rPr>
      </w:pPr>
    </w:p>
    <w:p w:rsidR="00DB4D1A" w:rsidRPr="00942C19" w:rsidRDefault="00DB4D1A" w:rsidP="00AE7F3A">
      <w:pPr>
        <w:pStyle w:val="Heading4"/>
        <w:numPr>
          <w:ilvl w:val="0"/>
          <w:numId w:val="0"/>
        </w:numPr>
        <w:spacing w:before="0"/>
        <w:ind w:left="864"/>
        <w:rPr>
          <w:rFonts w:asciiTheme="minorHAnsi" w:hAnsiTheme="minorHAnsi" w:cstheme="minorHAnsi"/>
          <w:bCs w:val="0"/>
        </w:rPr>
      </w:pPr>
    </w:p>
    <w:p w:rsidR="00DB4D1A" w:rsidRPr="00942C19" w:rsidRDefault="00DB4D1A" w:rsidP="00A818DC">
      <w:pPr>
        <w:pStyle w:val="Heading2"/>
        <w:numPr>
          <w:ilvl w:val="1"/>
          <w:numId w:val="21"/>
        </w:numPr>
      </w:pPr>
      <w:bookmarkStart w:id="389" w:name="_Toc357356089"/>
      <w:bookmarkStart w:id="390" w:name="_Toc357714379"/>
      <w:r w:rsidRPr="00942C19">
        <w:t>IMPOSITION OF CHARGES FOR USE OF INDUCTION HEATER / COOKING HEATER</w:t>
      </w:r>
      <w:bookmarkEnd w:id="389"/>
      <w:bookmarkEnd w:id="390"/>
    </w:p>
    <w:p w:rsidR="00DB4D1A" w:rsidRPr="00942C19" w:rsidRDefault="00DB4D1A" w:rsidP="00DB4D1A">
      <w:pPr>
        <w:pStyle w:val="Heading2"/>
        <w:numPr>
          <w:ilvl w:val="0"/>
          <w:numId w:val="0"/>
        </w:numPr>
        <w:ind w:left="576"/>
      </w:pPr>
    </w:p>
    <w:p w:rsidR="00DB4D1A" w:rsidRPr="00942C19" w:rsidRDefault="00DB4D1A" w:rsidP="00A818DC">
      <w:pPr>
        <w:pStyle w:val="ListParagraph"/>
        <w:numPr>
          <w:ilvl w:val="0"/>
          <w:numId w:val="35"/>
        </w:numPr>
        <w:spacing w:before="0"/>
        <w:rPr>
          <w:b/>
          <w:i/>
        </w:rPr>
      </w:pPr>
      <w:r w:rsidRPr="00942C19">
        <w:rPr>
          <w:b/>
          <w:i/>
        </w:rPr>
        <w:t>Comments / Suggestions of the Public</w:t>
      </w:r>
    </w:p>
    <w:p w:rsidR="00DB4D1A" w:rsidRPr="00942C19" w:rsidRDefault="00DB4D1A" w:rsidP="00540A34">
      <w:pPr>
        <w:pStyle w:val="Heading3"/>
        <w:tabs>
          <w:tab w:val="clear" w:pos="720"/>
          <w:tab w:val="clear" w:pos="936"/>
          <w:tab w:val="num" w:pos="993"/>
        </w:tabs>
        <w:spacing w:before="240" w:after="240"/>
      </w:pPr>
      <w:r w:rsidRPr="00942C19">
        <w:t>The comments / suggestions submitted by Mr. Jag Mohan Lal Vaish, President, Vidyut Pensioners Parishad, Mr. Om Prakash Pandey, Mahasachiv, Uttar Pradesh Rajya Vidyut Parishad Abhiyanta Sangh, Lucknow, Mr. D.K. Jain, Branch Secretary, Uttar Pradesh Rajya Vidyut Parishad Abhiyanta Sangh, Gautam Budh Nagar are as under:</w:t>
      </w:r>
    </w:p>
    <w:p w:rsidR="00DB4D1A" w:rsidRPr="00942C19" w:rsidRDefault="00DB4D1A" w:rsidP="00540A34">
      <w:pPr>
        <w:pStyle w:val="Heading3"/>
        <w:tabs>
          <w:tab w:val="clear" w:pos="720"/>
          <w:tab w:val="clear" w:pos="936"/>
          <w:tab w:val="num" w:pos="993"/>
        </w:tabs>
        <w:spacing w:before="240" w:after="240"/>
      </w:pPr>
      <w:r w:rsidRPr="00942C19">
        <w:t xml:space="preserve">The stakeholders have stated that the proposal for imposition of separate charges for use of induction heater / cooking heater for LMV-10 consumers is discriminatory and should not be approved. The fixed charges and fixed energy charges are already imposed on LMV-10 consumers to mitigate the cost of concessional power which is available to them. Hence, the proposal for additional charge for use of induction heater / cooking heater may not be allowed. </w:t>
      </w:r>
    </w:p>
    <w:p w:rsidR="00DB4D1A" w:rsidRPr="00942C19" w:rsidRDefault="00DB4D1A" w:rsidP="00DB4D1A">
      <w:pPr>
        <w:pStyle w:val="ListParagraph"/>
        <w:rPr>
          <w:rFonts w:asciiTheme="minorHAnsi" w:hAnsiTheme="minorHAnsi" w:cstheme="minorHAnsi"/>
        </w:rPr>
      </w:pPr>
    </w:p>
    <w:p w:rsidR="00DB4D1A" w:rsidRPr="00942C19" w:rsidRDefault="002023A1" w:rsidP="00A818DC">
      <w:pPr>
        <w:pStyle w:val="ListParagraph"/>
        <w:numPr>
          <w:ilvl w:val="0"/>
          <w:numId w:val="35"/>
        </w:numPr>
        <w:tabs>
          <w:tab w:val="left" w:pos="1260"/>
        </w:tabs>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DB4D1A" w:rsidRPr="00942C19">
        <w:rPr>
          <w:rFonts w:asciiTheme="minorHAnsi" w:hAnsiTheme="minorHAnsi" w:cstheme="minorHAnsi"/>
          <w:b/>
          <w:i/>
        </w:rPr>
        <w:t>:</w:t>
      </w:r>
    </w:p>
    <w:p w:rsidR="00DB4D1A" w:rsidRPr="00942C19" w:rsidRDefault="00DB4D1A"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the rates proposed by it may be accepted by the Commission. </w:t>
      </w:r>
    </w:p>
    <w:p w:rsidR="00DB4D1A" w:rsidRPr="00942C19" w:rsidRDefault="00DB4D1A" w:rsidP="00DB4D1A">
      <w:pPr>
        <w:pStyle w:val="Heading3"/>
        <w:numPr>
          <w:ilvl w:val="0"/>
          <w:numId w:val="0"/>
        </w:numPr>
        <w:ind w:left="936"/>
      </w:pPr>
      <w:r w:rsidRPr="00942C19">
        <w:t xml:space="preserve"> </w:t>
      </w:r>
    </w:p>
    <w:p w:rsidR="00DB4D1A" w:rsidRPr="00942C19" w:rsidRDefault="00DB4D1A" w:rsidP="00A818DC">
      <w:pPr>
        <w:pStyle w:val="ListParagraph"/>
        <w:numPr>
          <w:ilvl w:val="0"/>
          <w:numId w:val="35"/>
        </w:numPr>
        <w:tabs>
          <w:tab w:val="left" w:pos="1260"/>
        </w:tabs>
        <w:spacing w:before="0"/>
        <w:rPr>
          <w:rFonts w:asciiTheme="minorHAnsi" w:hAnsiTheme="minorHAnsi" w:cstheme="minorHAnsi"/>
          <w:b/>
          <w:i/>
        </w:rPr>
      </w:pPr>
      <w:r w:rsidRPr="00942C19">
        <w:rPr>
          <w:rFonts w:asciiTheme="minorHAnsi" w:hAnsiTheme="minorHAnsi" w:cstheme="minorHAnsi"/>
          <w:b/>
          <w:i/>
        </w:rPr>
        <w:t>The Commission’s view:</w:t>
      </w:r>
    </w:p>
    <w:p w:rsidR="00DB4D1A" w:rsidRPr="00942C19" w:rsidRDefault="00DB4D1A" w:rsidP="00540A34">
      <w:pPr>
        <w:pStyle w:val="Heading3"/>
        <w:tabs>
          <w:tab w:val="clear" w:pos="720"/>
          <w:tab w:val="clear" w:pos="936"/>
          <w:tab w:val="num" w:pos="993"/>
        </w:tabs>
        <w:spacing w:before="240" w:after="240"/>
      </w:pPr>
      <w:r w:rsidRPr="00942C19">
        <w:t xml:space="preserve">The Commission has decided to maintain the existing </w:t>
      </w:r>
      <w:r w:rsidR="00F651BA" w:rsidRPr="00942C19">
        <w:t>framework of tariff for LMV-10 consumers with changes only in the fixed charges and fixed energy charges.</w:t>
      </w:r>
    </w:p>
    <w:p w:rsidR="00DB4D1A" w:rsidRPr="00942C19" w:rsidRDefault="00DB4D1A" w:rsidP="00AE7F3A">
      <w:pPr>
        <w:pStyle w:val="Heading2"/>
        <w:numPr>
          <w:ilvl w:val="0"/>
          <w:numId w:val="0"/>
        </w:numPr>
        <w:spacing w:before="0"/>
      </w:pPr>
    </w:p>
    <w:p w:rsidR="00A15DA9" w:rsidRPr="00942C19" w:rsidRDefault="00A15DA9" w:rsidP="00AE7F3A">
      <w:pPr>
        <w:pStyle w:val="Heading2"/>
        <w:numPr>
          <w:ilvl w:val="0"/>
          <w:numId w:val="0"/>
        </w:numPr>
        <w:spacing w:before="0"/>
        <w:ind w:left="780" w:hanging="780"/>
      </w:pPr>
    </w:p>
    <w:p w:rsidR="00F651BA" w:rsidRPr="00942C19" w:rsidRDefault="00F651BA" w:rsidP="00A818DC">
      <w:pPr>
        <w:pStyle w:val="Heading2"/>
        <w:numPr>
          <w:ilvl w:val="1"/>
          <w:numId w:val="21"/>
        </w:numPr>
      </w:pPr>
      <w:bookmarkStart w:id="391" w:name="_Toc357356090"/>
      <w:bookmarkStart w:id="392" w:name="_Toc357714380"/>
      <w:r w:rsidRPr="00942C19">
        <w:t xml:space="preserve">TARIFF REVISION OF LMV </w:t>
      </w:r>
      <w:r w:rsidR="002B0606" w:rsidRPr="00942C19">
        <w:t xml:space="preserve">&amp; HV </w:t>
      </w:r>
      <w:r w:rsidRPr="00942C19">
        <w:t>CONSUMERS AND MINIMUM CONSUMPTION CHARGES</w:t>
      </w:r>
      <w:bookmarkEnd w:id="391"/>
      <w:bookmarkEnd w:id="392"/>
    </w:p>
    <w:p w:rsidR="00F651BA" w:rsidRPr="00942C19" w:rsidRDefault="00F651BA" w:rsidP="00F651BA">
      <w:pPr>
        <w:tabs>
          <w:tab w:val="left" w:pos="1260"/>
        </w:tabs>
        <w:ind w:left="720"/>
        <w:rPr>
          <w:rFonts w:asciiTheme="minorHAnsi" w:hAnsiTheme="minorHAnsi" w:cstheme="minorHAnsi"/>
          <w:b/>
          <w:i/>
        </w:rPr>
      </w:pPr>
    </w:p>
    <w:p w:rsidR="00F651BA" w:rsidRPr="00942C19" w:rsidRDefault="00F651BA" w:rsidP="00A818DC">
      <w:pPr>
        <w:pStyle w:val="ListParagraph"/>
        <w:numPr>
          <w:ilvl w:val="0"/>
          <w:numId w:val="36"/>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F651BA" w:rsidRPr="00942C19" w:rsidRDefault="00F651BA" w:rsidP="00540A34">
      <w:pPr>
        <w:pStyle w:val="Heading3"/>
        <w:tabs>
          <w:tab w:val="clear" w:pos="720"/>
          <w:tab w:val="clear" w:pos="936"/>
          <w:tab w:val="num" w:pos="993"/>
        </w:tabs>
        <w:spacing w:before="240" w:after="240"/>
      </w:pPr>
      <w:r w:rsidRPr="00942C19">
        <w:t xml:space="preserve">The comments / suggestions submitted by Mr. Rajesh Kumar Verma, Mr. R. K. Jain, Secretary, Western UP Chamber Of Commerce &amp; Industry, Mr. Baleshwar Tyagi, Sangrakshak, Harish Chandra Tyagi Sarvajanik Pustakalaya, Mr. Vijay Kumar Agarwal, Upbhokta Jan Kalyan Samiti, Sahaswan, Badaun, Mr. S.B. Agarwal, Secy. Gen., Associated Chambers Of Commerce and Industry of UP, Mr. N.P. Singh, Federation of Noida Residents Welfare Association, Mr. Rama Shanker Awasthi, Lucknow, Meerut and Mr. </w:t>
      </w:r>
      <w:r w:rsidRPr="00942C19">
        <w:rPr>
          <w:rFonts w:asciiTheme="minorHAnsi" w:hAnsiTheme="minorHAnsi" w:cstheme="minorHAnsi"/>
          <w:szCs w:val="24"/>
        </w:rPr>
        <w:t>Shashi Bhushan Mishra, Sachiv, Upbhokta Sanrakshan Evam Kalyan Samiti, Mathura a</w:t>
      </w:r>
      <w:r w:rsidRPr="00942C19">
        <w:t>re as under:</w:t>
      </w:r>
    </w:p>
    <w:p w:rsidR="00F651BA" w:rsidRPr="00942C19" w:rsidRDefault="00F651BA" w:rsidP="00540A34">
      <w:pPr>
        <w:pStyle w:val="Heading3"/>
        <w:tabs>
          <w:tab w:val="clear" w:pos="720"/>
          <w:tab w:val="clear" w:pos="936"/>
          <w:tab w:val="num" w:pos="993"/>
        </w:tabs>
        <w:spacing w:before="240" w:after="240"/>
      </w:pPr>
      <w:r w:rsidRPr="00942C19">
        <w:t>The stakeholders have proposed withdrawal of minimum charges on all categories and suggested that provision of no minimum charges for HV-1 and HV-2 category should also apply to LMV categories.</w:t>
      </w:r>
    </w:p>
    <w:p w:rsidR="00F651BA" w:rsidRPr="00942C19" w:rsidRDefault="00F651BA" w:rsidP="00540A34">
      <w:pPr>
        <w:pStyle w:val="Heading3"/>
        <w:tabs>
          <w:tab w:val="clear" w:pos="720"/>
          <w:tab w:val="clear" w:pos="936"/>
          <w:tab w:val="num" w:pos="993"/>
        </w:tabs>
        <w:spacing w:before="240" w:after="240"/>
      </w:pPr>
      <w:r w:rsidRPr="00942C19">
        <w:t xml:space="preserve">One of the stakeholders has purported that the total sanctioned load of U.P. is 34,000 MW against power supply of 7,000 MW and the </w:t>
      </w:r>
      <w:r w:rsidR="009A3804" w:rsidRPr="00942C19">
        <w:t>Licensee</w:t>
      </w:r>
      <w:r w:rsidRPr="00942C19">
        <w:t xml:space="preserve"> has been levying fixed charges on the basis of the connected load which is manifold than the available power supply. Hence there is no justification to charge fixed charges and </w:t>
      </w:r>
      <w:r w:rsidR="00BA62D5" w:rsidRPr="00942C19">
        <w:t xml:space="preserve">hence </w:t>
      </w:r>
      <w:r w:rsidRPr="00942C19">
        <w:t>they should be abolished.</w:t>
      </w:r>
    </w:p>
    <w:p w:rsidR="00F651BA" w:rsidRPr="00942C19" w:rsidRDefault="00F651BA" w:rsidP="00540A34">
      <w:pPr>
        <w:pStyle w:val="Heading3"/>
        <w:tabs>
          <w:tab w:val="clear" w:pos="720"/>
          <w:tab w:val="clear" w:pos="936"/>
          <w:tab w:val="num" w:pos="993"/>
        </w:tabs>
        <w:spacing w:before="240" w:after="240"/>
      </w:pPr>
      <w:r w:rsidRPr="00942C19">
        <w:rPr>
          <w:rFonts w:asciiTheme="minorHAnsi" w:hAnsiTheme="minorHAnsi" w:cstheme="minorHAnsi"/>
        </w:rPr>
        <w:t xml:space="preserve">The </w:t>
      </w:r>
      <w:r w:rsidRPr="00942C19">
        <w:t>stakeholders</w:t>
      </w:r>
      <w:r w:rsidRPr="00942C19">
        <w:rPr>
          <w:rFonts w:asciiTheme="minorHAnsi" w:hAnsiTheme="minorHAnsi" w:cstheme="minorHAnsi"/>
        </w:rPr>
        <w:t xml:space="preserve"> further submitted that no demand charge should be allowed till there is power shortage in </w:t>
      </w:r>
      <w:r w:rsidR="00BA62D5" w:rsidRPr="00942C19">
        <w:rPr>
          <w:rFonts w:asciiTheme="minorHAnsi" w:hAnsiTheme="minorHAnsi" w:cstheme="minorHAnsi"/>
        </w:rPr>
        <w:t xml:space="preserve">the State </w:t>
      </w:r>
      <w:r w:rsidRPr="00942C19">
        <w:rPr>
          <w:rFonts w:asciiTheme="minorHAnsi" w:hAnsiTheme="minorHAnsi" w:cstheme="minorHAnsi"/>
        </w:rPr>
        <w:t xml:space="preserve">or it should be linked with supply hours and further added </w:t>
      </w:r>
      <w:r w:rsidRPr="00942C19">
        <w:t>that</w:t>
      </w:r>
      <w:r w:rsidR="00BA62D5" w:rsidRPr="00942C19">
        <w:t>,</w:t>
      </w:r>
      <w:r w:rsidRPr="00942C19">
        <w:rPr>
          <w:rFonts w:asciiTheme="minorHAnsi" w:hAnsiTheme="minorHAnsi" w:cstheme="minorHAnsi"/>
        </w:rPr>
        <w:t xml:space="preserve"> if at all</w:t>
      </w:r>
      <w:r w:rsidR="00BA62D5" w:rsidRPr="00942C19">
        <w:rPr>
          <w:rFonts w:asciiTheme="minorHAnsi" w:hAnsiTheme="minorHAnsi" w:cstheme="minorHAnsi"/>
        </w:rPr>
        <w:t>,</w:t>
      </w:r>
      <w:r w:rsidRPr="00942C19">
        <w:rPr>
          <w:rFonts w:asciiTheme="minorHAnsi" w:hAnsiTheme="minorHAnsi" w:cstheme="minorHAnsi"/>
        </w:rPr>
        <w:t xml:space="preserve"> fixed and minimum charges are required to be charged then 24 hour supply should be ensured.</w:t>
      </w:r>
    </w:p>
    <w:p w:rsidR="00F651BA" w:rsidRPr="00942C19" w:rsidRDefault="00F651BA" w:rsidP="00540A34">
      <w:pPr>
        <w:pStyle w:val="Heading3"/>
        <w:tabs>
          <w:tab w:val="clear" w:pos="720"/>
          <w:tab w:val="clear" w:pos="936"/>
          <w:tab w:val="num" w:pos="993"/>
        </w:tabs>
        <w:spacing w:before="240" w:after="240"/>
      </w:pPr>
      <w:r w:rsidRPr="00942C19">
        <w:t>One of the stakeholders has suggested that the tariff for LMV-2, LMV-4, LMV-5 and LMV-10 may be fixed based on hours of supply. Further, it has been suggested that Ashrams, Goushalas, Guest Houses, Buildings, etc built along with places of worship may also be allowed to get connection under LMV-1 (a)</w:t>
      </w:r>
    </w:p>
    <w:p w:rsidR="00F651BA" w:rsidRPr="00942C19" w:rsidRDefault="00F651BA" w:rsidP="00540A34">
      <w:pPr>
        <w:pStyle w:val="Heading3"/>
        <w:tabs>
          <w:tab w:val="clear" w:pos="720"/>
          <w:tab w:val="clear" w:pos="936"/>
          <w:tab w:val="num" w:pos="993"/>
        </w:tabs>
        <w:spacing w:before="240" w:after="240"/>
      </w:pPr>
      <w:r w:rsidRPr="00942C19">
        <w:t>One of the stakeholders has requested that libraries may be removed from commercial category LMV-2 and may be provided a concessional tariff.</w:t>
      </w:r>
    </w:p>
    <w:p w:rsidR="00F651BA" w:rsidRPr="00942C19" w:rsidRDefault="00F651BA" w:rsidP="00540A34">
      <w:pPr>
        <w:pStyle w:val="Heading3"/>
        <w:tabs>
          <w:tab w:val="clear" w:pos="720"/>
          <w:tab w:val="clear" w:pos="936"/>
          <w:tab w:val="num" w:pos="993"/>
        </w:tabs>
        <w:spacing w:before="240" w:after="240"/>
      </w:pPr>
      <w:r w:rsidRPr="00942C19">
        <w:t xml:space="preserve">The stakeholders have objected to the proposal of the </w:t>
      </w:r>
      <w:r w:rsidR="00BA62D5" w:rsidRPr="00942C19">
        <w:t xml:space="preserve">Licensee </w:t>
      </w:r>
      <w:r w:rsidRPr="00942C19">
        <w:t>to reduce the rebate to consumers getting supply up to 11 kV as per rural schedule from the existing level of 15% on demand and energy charges to 5% on the energy charges as proposed in the tariff proposal by the Discoms.</w:t>
      </w:r>
    </w:p>
    <w:p w:rsidR="00320D54" w:rsidRPr="00942C19" w:rsidRDefault="00320D54" w:rsidP="00540A34">
      <w:pPr>
        <w:pStyle w:val="Heading3"/>
        <w:tabs>
          <w:tab w:val="clear" w:pos="720"/>
          <w:tab w:val="clear" w:pos="936"/>
          <w:tab w:val="num" w:pos="993"/>
        </w:tabs>
        <w:spacing w:before="240" w:after="240"/>
      </w:pPr>
      <w:r w:rsidRPr="00942C19">
        <w:t xml:space="preserve">Some of the stakeholders have stated </w:t>
      </w:r>
      <w:r w:rsidR="007C4987" w:rsidRPr="00942C19">
        <w:t xml:space="preserve">that the </w:t>
      </w:r>
      <w:r w:rsidR="009A3804" w:rsidRPr="00942C19">
        <w:t>Licensee</w:t>
      </w:r>
      <w:r w:rsidR="0075482C" w:rsidRPr="00942C19">
        <w:t>s</w:t>
      </w:r>
      <w:r w:rsidR="007C4987" w:rsidRPr="00942C19">
        <w:t xml:space="preserve"> are reluctant in supplying MRI reports to the consumers.</w:t>
      </w:r>
    </w:p>
    <w:p w:rsidR="00C8001E" w:rsidRPr="00942C19" w:rsidRDefault="00C8001E" w:rsidP="00540A34">
      <w:pPr>
        <w:pStyle w:val="Heading3"/>
        <w:tabs>
          <w:tab w:val="clear" w:pos="720"/>
          <w:tab w:val="clear" w:pos="936"/>
          <w:tab w:val="num" w:pos="993"/>
        </w:tabs>
        <w:spacing w:before="240" w:after="240"/>
      </w:pPr>
      <w:r w:rsidRPr="00942C19">
        <w:t xml:space="preserve">The stakeholders stated that the condition of minimum load based on per ton capacity of furnace has already been reviewed by the Commission based on the representations of the industrial associations of the State and considering the technology adopted by the manufacturers of the furnace. Considering this, the Commission had approved 400 kVA capacity of the furnace on the basis of the documents and materials supplied by the manufacturer of the induction furnace. The proposal to again increase it to 500 kVA does not merit approval as the </w:t>
      </w:r>
      <w:r w:rsidR="009A3804" w:rsidRPr="00942C19">
        <w:t>Licensee</w:t>
      </w:r>
      <w:r w:rsidRPr="00942C19">
        <w:t xml:space="preserve"> ha</w:t>
      </w:r>
      <w:r w:rsidR="00BA62D5" w:rsidRPr="00942C19">
        <w:t>s</w:t>
      </w:r>
      <w:r w:rsidRPr="00942C19">
        <w:t xml:space="preserve"> not shown that the report submitted by the manufacturers are incorrect or the induction furnace consumes extra electrical energy which warrants 500 kVA load for one ton of the furnace. The stakeholders have requested for rejection of this proposal.</w:t>
      </w:r>
    </w:p>
    <w:p w:rsidR="00F651BA" w:rsidRPr="00942C19" w:rsidRDefault="00F651BA" w:rsidP="002B0606">
      <w:pPr>
        <w:pStyle w:val="Heading3"/>
        <w:numPr>
          <w:ilvl w:val="0"/>
          <w:numId w:val="0"/>
        </w:numPr>
        <w:ind w:left="936"/>
      </w:pPr>
    </w:p>
    <w:p w:rsidR="00F651BA" w:rsidRPr="00942C19" w:rsidRDefault="002023A1" w:rsidP="00A818DC">
      <w:pPr>
        <w:pStyle w:val="Heading3"/>
        <w:numPr>
          <w:ilvl w:val="0"/>
          <w:numId w:val="36"/>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F651BA" w:rsidRPr="00942C19">
        <w:rPr>
          <w:rFonts w:asciiTheme="minorHAnsi" w:hAnsiTheme="minorHAnsi" w:cstheme="minorHAnsi"/>
          <w:b/>
          <w:i/>
        </w:rPr>
        <w:t>:</w:t>
      </w:r>
    </w:p>
    <w:p w:rsidR="00F651BA" w:rsidRPr="00942C19" w:rsidRDefault="00F651BA"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highlighted that fixed charges / minimum charges are part of tariff and are levied for developing the required infrastructure and to meet the expenses incurred to maintain the supply at all the times. These charges cannot be withdrawn, as they are levied as per provisions of </w:t>
      </w:r>
      <w:r w:rsidR="00BA62D5" w:rsidRPr="00942C19">
        <w:t xml:space="preserve">Electricity </w:t>
      </w:r>
      <w:r w:rsidRPr="00942C19">
        <w:t>A</w:t>
      </w:r>
      <w:r w:rsidR="00BA62D5" w:rsidRPr="00942C19">
        <w:t>ct,</w:t>
      </w:r>
      <w:r w:rsidRPr="00942C19">
        <w:t xml:space="preserve"> 2003. The </w:t>
      </w:r>
      <w:r w:rsidR="009A3804" w:rsidRPr="00942C19">
        <w:t>Licensee</w:t>
      </w:r>
      <w:r w:rsidRPr="00942C19">
        <w:t xml:space="preserve"> submitted that the minimum charges have been designed to ensure minimum recovery from the consumers considering that they get electricity for about 3 - 4 hours only during the day. The </w:t>
      </w:r>
      <w:r w:rsidR="009A3804" w:rsidRPr="00942C19">
        <w:t>Licensee</w:t>
      </w:r>
      <w:r w:rsidRPr="00942C19">
        <w:t xml:space="preserve"> added that at the minimum </w:t>
      </w:r>
      <w:r w:rsidR="00BA62D5" w:rsidRPr="00942C19">
        <w:t xml:space="preserve">of </w:t>
      </w:r>
      <w:r w:rsidRPr="00942C19">
        <w:t>8</w:t>
      </w:r>
      <w:r w:rsidR="00BA62D5" w:rsidRPr="00942C19">
        <w:t>-</w:t>
      </w:r>
      <w:r w:rsidRPr="00942C19">
        <w:t>10 hours of electricity supply</w:t>
      </w:r>
      <w:r w:rsidR="00BA62D5" w:rsidRPr="00942C19">
        <w:t>,</w:t>
      </w:r>
      <w:r w:rsidRPr="00942C19">
        <w:t xml:space="preserve"> is being given to rural consumers and all other categories of consumers are getting supply for more than the above mentioned duration and this is despite of vast demand-supply gap. Industries are given top priority and scheduled for getting maximum supply but sometimes system condition and availability of power effects the schedule adversely. </w:t>
      </w:r>
    </w:p>
    <w:p w:rsidR="00F651BA" w:rsidRPr="00942C19" w:rsidRDefault="00F651BA" w:rsidP="00540A34">
      <w:pPr>
        <w:pStyle w:val="Heading3"/>
        <w:tabs>
          <w:tab w:val="clear" w:pos="720"/>
          <w:tab w:val="clear" w:pos="936"/>
          <w:tab w:val="num" w:pos="993"/>
        </w:tabs>
        <w:spacing w:before="240" w:after="240"/>
      </w:pPr>
      <w:r w:rsidRPr="00942C19">
        <w:t xml:space="preserve">In respect to minimum charges for small &amp; medium industries the </w:t>
      </w:r>
      <w:r w:rsidR="009A3804" w:rsidRPr="00942C19">
        <w:t>Licensee</w:t>
      </w:r>
      <w:r w:rsidRPr="00942C19">
        <w:t xml:space="preserve"> has clarified that the minimum consumption guarantee is required where a consumer has to pay every month a certain bill amount which is levied to recover the fixed expenses since the </w:t>
      </w:r>
      <w:r w:rsidR="009A3804" w:rsidRPr="00942C19">
        <w:t>Licensee</w:t>
      </w:r>
      <w:r w:rsidRPr="00942C19">
        <w:t xml:space="preserve"> has to incur some expenditure to keep supply always ready for the consumer to the extent of their contracted demand. The </w:t>
      </w:r>
      <w:r w:rsidR="009A3804" w:rsidRPr="00942C19">
        <w:t>Licensee</w:t>
      </w:r>
      <w:r w:rsidRPr="00942C19">
        <w:t xml:space="preserve"> further added that In the Tariff Order for FY 2002</w:t>
      </w:r>
      <w:r w:rsidR="00BA62D5" w:rsidRPr="00942C19">
        <w:t xml:space="preserve">-03, </w:t>
      </w:r>
      <w:r w:rsidRPr="00942C19">
        <w:t>the Hon’ble Commission has defined the said charges as below :-</w:t>
      </w:r>
    </w:p>
    <w:p w:rsidR="00F651BA" w:rsidRPr="00942C19" w:rsidRDefault="00F651BA" w:rsidP="00F651BA">
      <w:pPr>
        <w:pStyle w:val="Heading4"/>
        <w:numPr>
          <w:ilvl w:val="0"/>
          <w:numId w:val="0"/>
        </w:numPr>
        <w:ind w:left="1440"/>
        <w:rPr>
          <w:i/>
        </w:rPr>
      </w:pPr>
      <w:r w:rsidRPr="00942C19">
        <w:rPr>
          <w:i/>
        </w:rPr>
        <w:t xml:space="preserve">“Fixed / Demand Charge is meant to defray the capital related and other fixed costs while Energy Charges is meant to meet the running expenses i.e. fuel cost / variable portion of power purchase cost, etc. A </w:t>
      </w:r>
      <w:r w:rsidR="009A3804" w:rsidRPr="00942C19">
        <w:rPr>
          <w:i/>
        </w:rPr>
        <w:t>Licensee</w:t>
      </w:r>
      <w:r w:rsidRPr="00942C19">
        <w:rPr>
          <w:i/>
        </w:rPr>
        <w:t xml:space="preserve"> requires machinery, plant equipment, sub-stations, and transmission lines, etc., all of which need a large capital outlay.  For this purpose it has to raise funds by obtaining loans.  The loans have to be repaid with interest. In the total cost,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w:t>
      </w:r>
    </w:p>
    <w:p w:rsidR="00F651BA" w:rsidRPr="00942C19" w:rsidRDefault="00F651BA" w:rsidP="00F651BA">
      <w:pPr>
        <w:pStyle w:val="Heading4"/>
        <w:numPr>
          <w:ilvl w:val="0"/>
          <w:numId w:val="0"/>
        </w:numPr>
        <w:ind w:firstLine="720"/>
      </w:pPr>
      <w:r w:rsidRPr="00942C19">
        <w:t xml:space="preserve">It has been further mentioned in the said order that: </w:t>
      </w:r>
    </w:p>
    <w:p w:rsidR="00F651BA" w:rsidRPr="00942C19" w:rsidRDefault="00F651BA" w:rsidP="00F651BA">
      <w:pPr>
        <w:pStyle w:val="Heading4"/>
        <w:numPr>
          <w:ilvl w:val="0"/>
          <w:numId w:val="0"/>
        </w:numPr>
        <w:ind w:left="1440"/>
        <w:rPr>
          <w:i/>
        </w:rPr>
      </w:pPr>
      <w:r w:rsidRPr="00942C19">
        <w:rPr>
          <w:i/>
        </w:rPr>
        <w:t xml:space="preserve">“the minimum charges are recovered as </w:t>
      </w:r>
      <w:r w:rsidR="009A3804" w:rsidRPr="00942C19">
        <w:rPr>
          <w:i/>
        </w:rPr>
        <w:t>Licensee</w:t>
      </w:r>
      <w:r w:rsidRPr="00942C19">
        <w:rPr>
          <w:i/>
        </w:rPr>
        <w:t xml:space="preserve"> keeps in readiness of energy for the consumer to the extent of contracted demand. If the consumer does not avail of it, energy cannot be stored or </w:t>
      </w:r>
      <w:r w:rsidR="00D31494" w:rsidRPr="00942C19">
        <w:rPr>
          <w:i/>
        </w:rPr>
        <w:t>preserve. The</w:t>
      </w:r>
      <w:r w:rsidRPr="00942C19">
        <w:rPr>
          <w:i/>
        </w:rPr>
        <w:t xml:space="preserve"> consumer is therefore, required to pay a fixed sum for energy generation/purchase, even if he does not consume electricity at the contractual level.</w:t>
      </w:r>
      <w:r w:rsidR="00BA62D5" w:rsidRPr="00942C19">
        <w:rPr>
          <w:i/>
        </w:rPr>
        <w:t xml:space="preserve"> </w:t>
      </w:r>
      <w:r w:rsidRPr="00942C19">
        <w:rPr>
          <w:i/>
        </w:rPr>
        <w:t>The levy of minimum charges has been upheld legally, and is being used in several states to enable the utility to recover a part of fixed cost. The difference between levy of fixed charges and minimum charges is that while fixed charges are charged from consumer irrespective of consumption the minimum charges comes into effect only when the bill amount is less than certain prescribed amount. If the minimum charges are not levied than there will be increase in some other charges as the utility has to recover on its prudently incurred cost from consumer.”</w:t>
      </w:r>
    </w:p>
    <w:p w:rsidR="00F651BA" w:rsidRPr="00942C19" w:rsidRDefault="00F651BA" w:rsidP="00F651BA">
      <w:pPr>
        <w:pStyle w:val="Heading4"/>
        <w:numPr>
          <w:ilvl w:val="0"/>
          <w:numId w:val="0"/>
        </w:numPr>
      </w:pPr>
      <w:r w:rsidRPr="00942C19">
        <w:rPr>
          <w:i/>
        </w:rPr>
        <w:t xml:space="preserve"> </w:t>
      </w:r>
      <w:r w:rsidRPr="00942C19">
        <w:rPr>
          <w:i/>
        </w:rPr>
        <w:tab/>
      </w:r>
      <w:r w:rsidRPr="00942C19">
        <w:t>Therefore these charges are logical and necessary.</w:t>
      </w:r>
    </w:p>
    <w:p w:rsidR="00F651BA" w:rsidRPr="00942C19" w:rsidRDefault="00F651BA"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for LMV-5 category</w:t>
      </w:r>
      <w:r w:rsidR="00BA62D5" w:rsidRPr="00942C19">
        <w:t>,</w:t>
      </w:r>
      <w:r w:rsidRPr="00942C19">
        <w:t xml:space="preserve"> the Government is providing subsidy but for other categories subsidy is not provided therefore the tariff for LMV-4, LMV-5 and LMV-8 cannot be the same. The tariff for departmental employees is governed by the service rules of employees.</w:t>
      </w:r>
    </w:p>
    <w:p w:rsidR="00F651BA" w:rsidRPr="00942C19" w:rsidRDefault="00F651BA" w:rsidP="00540A34">
      <w:pPr>
        <w:pStyle w:val="Heading3"/>
        <w:tabs>
          <w:tab w:val="clear" w:pos="720"/>
          <w:tab w:val="clear" w:pos="936"/>
          <w:tab w:val="num" w:pos="993"/>
        </w:tabs>
        <w:spacing w:before="240" w:after="240"/>
      </w:pPr>
      <w:r w:rsidRPr="00942C19">
        <w:t xml:space="preserve">Separate tariff category for libraries is not possible as the </w:t>
      </w:r>
      <w:r w:rsidR="009A3804" w:rsidRPr="00942C19">
        <w:t>Licensee</w:t>
      </w:r>
      <w:r w:rsidRPr="00942C19">
        <w:t xml:space="preserve"> cannot discriminate among its consumers and that too for such a small class of consumers. Similarly, the request for Ashrams, Goushalas, Guest Houses, Buildings, etc built along with places of worship to get connection under LMV-1 (a)</w:t>
      </w:r>
      <w:r w:rsidR="00BA62D5" w:rsidRPr="00942C19">
        <w:t>,</w:t>
      </w:r>
      <w:r w:rsidRPr="00942C19">
        <w:t xml:space="preserve"> may not be considered as the consumers can always defray the incidence of the tariff burden on to the users of such Ashrams, guest houses, buildings, etc.</w:t>
      </w:r>
    </w:p>
    <w:p w:rsidR="00F651BA" w:rsidRPr="00942C19" w:rsidRDefault="00F651BA" w:rsidP="00540A34">
      <w:pPr>
        <w:pStyle w:val="Heading3"/>
        <w:tabs>
          <w:tab w:val="clear" w:pos="720"/>
          <w:tab w:val="clear" w:pos="936"/>
          <w:tab w:val="num" w:pos="993"/>
        </w:tabs>
        <w:spacing w:before="240" w:after="240"/>
      </w:pPr>
      <w:r w:rsidRPr="00942C19">
        <w:t xml:space="preserve">The </w:t>
      </w:r>
      <w:r w:rsidR="009A3804" w:rsidRPr="00942C19">
        <w:t>Licensee</w:t>
      </w:r>
      <w:r w:rsidR="002415FE" w:rsidRPr="00942C19">
        <w:t xml:space="preserve"> </w:t>
      </w:r>
      <w:r w:rsidRPr="00942C19">
        <w:t xml:space="preserve">submitted that the proposal to reduce the rebate to consumers getting supply up to 11 kV as per rural schedule from the existing level of 15% on demand and energy charges to 5% on the energy charges as proposed in the tariff proposal may be accepted. The </w:t>
      </w:r>
      <w:r w:rsidR="009A3804" w:rsidRPr="00942C19">
        <w:t>Licensee</w:t>
      </w:r>
      <w:r w:rsidRPr="00942C19">
        <w:t xml:space="preserve"> has stated that the quantum of the rebate needs to be scaled down to avoid abnormal aberrations in tariff between industries on rural and urban schedule. </w:t>
      </w:r>
    </w:p>
    <w:p w:rsidR="007C4987" w:rsidRPr="00942C19" w:rsidRDefault="007C4987" w:rsidP="00540A34">
      <w:pPr>
        <w:pStyle w:val="Heading3"/>
        <w:tabs>
          <w:tab w:val="clear" w:pos="720"/>
          <w:tab w:val="clear" w:pos="936"/>
          <w:tab w:val="num" w:pos="993"/>
        </w:tabs>
        <w:spacing w:before="240" w:after="240"/>
      </w:pPr>
      <w:r w:rsidRPr="00942C19">
        <w:t xml:space="preserve">In respect of MRI report, the </w:t>
      </w:r>
      <w:r w:rsidR="009A3804" w:rsidRPr="00942C19">
        <w:t>Licensee</w:t>
      </w:r>
      <w:r w:rsidRPr="00942C19">
        <w:t xml:space="preserve"> has stated that it is supplying MRI reports to the consumers.</w:t>
      </w:r>
    </w:p>
    <w:p w:rsidR="00C8001E" w:rsidRPr="00942C19" w:rsidRDefault="00C8001E" w:rsidP="00540A34">
      <w:pPr>
        <w:pStyle w:val="Heading3"/>
        <w:tabs>
          <w:tab w:val="clear" w:pos="720"/>
          <w:tab w:val="clear" w:pos="936"/>
          <w:tab w:val="num" w:pos="993"/>
        </w:tabs>
        <w:spacing w:before="240" w:after="240"/>
      </w:pPr>
      <w:r w:rsidRPr="00942C19">
        <w:t xml:space="preserve">Regarding, the condition of minimum load based on per ton capacity of furnace, it is prayed that the Commission may accept the proposal of the </w:t>
      </w:r>
      <w:r w:rsidR="009A3804" w:rsidRPr="00942C19">
        <w:t>Licensee</w:t>
      </w:r>
      <w:r w:rsidRPr="00942C19">
        <w:t xml:space="preserve"> considering</w:t>
      </w:r>
      <w:r w:rsidR="00BA62D5" w:rsidRPr="00942C19">
        <w:t>,</w:t>
      </w:r>
      <w:r w:rsidRPr="00942C19">
        <w:t xml:space="preserve"> that this was the case prescribed by the FY 2009-10 Tariff Order</w:t>
      </w:r>
      <w:r w:rsidR="00BA62D5" w:rsidRPr="00942C19">
        <w:t>.</w:t>
      </w:r>
    </w:p>
    <w:p w:rsidR="00F651BA" w:rsidRPr="00942C19" w:rsidRDefault="00F651BA" w:rsidP="002B0606">
      <w:pPr>
        <w:pStyle w:val="Default"/>
        <w:spacing w:before="240"/>
        <w:jc w:val="both"/>
        <w:rPr>
          <w:rFonts w:asciiTheme="minorHAnsi" w:hAnsiTheme="minorHAnsi" w:cstheme="minorHAnsi"/>
          <w:bCs/>
          <w:color w:val="auto"/>
        </w:rPr>
      </w:pPr>
    </w:p>
    <w:p w:rsidR="00F651BA" w:rsidRPr="00942C19" w:rsidRDefault="00F651BA" w:rsidP="00A818DC">
      <w:pPr>
        <w:pStyle w:val="ListParagraph"/>
        <w:numPr>
          <w:ilvl w:val="0"/>
          <w:numId w:val="36"/>
        </w:numPr>
        <w:tabs>
          <w:tab w:val="left" w:pos="1260"/>
        </w:tabs>
        <w:spacing w:before="0"/>
        <w:rPr>
          <w:rFonts w:asciiTheme="minorHAnsi" w:hAnsiTheme="minorHAnsi" w:cstheme="minorHAnsi"/>
          <w:b/>
          <w:i/>
        </w:rPr>
      </w:pPr>
      <w:r w:rsidRPr="00942C19">
        <w:rPr>
          <w:rFonts w:asciiTheme="minorHAnsi" w:hAnsiTheme="minorHAnsi" w:cstheme="minorHAnsi"/>
          <w:b/>
          <w:i/>
        </w:rPr>
        <w:t>The Commission’s views :</w:t>
      </w:r>
    </w:p>
    <w:p w:rsidR="00F651BA" w:rsidRPr="00942C19" w:rsidRDefault="00F651BA" w:rsidP="00F651BA">
      <w:pPr>
        <w:tabs>
          <w:tab w:val="left" w:pos="1260"/>
        </w:tabs>
        <w:ind w:left="450"/>
        <w:rPr>
          <w:rFonts w:asciiTheme="minorHAnsi" w:hAnsiTheme="minorHAnsi" w:cstheme="minorHAnsi"/>
          <w:b/>
          <w:i/>
        </w:rPr>
      </w:pPr>
    </w:p>
    <w:p w:rsidR="00F651BA" w:rsidRPr="00942C19" w:rsidRDefault="00F651BA" w:rsidP="00F651BA">
      <w:pPr>
        <w:rPr>
          <w:b/>
          <w:i/>
        </w:rPr>
      </w:pPr>
      <w:r w:rsidRPr="00942C19">
        <w:rPr>
          <w:b/>
          <w:i/>
        </w:rPr>
        <w:t>Minimum consumption charges / Fixed charges / Demand charges:</w:t>
      </w:r>
    </w:p>
    <w:p w:rsidR="00F651BA" w:rsidRPr="00942C19" w:rsidRDefault="00F651BA" w:rsidP="00540A34">
      <w:pPr>
        <w:pStyle w:val="Heading3"/>
        <w:tabs>
          <w:tab w:val="clear" w:pos="720"/>
          <w:tab w:val="clear" w:pos="936"/>
          <w:tab w:val="num" w:pos="993"/>
        </w:tabs>
        <w:spacing w:before="240" w:after="240"/>
      </w:pPr>
      <w:r w:rsidRPr="00942C19">
        <w:t xml:space="preserve">Fixed / Demand Charge is meant to defray the capital related and other fixed costs. A distribution </w:t>
      </w:r>
      <w:r w:rsidR="009A3804" w:rsidRPr="00942C19">
        <w:t>Licensee</w:t>
      </w:r>
      <w:r w:rsidRPr="00942C19">
        <w:t xml:space="preserve"> requires machinery, plant equipment, sub-stations, and transmission lines etc., all of which need a large capital outlay.  Laying down the said infrastructure requires funds which are raised either through debt or equity; both of which come at a cost. Further debt funds are to be repaid and equity </w:t>
      </w:r>
      <w:r w:rsidR="00BA62D5" w:rsidRPr="00942C19">
        <w:t>has to be serviced through return</w:t>
      </w:r>
      <w:r w:rsidRPr="00942C19">
        <w:t>. In the total cost</w:t>
      </w:r>
      <w:r w:rsidR="00BA62D5" w:rsidRPr="00942C19">
        <w:t>,</w:t>
      </w:r>
      <w:r w:rsidRPr="00942C19">
        <w:t xml:space="preserve">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The Commission has, only after considering the interest of consumer as well as </w:t>
      </w:r>
      <w:r w:rsidR="00BA62D5" w:rsidRPr="00942C19">
        <w:t>of the Licensee</w:t>
      </w:r>
      <w:r w:rsidRPr="00942C19">
        <w:t>, approved the hike in fixed charges as it reflects cost of supply.</w:t>
      </w:r>
    </w:p>
    <w:p w:rsidR="00F651BA" w:rsidRPr="00942C19" w:rsidRDefault="00F651BA" w:rsidP="00540A34">
      <w:pPr>
        <w:pStyle w:val="Heading3"/>
        <w:tabs>
          <w:tab w:val="clear" w:pos="720"/>
          <w:tab w:val="clear" w:pos="936"/>
          <w:tab w:val="num" w:pos="993"/>
        </w:tabs>
        <w:spacing w:before="240" w:after="240"/>
      </w:pPr>
      <w:r w:rsidRPr="00942C19">
        <w:t xml:space="preserve">The demand charges and energy charges have been increased in consideration of the Electricity Act, 2003 and </w:t>
      </w:r>
      <w:r w:rsidR="00BA62D5" w:rsidRPr="00942C19">
        <w:t>t</w:t>
      </w:r>
      <w:r w:rsidRPr="00942C19">
        <w:t>he National Tariff Policy.</w:t>
      </w:r>
    </w:p>
    <w:p w:rsidR="007C4987" w:rsidRPr="00942C19" w:rsidRDefault="007C4987" w:rsidP="00540A34">
      <w:pPr>
        <w:pStyle w:val="Heading3"/>
        <w:tabs>
          <w:tab w:val="clear" w:pos="720"/>
          <w:tab w:val="clear" w:pos="936"/>
          <w:tab w:val="num" w:pos="993"/>
        </w:tabs>
        <w:spacing w:before="240" w:after="240"/>
      </w:pPr>
      <w:r w:rsidRPr="00942C19">
        <w:t>The MRI reports may be provided to the consumers. In case, there is specific micro level issues</w:t>
      </w:r>
      <w:r w:rsidR="00BA62D5" w:rsidRPr="00942C19">
        <w:t>,</w:t>
      </w:r>
      <w:r w:rsidRPr="00942C19">
        <w:t xml:space="preserve"> in getting MRI reports, the consumers may approach the </w:t>
      </w:r>
      <w:r w:rsidR="00945107" w:rsidRPr="00942C19">
        <w:t>Consumer Grievance and Redressal F</w:t>
      </w:r>
      <w:r w:rsidR="00785E17" w:rsidRPr="00942C19">
        <w:t>orums (CGRF) for such issues.</w:t>
      </w:r>
    </w:p>
    <w:p w:rsidR="00F651BA" w:rsidRPr="00942C19" w:rsidRDefault="00785E17" w:rsidP="00540A34">
      <w:pPr>
        <w:pStyle w:val="Heading3"/>
        <w:tabs>
          <w:tab w:val="clear" w:pos="720"/>
          <w:tab w:val="clear" w:pos="936"/>
          <w:tab w:val="num" w:pos="993"/>
        </w:tabs>
        <w:spacing w:before="240" w:after="240"/>
      </w:pPr>
      <w:r w:rsidRPr="00942C19">
        <w:t>As regards to minimum charges, the Commission has decided to remove the minimum charges in respect of LMV-2 and LMV-6 categories.</w:t>
      </w:r>
    </w:p>
    <w:p w:rsidR="00F651BA" w:rsidRPr="00942C19" w:rsidRDefault="00F651BA" w:rsidP="00F651BA">
      <w:pPr>
        <w:pStyle w:val="Heading3"/>
        <w:numPr>
          <w:ilvl w:val="0"/>
          <w:numId w:val="0"/>
        </w:numPr>
        <w:ind w:left="720"/>
      </w:pPr>
    </w:p>
    <w:p w:rsidR="00F651BA" w:rsidRPr="00942C19" w:rsidRDefault="00F651BA" w:rsidP="00F651BA">
      <w:pPr>
        <w:pStyle w:val="Heading3"/>
        <w:numPr>
          <w:ilvl w:val="0"/>
          <w:numId w:val="0"/>
        </w:numPr>
        <w:rPr>
          <w:b/>
          <w:i/>
        </w:rPr>
      </w:pPr>
      <w:r w:rsidRPr="00942C19">
        <w:rPr>
          <w:b/>
          <w:i/>
        </w:rPr>
        <w:t>Revision in tariff</w:t>
      </w:r>
    </w:p>
    <w:p w:rsidR="00F651BA" w:rsidRPr="00942C19" w:rsidRDefault="00F651BA" w:rsidP="00540A34">
      <w:pPr>
        <w:pStyle w:val="Heading3"/>
        <w:tabs>
          <w:tab w:val="clear" w:pos="720"/>
          <w:tab w:val="clear" w:pos="936"/>
          <w:tab w:val="num" w:pos="993"/>
        </w:tabs>
        <w:spacing w:before="240" w:after="240"/>
      </w:pPr>
      <w:r w:rsidRPr="00942C19">
        <w:t>Special dispensation for libraries, etc is not possible. Similarly the request for Ashrams, Goushalas, Guest Houses, Buildings, etc built along with places of worship to get connection under LMV-1 (a) is not approved as the consumers can always defray the incidence of the tariff burden on to the users of such Ashrams, guest houses, buildings, etc.</w:t>
      </w:r>
    </w:p>
    <w:p w:rsidR="00F651BA" w:rsidRPr="00942C19" w:rsidRDefault="00F651BA" w:rsidP="00540A34">
      <w:pPr>
        <w:pStyle w:val="Heading3"/>
        <w:tabs>
          <w:tab w:val="clear" w:pos="720"/>
          <w:tab w:val="clear" w:pos="936"/>
          <w:tab w:val="num" w:pos="993"/>
        </w:tabs>
        <w:spacing w:before="240" w:after="240"/>
      </w:pPr>
      <w:r w:rsidRPr="00942C19">
        <w:t xml:space="preserve">The supply hour linked tariff structure is not being allowed due to reasons provided in the </w:t>
      </w:r>
      <w:r w:rsidR="003940AA" w:rsidRPr="00942C19">
        <w:t>other sections of this Order</w:t>
      </w:r>
      <w:r w:rsidRPr="00942C19">
        <w:t>.</w:t>
      </w:r>
    </w:p>
    <w:p w:rsidR="00F651BA" w:rsidRPr="00942C19" w:rsidRDefault="00F651BA" w:rsidP="00540A34">
      <w:pPr>
        <w:pStyle w:val="Heading3"/>
        <w:tabs>
          <w:tab w:val="clear" w:pos="720"/>
          <w:tab w:val="clear" w:pos="936"/>
          <w:tab w:val="num" w:pos="993"/>
        </w:tabs>
        <w:spacing w:before="240" w:after="240"/>
      </w:pPr>
      <w:r w:rsidRPr="00942C19">
        <w:t xml:space="preserve">Regarding the issue of resentment of the consumers in respect </w:t>
      </w:r>
      <w:r w:rsidR="00945107" w:rsidRPr="00942C19">
        <w:t xml:space="preserve">of the </w:t>
      </w:r>
      <w:r w:rsidRPr="00942C19">
        <w:t xml:space="preserve">increase of tariff and improving efficiency on the part of </w:t>
      </w:r>
      <w:r w:rsidR="00945107" w:rsidRPr="00942C19">
        <w:t>Licensee</w:t>
      </w:r>
      <w:r w:rsidRPr="00942C19">
        <w:t xml:space="preserve">, the present power situation in the State indicates that the supply is far short of the demand due to poor augmentation in generating capacity and higher T&amp;D losses. The current shortage in fuel supply in the country and increase in fuel prices are also likely to aggravate the situation further. This will definitely have an impact on tariff despite expectations of reasonable efficiency in operating parameters of the </w:t>
      </w:r>
      <w:r w:rsidR="009A3804" w:rsidRPr="00942C19">
        <w:t>Licensee</w:t>
      </w:r>
      <w:r w:rsidRPr="00942C19">
        <w:t xml:space="preserve">. The </w:t>
      </w:r>
      <w:r w:rsidR="009A3804" w:rsidRPr="00942C19">
        <w:t>Licensee</w:t>
      </w:r>
      <w:r w:rsidRPr="00942C19">
        <w:t xml:space="preserve"> </w:t>
      </w:r>
      <w:r w:rsidR="00945107" w:rsidRPr="00942C19">
        <w:t xml:space="preserve">should </w:t>
      </w:r>
      <w:r w:rsidRPr="00942C19">
        <w:t>initiate immediate steps to procure more long term power at reasonable rates to mitigate the demand supply gap.</w:t>
      </w:r>
    </w:p>
    <w:p w:rsidR="00553243" w:rsidRPr="00942C19" w:rsidRDefault="003940AA" w:rsidP="00540A34">
      <w:pPr>
        <w:pStyle w:val="Heading3"/>
        <w:tabs>
          <w:tab w:val="clear" w:pos="720"/>
          <w:tab w:val="clear" w:pos="936"/>
          <w:tab w:val="num" w:pos="993"/>
        </w:tabs>
        <w:spacing w:before="240" w:after="240"/>
      </w:pPr>
      <w:r w:rsidRPr="00942C19">
        <w:t xml:space="preserve">As for the issue of reduction in the rebate </w:t>
      </w:r>
      <w:r w:rsidR="002B0606" w:rsidRPr="00942C19">
        <w:t>to consumers getting supply up to 11 kV as per rural schedule from the existing level of 15% on demand and energy charges to 5% on the energy charges</w:t>
      </w:r>
      <w:r w:rsidRPr="00942C19">
        <w:t xml:space="preserve">, the </w:t>
      </w:r>
      <w:r w:rsidR="00553243" w:rsidRPr="00942C19">
        <w:t xml:space="preserve">Commission </w:t>
      </w:r>
      <w:r w:rsidR="00886282" w:rsidRPr="00942C19">
        <w:t>does not find any merit in the same</w:t>
      </w:r>
      <w:r w:rsidR="00553243" w:rsidRPr="00942C19">
        <w:t xml:space="preserve">. </w:t>
      </w:r>
    </w:p>
    <w:p w:rsidR="00553243" w:rsidRPr="00942C19"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553243" w:rsidRPr="00942C19"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370B31" w:rsidRPr="00942C19" w:rsidRDefault="00370B31" w:rsidP="00A818DC">
      <w:pPr>
        <w:pStyle w:val="Heading2"/>
        <w:numPr>
          <w:ilvl w:val="1"/>
          <w:numId w:val="21"/>
        </w:numPr>
      </w:pPr>
      <w:bookmarkStart w:id="393" w:name="_Toc337201353"/>
      <w:bookmarkStart w:id="394" w:name="_Toc337459194"/>
      <w:bookmarkStart w:id="395" w:name="_Toc338354667"/>
      <w:bookmarkStart w:id="396" w:name="_Toc357356091"/>
      <w:bookmarkStart w:id="397" w:name="_Toc357714381"/>
      <w:r w:rsidRPr="00942C19">
        <w:t>TOD TARIFF</w:t>
      </w:r>
      <w:bookmarkEnd w:id="393"/>
      <w:bookmarkEnd w:id="394"/>
      <w:bookmarkEnd w:id="395"/>
      <w:bookmarkEnd w:id="396"/>
      <w:bookmarkEnd w:id="397"/>
    </w:p>
    <w:p w:rsidR="00370B31" w:rsidRPr="00942C19" w:rsidRDefault="00370B31" w:rsidP="00370B31">
      <w:pPr>
        <w:pStyle w:val="Default"/>
        <w:jc w:val="both"/>
        <w:rPr>
          <w:rFonts w:asciiTheme="minorHAnsi" w:hAnsiTheme="minorHAnsi" w:cstheme="minorHAnsi"/>
          <w:bCs/>
          <w:color w:val="auto"/>
        </w:rPr>
      </w:pPr>
    </w:p>
    <w:p w:rsidR="00370B31" w:rsidRPr="00942C19" w:rsidRDefault="00370B31" w:rsidP="00A818DC">
      <w:pPr>
        <w:pStyle w:val="ListParagraph"/>
        <w:numPr>
          <w:ilvl w:val="0"/>
          <w:numId w:val="37"/>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370B31" w:rsidRPr="00942C19" w:rsidRDefault="00370B31" w:rsidP="00540A34">
      <w:pPr>
        <w:pStyle w:val="Heading3"/>
        <w:tabs>
          <w:tab w:val="clear" w:pos="720"/>
          <w:tab w:val="clear" w:pos="936"/>
          <w:tab w:val="num" w:pos="993"/>
        </w:tabs>
        <w:spacing w:before="240" w:after="240"/>
      </w:pPr>
      <w:r w:rsidRPr="00942C19">
        <w:t>The comments / suggestions submitted by Mr. R.K. Jain, Secretary, Western UP Chamber of Commerce &amp; Industry, Mr. S.B. Agarwal, Secy. Gen., Associated Chambers Of Commerce and Industry of UP, Mr. Rama Shanker Awasthi, Lucknow, Mr. Mahendra Swaroop, President, Cold Storage Association, Lucknow and Mr. Vishnu Bhagwan Agarwal, Chairman, National Chamber of Industries and Commerce, U.P., are as under:</w:t>
      </w:r>
    </w:p>
    <w:p w:rsidR="00370B31" w:rsidRPr="00942C19" w:rsidRDefault="00370B31" w:rsidP="00540A34">
      <w:pPr>
        <w:pStyle w:val="Heading3"/>
        <w:tabs>
          <w:tab w:val="clear" w:pos="720"/>
          <w:tab w:val="clear" w:pos="936"/>
          <w:tab w:val="num" w:pos="993"/>
        </w:tabs>
        <w:spacing w:before="240" w:after="240"/>
      </w:pPr>
      <w:r w:rsidRPr="00942C19">
        <w:t>The stakeholders have raised their concern towards withdrawal of TOD rates of energy charges for LMV-6 consumers. The stakeholders have expressed concern over the proposed reduction of rebate on energy charges for supply duration during night hours which have been reduced from 7.50% to 2.50% for HV-2 category consumers. Further, the stakeholders also expressed concern over the duration for such concessional rate of energy which has been proposed to be reduced by 1 hour (from 22-06 hours to 23-06 hours). Further, it has been stated that for normal duration also</w:t>
      </w:r>
      <w:r w:rsidR="00EE2C0B" w:rsidRPr="00942C19">
        <w:t>,</w:t>
      </w:r>
      <w:r w:rsidRPr="00942C19">
        <w:t xml:space="preserve"> duration has been proposed to be reduced by 1 hour and for higher rate, it has been increased by 2 hours. The stakeholders have alleged that this proposed change would result in effective increase in power bills by around 12% to 15%. </w:t>
      </w:r>
    </w:p>
    <w:p w:rsidR="00370B31" w:rsidRPr="00942C19" w:rsidRDefault="00370B31" w:rsidP="00370B31">
      <w:pPr>
        <w:pStyle w:val="Heading3"/>
        <w:numPr>
          <w:ilvl w:val="0"/>
          <w:numId w:val="0"/>
        </w:numPr>
        <w:ind w:left="720"/>
        <w:rPr>
          <w:rFonts w:asciiTheme="minorHAnsi" w:hAnsiTheme="minorHAnsi" w:cstheme="minorHAnsi"/>
        </w:rPr>
      </w:pPr>
    </w:p>
    <w:p w:rsidR="00370B31" w:rsidRPr="00942C19" w:rsidRDefault="002415FE" w:rsidP="00A818DC">
      <w:pPr>
        <w:pStyle w:val="Heading3"/>
        <w:numPr>
          <w:ilvl w:val="0"/>
          <w:numId w:val="37"/>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370B31" w:rsidRPr="00942C19">
        <w:rPr>
          <w:rFonts w:asciiTheme="minorHAnsi" w:hAnsiTheme="minorHAnsi" w:cstheme="minorHAnsi"/>
          <w:b/>
          <w:i/>
        </w:rPr>
        <w:t>:</w:t>
      </w:r>
    </w:p>
    <w:p w:rsidR="00370B31" w:rsidRPr="00942C19" w:rsidRDefault="00370B31"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concession and penalty for off-peak and peak timings have been proposed keeping in mind system conditions and availability of supply.</w:t>
      </w:r>
    </w:p>
    <w:p w:rsidR="00370B31" w:rsidRPr="00942C19" w:rsidRDefault="00370B31" w:rsidP="00370B31">
      <w:pPr>
        <w:pStyle w:val="Heading3"/>
        <w:numPr>
          <w:ilvl w:val="0"/>
          <w:numId w:val="0"/>
        </w:numPr>
        <w:ind w:left="720"/>
        <w:rPr>
          <w:rFonts w:asciiTheme="minorHAnsi" w:hAnsiTheme="minorHAnsi" w:cstheme="minorHAnsi"/>
        </w:rPr>
      </w:pPr>
    </w:p>
    <w:p w:rsidR="00370B31" w:rsidRPr="00942C19" w:rsidRDefault="00370B31" w:rsidP="00A818DC">
      <w:pPr>
        <w:pStyle w:val="Heading3"/>
        <w:numPr>
          <w:ilvl w:val="0"/>
          <w:numId w:val="37"/>
        </w:numPr>
        <w:spacing w:before="0"/>
        <w:rPr>
          <w:rFonts w:asciiTheme="minorHAnsi" w:hAnsiTheme="minorHAnsi" w:cstheme="minorHAnsi"/>
        </w:rPr>
      </w:pPr>
      <w:r w:rsidRPr="00942C19">
        <w:rPr>
          <w:rFonts w:asciiTheme="minorHAnsi" w:hAnsiTheme="minorHAnsi" w:cstheme="minorHAnsi"/>
          <w:b/>
          <w:i/>
        </w:rPr>
        <w:t>The Commission’s views:</w:t>
      </w:r>
    </w:p>
    <w:p w:rsidR="00370B31" w:rsidRPr="00942C19" w:rsidRDefault="00370B31" w:rsidP="00540A34">
      <w:pPr>
        <w:pStyle w:val="Heading3"/>
        <w:tabs>
          <w:tab w:val="clear" w:pos="720"/>
          <w:tab w:val="clear" w:pos="936"/>
          <w:tab w:val="num" w:pos="993"/>
        </w:tabs>
        <w:spacing w:before="240" w:after="240"/>
      </w:pPr>
      <w:r w:rsidRPr="00942C19">
        <w:t>TOD tariff is to balance the consumption between peak and off-peak period as well as to maintain the grid stability. The Commission, in the FY 2009-10 Tariff Order, had revised TOD tariff with an aim to incentivise consumers to optimise their consumption and to stagger their load in accordance to these charges.</w:t>
      </w:r>
    </w:p>
    <w:p w:rsidR="00370B31" w:rsidRPr="00942C19" w:rsidRDefault="00370B31" w:rsidP="00540A34">
      <w:pPr>
        <w:pStyle w:val="Heading3"/>
        <w:tabs>
          <w:tab w:val="clear" w:pos="720"/>
          <w:tab w:val="clear" w:pos="936"/>
          <w:tab w:val="num" w:pos="993"/>
        </w:tabs>
        <w:spacing w:before="240" w:after="240"/>
      </w:pPr>
      <w:r w:rsidRPr="00942C19">
        <w:t xml:space="preserve">In this suo-moto proceeding, the Commission is not inclined to re-visit the basic framework of the tariff structure, including the TOD tariff structure. If there is merit in the change in the TOD tariff structure, </w:t>
      </w:r>
      <w:r w:rsidR="00D11895" w:rsidRPr="00942C19">
        <w:t xml:space="preserve">it </w:t>
      </w:r>
      <w:r w:rsidRPr="00942C19">
        <w:t xml:space="preserve">would have to be substantiated by the </w:t>
      </w:r>
      <w:r w:rsidR="009A3804" w:rsidRPr="00942C19">
        <w:t>Licensee</w:t>
      </w:r>
      <w:r w:rsidRPr="00942C19">
        <w:t xml:space="preserve"> in </w:t>
      </w:r>
      <w:r w:rsidR="00D11895" w:rsidRPr="00942C19">
        <w:t xml:space="preserve">its </w:t>
      </w:r>
      <w:r w:rsidRPr="00942C19">
        <w:t xml:space="preserve">future </w:t>
      </w:r>
      <w:r w:rsidR="00D11895" w:rsidRPr="00942C19">
        <w:t>ARR / T</w:t>
      </w:r>
      <w:r w:rsidRPr="00942C19">
        <w:t>ariff filings.</w:t>
      </w:r>
    </w:p>
    <w:p w:rsidR="00370B31" w:rsidRPr="00942C19" w:rsidRDefault="00370B31" w:rsidP="00540A34">
      <w:pPr>
        <w:pStyle w:val="Heading3"/>
        <w:tabs>
          <w:tab w:val="clear" w:pos="720"/>
          <w:tab w:val="clear" w:pos="936"/>
          <w:tab w:val="num" w:pos="993"/>
        </w:tabs>
        <w:spacing w:before="240" w:after="240"/>
      </w:pPr>
      <w:r w:rsidRPr="00942C19">
        <w:t xml:space="preserve">The Discoms should initiate immediate steps to curb T&amp;D losses in the system and procure more long term power to improve the supply situation so that consumers can balance energy consumption. </w:t>
      </w:r>
    </w:p>
    <w:p w:rsidR="00370B31" w:rsidRPr="00942C19" w:rsidRDefault="00370B31" w:rsidP="00407FAE">
      <w:pPr>
        <w:pStyle w:val="Heading4"/>
        <w:numPr>
          <w:ilvl w:val="0"/>
          <w:numId w:val="0"/>
        </w:numPr>
        <w:spacing w:before="0"/>
        <w:ind w:left="864" w:hanging="864"/>
      </w:pPr>
    </w:p>
    <w:p w:rsidR="00370B31" w:rsidRPr="00942C19" w:rsidRDefault="00370B31" w:rsidP="00407FAE">
      <w:pPr>
        <w:pStyle w:val="Heading4"/>
        <w:numPr>
          <w:ilvl w:val="0"/>
          <w:numId w:val="0"/>
        </w:numPr>
        <w:spacing w:before="0"/>
        <w:ind w:left="864" w:hanging="864"/>
      </w:pPr>
    </w:p>
    <w:p w:rsidR="006A601F" w:rsidRPr="00942C19" w:rsidRDefault="006A601F" w:rsidP="00A818DC">
      <w:pPr>
        <w:pStyle w:val="Heading2"/>
        <w:numPr>
          <w:ilvl w:val="1"/>
          <w:numId w:val="21"/>
        </w:numPr>
      </w:pPr>
      <w:bookmarkStart w:id="398" w:name="_Toc337201348"/>
      <w:bookmarkStart w:id="399" w:name="_Toc337459189"/>
      <w:bookmarkStart w:id="400" w:name="_Toc338354662"/>
      <w:bookmarkStart w:id="401" w:name="_Toc357356092"/>
      <w:bookmarkStart w:id="402" w:name="_Toc357714382"/>
      <w:r w:rsidRPr="00942C19">
        <w:t>CROSS-SUBSIDIZATION OF TARIFF AND TARIFF SUBSIDY</w:t>
      </w:r>
      <w:bookmarkEnd w:id="398"/>
      <w:bookmarkEnd w:id="399"/>
      <w:bookmarkEnd w:id="400"/>
      <w:bookmarkEnd w:id="401"/>
      <w:bookmarkEnd w:id="402"/>
    </w:p>
    <w:p w:rsidR="006A601F" w:rsidRPr="00942C19" w:rsidRDefault="006A601F" w:rsidP="006A601F">
      <w:pPr>
        <w:pStyle w:val="Default"/>
        <w:jc w:val="both"/>
        <w:rPr>
          <w:rFonts w:asciiTheme="minorHAnsi" w:hAnsiTheme="minorHAnsi" w:cstheme="minorHAnsi"/>
          <w:bCs/>
          <w:color w:val="auto"/>
        </w:rPr>
      </w:pPr>
    </w:p>
    <w:p w:rsidR="006A601F" w:rsidRPr="00942C19" w:rsidRDefault="006A601F" w:rsidP="00A818DC">
      <w:pPr>
        <w:pStyle w:val="ListParagraph"/>
        <w:numPr>
          <w:ilvl w:val="0"/>
          <w:numId w:val="38"/>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6A601F" w:rsidRPr="00942C19" w:rsidRDefault="006A601F" w:rsidP="00540A34">
      <w:pPr>
        <w:pStyle w:val="Heading3"/>
        <w:tabs>
          <w:tab w:val="clear" w:pos="720"/>
          <w:tab w:val="clear" w:pos="936"/>
          <w:tab w:val="num" w:pos="993"/>
        </w:tabs>
        <w:spacing w:before="240" w:after="240"/>
      </w:pPr>
      <w:r w:rsidRPr="00942C19">
        <w:t>The comments / suggestion submitted by Mr. R.K. Jain, Secretary, Western UP Chamber of Commerce &amp; Industry, Mr. D.S Verma. Executive Director, Indian Industries Association, Mr. Rama Shanker Awasthi and Mr. S.B. Agarwal, Secy. Gen., Associated Chambers Of Commerce and Industry of UP</w:t>
      </w:r>
      <w:r w:rsidRPr="00942C19">
        <w:rPr>
          <w:rFonts w:asciiTheme="minorHAnsi" w:hAnsiTheme="minorHAnsi" w:cstheme="minorHAnsi"/>
        </w:rPr>
        <w:t xml:space="preserve"> </w:t>
      </w:r>
      <w:r w:rsidRPr="00942C19">
        <w:t>are as under:</w:t>
      </w:r>
    </w:p>
    <w:p w:rsidR="006A601F" w:rsidRPr="00942C19" w:rsidRDefault="006A601F" w:rsidP="00540A34">
      <w:pPr>
        <w:pStyle w:val="Heading3"/>
        <w:tabs>
          <w:tab w:val="clear" w:pos="720"/>
          <w:tab w:val="clear" w:pos="936"/>
          <w:tab w:val="num" w:pos="993"/>
        </w:tabs>
        <w:spacing w:before="240" w:after="240"/>
      </w:pPr>
      <w:r w:rsidRPr="00942C19">
        <w:t xml:space="preserve">The stakeholders highlighted that the </w:t>
      </w:r>
      <w:r w:rsidR="000C7416" w:rsidRPr="00942C19">
        <w:t xml:space="preserve">Licensee </w:t>
      </w:r>
      <w:r w:rsidRPr="00942C19">
        <w:t xml:space="preserve">are submitting their ARR without </w:t>
      </w:r>
      <w:r w:rsidR="000C7416" w:rsidRPr="00942C19">
        <w:t xml:space="preserve">disclosing </w:t>
      </w:r>
      <w:r w:rsidRPr="00942C19">
        <w:t xml:space="preserve">the levels of cross subsidisation. Further, as per </w:t>
      </w:r>
      <w:r w:rsidR="000C7416" w:rsidRPr="00942C19">
        <w:t>C</w:t>
      </w:r>
      <w:r w:rsidRPr="00942C19">
        <w:t xml:space="preserve">lause 8.3 of National Tariff Policy, the average cost of tariff should be within the range of +/- 20% of the cost of supply but the tariff proposal submitted by the utility is not as per this policy. Therefore they have objected to </w:t>
      </w:r>
      <w:r w:rsidR="000C7416" w:rsidRPr="00942C19">
        <w:t xml:space="preserve">the </w:t>
      </w:r>
      <w:r w:rsidRPr="00942C19">
        <w:t xml:space="preserve">increase in tariff. The stakeholders resented that </w:t>
      </w:r>
      <w:r w:rsidRPr="00942C19">
        <w:rPr>
          <w:rFonts w:asciiTheme="minorHAnsi" w:hAnsiTheme="minorHAnsi" w:cstheme="minorHAnsi"/>
        </w:rPr>
        <w:t>under present circumstances, how far it is justified to increase the tariff</w:t>
      </w:r>
      <w:r w:rsidRPr="00942C19">
        <w:t>. The stakeholders have requested the Commission to look into this matter while approving the tariff.</w:t>
      </w:r>
    </w:p>
    <w:p w:rsidR="006A601F" w:rsidRPr="00942C19" w:rsidRDefault="006A601F" w:rsidP="00540A34">
      <w:pPr>
        <w:pStyle w:val="Heading3"/>
        <w:tabs>
          <w:tab w:val="clear" w:pos="720"/>
          <w:tab w:val="clear" w:pos="936"/>
          <w:tab w:val="num" w:pos="993"/>
        </w:tabs>
        <w:spacing w:before="240" w:after="240"/>
      </w:pPr>
      <w:r w:rsidRPr="00942C19">
        <w:t xml:space="preserve">The stakeholders have opposed the cross-subsidization of electricity charges and have submitted that the subsidy to the consumers and cross subsidy between different categories of consumers should be phased out gradually which is in line with the statement of objectives and reasons of Electricity Act- 2003. Further cross subsidization of tariff between Discoms should be eliminated. There should be independent tariff formulation for all </w:t>
      </w:r>
      <w:r w:rsidR="000C7416" w:rsidRPr="00942C19">
        <w:t>Distribution Licensee</w:t>
      </w:r>
      <w:r w:rsidRPr="00942C19">
        <w:t>.</w:t>
      </w:r>
    </w:p>
    <w:p w:rsidR="006A601F" w:rsidRPr="00942C19" w:rsidRDefault="006A601F" w:rsidP="00540A34">
      <w:pPr>
        <w:pStyle w:val="Heading3"/>
        <w:tabs>
          <w:tab w:val="clear" w:pos="720"/>
          <w:tab w:val="clear" w:pos="936"/>
          <w:tab w:val="num" w:pos="993"/>
        </w:tabs>
        <w:spacing w:before="240" w:after="240"/>
      </w:pPr>
      <w:r w:rsidRPr="00942C19">
        <w:t>The stakeholders have expressed concern over high cross subsidisation by industrial consumers and have alleged that no efforts are visible in removing the discriminatory burden of higher charges on industries for providing subsidised power to other categories of consumers.</w:t>
      </w:r>
    </w:p>
    <w:p w:rsidR="006A601F" w:rsidRPr="00942C19" w:rsidRDefault="006A601F" w:rsidP="00540A34">
      <w:pPr>
        <w:pStyle w:val="Heading3"/>
        <w:tabs>
          <w:tab w:val="clear" w:pos="720"/>
          <w:tab w:val="clear" w:pos="936"/>
          <w:tab w:val="num" w:pos="993"/>
        </w:tabs>
        <w:spacing w:before="240" w:after="240"/>
      </w:pPr>
      <w:r w:rsidRPr="00942C19">
        <w:t>The stakeholder has submitted that the distribution companies have projected lower than feasible level of distribution losses which has a direct impact on lowering the quantum of GoUP subsidy that otherwise would have been available. This ultimately manifests into shortfall in revenues, which further escalates already high revenue gaps.</w:t>
      </w:r>
    </w:p>
    <w:p w:rsidR="006A601F" w:rsidRPr="00942C19" w:rsidRDefault="006A601F" w:rsidP="00540A34">
      <w:pPr>
        <w:pStyle w:val="Heading3"/>
        <w:tabs>
          <w:tab w:val="clear" w:pos="720"/>
          <w:tab w:val="clear" w:pos="936"/>
          <w:tab w:val="num" w:pos="993"/>
        </w:tabs>
        <w:spacing w:before="240" w:after="240"/>
      </w:pPr>
      <w:r w:rsidRPr="00942C19">
        <w:t xml:space="preserve">The stakeholders have pointed out that the distribution </w:t>
      </w:r>
      <w:r w:rsidR="009A3804" w:rsidRPr="00942C19">
        <w:t>Licensee</w:t>
      </w:r>
      <w:r w:rsidR="0075482C" w:rsidRPr="00942C19">
        <w:t>s</w:t>
      </w:r>
      <w:r w:rsidRPr="00942C19">
        <w:t xml:space="preserve"> had earlier submitted that the subsidy available from GoUP was to the tune of Rs. 4,500 </w:t>
      </w:r>
      <w:r w:rsidR="000C7416" w:rsidRPr="00942C19">
        <w:t xml:space="preserve">crores </w:t>
      </w:r>
      <w:r w:rsidRPr="00942C19">
        <w:t>for FY 2012-13. However, in a letter dated 7</w:t>
      </w:r>
      <w:r w:rsidRPr="00942C19">
        <w:rPr>
          <w:vertAlign w:val="superscript"/>
        </w:rPr>
        <w:t>th</w:t>
      </w:r>
      <w:r w:rsidRPr="00942C19">
        <w:t xml:space="preserve"> February, 2012, the GoUP acknowledged subsidy of Rs. 3,800 crore</w:t>
      </w:r>
      <w:r w:rsidR="000C7416" w:rsidRPr="00942C19">
        <w:t>s</w:t>
      </w:r>
      <w:r w:rsidRPr="00942C19">
        <w:t xml:space="preserve"> only. The stakeholder suggested that the difference in such subsidy must be realised from the Government and the said difference in the amount of subsidy cannot be recovered from the consumers through the tariff</w:t>
      </w:r>
      <w:r w:rsidR="000C7416" w:rsidRPr="00942C19">
        <w:t>.</w:t>
      </w:r>
      <w:r w:rsidRPr="00942C19">
        <w:t xml:space="preserve"> </w:t>
      </w:r>
    </w:p>
    <w:p w:rsidR="006A601F" w:rsidRPr="00942C19" w:rsidRDefault="006A601F" w:rsidP="00540A34">
      <w:pPr>
        <w:pStyle w:val="Heading3"/>
        <w:tabs>
          <w:tab w:val="clear" w:pos="720"/>
          <w:tab w:val="clear" w:pos="936"/>
          <w:tab w:val="num" w:pos="993"/>
        </w:tabs>
        <w:spacing w:before="240" w:after="240"/>
      </w:pPr>
      <w:r w:rsidRPr="00942C19">
        <w:t>The stakeholders have stated that as per the provision</w:t>
      </w:r>
      <w:r w:rsidR="000C7416" w:rsidRPr="00942C19">
        <w:t>s</w:t>
      </w:r>
      <w:r w:rsidRPr="00942C19">
        <w:t xml:space="preserve"> of Section 65 of the Electricity Act, 2003, that in case where the State Government requires the grant of any subsidy to any consumer or class of consumers, it shall pay in advance and in the manner as may be specified, the amounts to compensate by grant of subsidy</w:t>
      </w:r>
      <w:r w:rsidR="000C7416" w:rsidRPr="00942C19">
        <w:t>,</w:t>
      </w:r>
      <w:r w:rsidRPr="00942C19">
        <w:t xml:space="preserve"> in such manner as the State Commission may direct. However, the direction of the State Government shall not be operative if the payment is not made in the aforesaid manner and the tariff fixed by the State Commission shall be applicable from the date of issue of </w:t>
      </w:r>
      <w:r w:rsidR="000C7416" w:rsidRPr="00942C19">
        <w:t>O</w:t>
      </w:r>
      <w:r w:rsidRPr="00942C19">
        <w:t xml:space="preserve">rder by it. The stakeholder has stated that in cases where the State Government has not provided commensurate amount of subsidy towards subsidised categories, then balance amount of subsidy over the amount of cross subsidisation should be assumed to be received from Government by </w:t>
      </w:r>
      <w:r w:rsidR="009A3804" w:rsidRPr="00942C19">
        <w:t>Licensee</w:t>
      </w:r>
      <w:r w:rsidR="0075482C" w:rsidRPr="00942C19">
        <w:t>s</w:t>
      </w:r>
      <w:r w:rsidRPr="00942C19">
        <w:t xml:space="preserve"> and treated as revenue from </w:t>
      </w:r>
      <w:r w:rsidR="009A3804" w:rsidRPr="00942C19">
        <w:t>Licensee</w:t>
      </w:r>
      <w:r w:rsidRPr="00942C19">
        <w:t xml:space="preserve"> side and the burden of this gap</w:t>
      </w:r>
      <w:r w:rsidR="000C7416" w:rsidRPr="00942C19">
        <w:t>,</w:t>
      </w:r>
      <w:r w:rsidRPr="00942C19">
        <w:t xml:space="preserve"> if any</w:t>
      </w:r>
      <w:r w:rsidR="000C7416" w:rsidRPr="00942C19">
        <w:t>,</w:t>
      </w:r>
      <w:r w:rsidRPr="00942C19">
        <w:t xml:space="preserve"> should not be passed on to the consumer for recovery through tariff.</w:t>
      </w:r>
    </w:p>
    <w:p w:rsidR="006A601F" w:rsidRPr="00942C19" w:rsidRDefault="006A601F" w:rsidP="006A601F">
      <w:pPr>
        <w:pStyle w:val="Heading3"/>
        <w:numPr>
          <w:ilvl w:val="0"/>
          <w:numId w:val="0"/>
        </w:numPr>
        <w:ind w:left="720"/>
        <w:rPr>
          <w:rFonts w:asciiTheme="minorHAnsi" w:hAnsiTheme="minorHAnsi" w:cstheme="minorHAnsi"/>
        </w:rPr>
      </w:pPr>
    </w:p>
    <w:p w:rsidR="006A601F" w:rsidRPr="00942C19" w:rsidRDefault="002415FE" w:rsidP="00A818DC">
      <w:pPr>
        <w:pStyle w:val="Heading3"/>
        <w:numPr>
          <w:ilvl w:val="0"/>
          <w:numId w:val="38"/>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w:t>
      </w:r>
      <w:r w:rsidR="000C7416" w:rsidRPr="00942C19">
        <w:rPr>
          <w:rFonts w:cstheme="minorHAnsi"/>
          <w:b/>
          <w:i/>
        </w:rPr>
        <w:t>e</w:t>
      </w:r>
      <w:r w:rsidRPr="00942C19">
        <w:rPr>
          <w:rFonts w:cstheme="minorHAnsi"/>
          <w:b/>
          <w:i/>
        </w:rPr>
        <w:t>:</w:t>
      </w:r>
    </w:p>
    <w:p w:rsidR="00A24DCF" w:rsidRPr="00942C19" w:rsidRDefault="00A24DCF" w:rsidP="00A24DCF">
      <w:pPr>
        <w:pStyle w:val="Heading3"/>
        <w:numPr>
          <w:ilvl w:val="0"/>
          <w:numId w:val="0"/>
        </w:numPr>
        <w:tabs>
          <w:tab w:val="clear" w:pos="720"/>
        </w:tabs>
        <w:spacing w:before="0"/>
        <w:ind w:left="936"/>
      </w:pPr>
    </w:p>
    <w:p w:rsidR="006A601F" w:rsidRPr="00942C19" w:rsidRDefault="006A601F"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the proposed tariff hike in all consumer categories are within +/- 20% of the estimated cost of supply. </w:t>
      </w:r>
    </w:p>
    <w:p w:rsidR="006A601F" w:rsidRPr="00942C19" w:rsidRDefault="006A601F" w:rsidP="008876F1">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the subsidy is being provided to the needy category of consumers as per section 8.3 of the National Tariff Policy. Also, as stated in the </w:t>
      </w:r>
      <w:r w:rsidR="000C7416" w:rsidRPr="00942C19">
        <w:t>P</w:t>
      </w:r>
      <w:r w:rsidRPr="00942C19">
        <w:t>olicy, the tariff has been kept uniform across the State. Further, the uniform tariff across the State is in no way</w:t>
      </w:r>
      <w:r w:rsidR="000C7416" w:rsidRPr="00942C19">
        <w:t>,</w:t>
      </w:r>
      <w:r w:rsidRPr="00942C19">
        <w:t xml:space="preserve"> cross subsidizing other </w:t>
      </w:r>
      <w:r w:rsidR="000C7416" w:rsidRPr="00942C19">
        <w:t xml:space="preserve">Licensees, </w:t>
      </w:r>
      <w:r w:rsidRPr="00942C19">
        <w:t xml:space="preserve">as they are functioning independently and any Profit / Loss arising due to tariff hike will be reflected in their financial statements. Moreover profit making </w:t>
      </w:r>
      <w:r w:rsidR="000C7416" w:rsidRPr="00942C19">
        <w:t xml:space="preserve">Distribution Licensees’ </w:t>
      </w:r>
      <w:r w:rsidRPr="00942C19">
        <w:t xml:space="preserve">utilize the additional revenue for improving the quality of service to the consumers. The details of the budgeted subsidy as approved by the State Government, has already been furnished to the Hon’ble Commission. The complete copy of the State Budget is available at </w:t>
      </w:r>
      <w:hyperlink r:id="rId11" w:history="1">
        <w:r w:rsidRPr="00942C19">
          <w:rPr>
            <w:rStyle w:val="Hyperlink"/>
          </w:rPr>
          <w:t>www.upbudget.nic.in</w:t>
        </w:r>
      </w:hyperlink>
      <w:r w:rsidRPr="00942C19">
        <w:t xml:space="preserve">. </w:t>
      </w:r>
    </w:p>
    <w:p w:rsidR="006A601F" w:rsidRPr="00942C19" w:rsidRDefault="006A601F"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stated that the tariff proposal has been put up before the Hon’ble Commission and the Commission will take a </w:t>
      </w:r>
      <w:r w:rsidR="000C7416" w:rsidRPr="00942C19">
        <w:t xml:space="preserve">suitable </w:t>
      </w:r>
      <w:r w:rsidRPr="00942C19">
        <w:t>decision on the cross-subsidy.</w:t>
      </w:r>
    </w:p>
    <w:p w:rsidR="006A601F" w:rsidRPr="00942C19" w:rsidRDefault="006A601F"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the matter of subsidy is decided by the </w:t>
      </w:r>
      <w:r w:rsidR="000C7416" w:rsidRPr="00942C19">
        <w:t xml:space="preserve">State </w:t>
      </w:r>
      <w:r w:rsidRPr="00942C19">
        <w:t>Gov</w:t>
      </w:r>
      <w:r w:rsidR="000C7416" w:rsidRPr="00942C19">
        <w:t>ernment</w:t>
      </w:r>
      <w:r w:rsidRPr="00942C19">
        <w:t xml:space="preserve"> and its consideration in the ARR projects is decided by the Commission.</w:t>
      </w:r>
    </w:p>
    <w:p w:rsidR="006A601F" w:rsidRPr="00942C19" w:rsidRDefault="006A601F" w:rsidP="006A601F">
      <w:pPr>
        <w:pStyle w:val="Heading3"/>
        <w:numPr>
          <w:ilvl w:val="0"/>
          <w:numId w:val="0"/>
        </w:numPr>
        <w:ind w:left="720"/>
      </w:pPr>
    </w:p>
    <w:p w:rsidR="006A601F" w:rsidRPr="00942C19" w:rsidRDefault="006A601F" w:rsidP="00A818DC">
      <w:pPr>
        <w:pStyle w:val="Heading3"/>
        <w:numPr>
          <w:ilvl w:val="0"/>
          <w:numId w:val="38"/>
        </w:numPr>
        <w:spacing w:before="0"/>
        <w:rPr>
          <w:rFonts w:asciiTheme="minorHAnsi" w:hAnsiTheme="minorHAnsi" w:cstheme="minorHAnsi"/>
          <w:b/>
          <w:i/>
        </w:rPr>
      </w:pPr>
      <w:r w:rsidRPr="00942C19">
        <w:rPr>
          <w:rFonts w:asciiTheme="minorHAnsi" w:hAnsiTheme="minorHAnsi" w:cstheme="minorHAnsi"/>
          <w:b/>
          <w:i/>
        </w:rPr>
        <w:t>The Commission’s view:</w:t>
      </w:r>
    </w:p>
    <w:p w:rsidR="006A601F" w:rsidRPr="00942C19" w:rsidRDefault="006A601F" w:rsidP="00540A34">
      <w:pPr>
        <w:pStyle w:val="Heading3"/>
        <w:tabs>
          <w:tab w:val="clear" w:pos="720"/>
          <w:tab w:val="clear" w:pos="936"/>
          <w:tab w:val="num" w:pos="993"/>
        </w:tabs>
        <w:spacing w:before="240" w:after="240"/>
      </w:pPr>
      <w:r w:rsidRPr="00942C19">
        <w:t>The Commission is of the view that tariff should be rationalized. However, it is also aware of the socio-economic condition of different groups of the population. Therefore, it is of the opinion</w:t>
      </w:r>
      <w:r w:rsidR="000C7416" w:rsidRPr="00942C19">
        <w:t>,</w:t>
      </w:r>
      <w:r w:rsidRPr="00942C19">
        <w:t xml:space="preserve"> that there is a need to have a feasible solution that helps the cause of rationalization. The Commission has ensured that the tariff payable by these consumers is low</w:t>
      </w:r>
      <w:r w:rsidR="000C7416" w:rsidRPr="00942C19">
        <w:t>,</w:t>
      </w:r>
      <w:r w:rsidRPr="00942C19">
        <w:t xml:space="preserve"> keeping in mind that they belong to the most disadvantaged sections of the society. The current tariff for this category of consumers, well justifies the rationalization policy of the Commission and is in line with the National Tariff Policy.</w:t>
      </w:r>
    </w:p>
    <w:p w:rsidR="006A601F" w:rsidRPr="00942C19" w:rsidRDefault="006A601F" w:rsidP="00540A34">
      <w:pPr>
        <w:pStyle w:val="Heading3"/>
        <w:tabs>
          <w:tab w:val="clear" w:pos="720"/>
          <w:tab w:val="clear" w:pos="936"/>
          <w:tab w:val="num" w:pos="993"/>
        </w:tabs>
        <w:spacing w:before="240" w:after="240"/>
      </w:pPr>
      <w:r w:rsidRPr="00942C19">
        <w:t xml:space="preserve">Phasing out of subsidy is an ongoing process. However, needy consumers have to be given subsidy as per the guidelines provided by the </w:t>
      </w:r>
      <w:r w:rsidR="00886282" w:rsidRPr="00942C19">
        <w:t>Tariff Policy</w:t>
      </w:r>
      <w:r w:rsidRPr="00942C19">
        <w:t>. Also, uniform tariff and cross subsidy are two different issues altogether.</w:t>
      </w:r>
    </w:p>
    <w:p w:rsidR="006A601F" w:rsidRPr="00942C19" w:rsidRDefault="006A601F" w:rsidP="00540A34">
      <w:pPr>
        <w:pStyle w:val="Heading3"/>
        <w:tabs>
          <w:tab w:val="clear" w:pos="720"/>
          <w:tab w:val="clear" w:pos="936"/>
          <w:tab w:val="num" w:pos="993"/>
        </w:tabs>
        <w:spacing w:before="240" w:after="240"/>
      </w:pPr>
      <w:r w:rsidRPr="00942C19">
        <w:t xml:space="preserve">In accordance with the National Electricity Policy, consumers below poverty line who consume electricity below a specified level may receive a special support through cross subsidy. Tariffs for such designated group of consumers will be at least 50% of the average cost of supply. For achieving the objective </w:t>
      </w:r>
      <w:r w:rsidR="00785E17" w:rsidRPr="00942C19">
        <w:t xml:space="preserve">that the tariff progressively reflects the cost of supply of electricity, the Commission has ensured that the tariffs approved in this Order are within ± 20 % of the average cost of supply approved for FY 2013-14. </w:t>
      </w:r>
    </w:p>
    <w:p w:rsidR="00047DC4" w:rsidRPr="00942C19" w:rsidRDefault="00047DC4" w:rsidP="00540A34">
      <w:pPr>
        <w:pStyle w:val="Heading3"/>
        <w:tabs>
          <w:tab w:val="clear" w:pos="720"/>
          <w:tab w:val="clear" w:pos="936"/>
          <w:tab w:val="num" w:pos="993"/>
        </w:tabs>
        <w:spacing w:before="240" w:after="240"/>
      </w:pPr>
      <w:r w:rsidRPr="00942C19">
        <w:t>The Commission in the true up Order dated 21</w:t>
      </w:r>
      <w:r w:rsidR="00785E17" w:rsidRPr="00942C19">
        <w:rPr>
          <w:vertAlign w:val="superscript"/>
        </w:rPr>
        <w:t>st</w:t>
      </w:r>
      <w:r w:rsidRPr="00942C19">
        <w:t xml:space="preserve"> May, 2013 had computed the additional subsidy requirement from GoUP as the difference between actual cost of sales to subsidised categories and the revenue assessment to the subsidised categories of LMV-1 (a): Consumer getting supply as per "Rural Schedule" and LMV-5: Private Tube wells (PTW). Similarly, the Commission in this Order also, has computed the additional subsidy requirement from GoUP which ensures that commensurate subsidy from GoUP is factored in the ARR being approved for FY 2013-14.</w:t>
      </w:r>
    </w:p>
    <w:p w:rsidR="00370B31" w:rsidRPr="00942C19" w:rsidRDefault="00370B31" w:rsidP="00175C8B">
      <w:pPr>
        <w:pStyle w:val="Heading4"/>
        <w:numPr>
          <w:ilvl w:val="0"/>
          <w:numId w:val="0"/>
        </w:numPr>
        <w:spacing w:before="0"/>
        <w:ind w:left="864" w:hanging="864"/>
      </w:pPr>
    </w:p>
    <w:p w:rsidR="00553243" w:rsidRPr="00942C19" w:rsidRDefault="00553243" w:rsidP="00175C8B">
      <w:pPr>
        <w:pStyle w:val="Heading4"/>
        <w:numPr>
          <w:ilvl w:val="0"/>
          <w:numId w:val="0"/>
        </w:numPr>
        <w:spacing w:before="0"/>
        <w:ind w:left="864" w:hanging="864"/>
        <w:rPr>
          <w:rFonts w:asciiTheme="minorHAnsi" w:hAnsiTheme="minorHAnsi" w:cstheme="minorHAnsi"/>
          <w:bCs w:val="0"/>
        </w:rPr>
      </w:pPr>
    </w:p>
    <w:p w:rsidR="00696CB6" w:rsidRPr="00942C19" w:rsidRDefault="00696CB6" w:rsidP="00A818DC">
      <w:pPr>
        <w:pStyle w:val="Heading2"/>
        <w:numPr>
          <w:ilvl w:val="1"/>
          <w:numId w:val="21"/>
        </w:numPr>
      </w:pPr>
      <w:bookmarkStart w:id="403" w:name="_Toc337201349"/>
      <w:bookmarkStart w:id="404" w:name="_Toc337459190"/>
      <w:bookmarkStart w:id="405" w:name="_Toc338354663"/>
      <w:bookmarkStart w:id="406" w:name="_Toc357356093"/>
      <w:bookmarkStart w:id="407" w:name="_Toc357714383"/>
      <w:r w:rsidRPr="00942C19">
        <w:t>TARIFF FOR PRIVATE TUBE</w:t>
      </w:r>
      <w:r w:rsidR="000C7416" w:rsidRPr="00942C19">
        <w:t xml:space="preserve"> </w:t>
      </w:r>
      <w:r w:rsidRPr="00942C19">
        <w:t>WELL CONSUMERS, LIFE LINE CONSUMERS</w:t>
      </w:r>
      <w:bookmarkEnd w:id="403"/>
      <w:bookmarkEnd w:id="404"/>
      <w:bookmarkEnd w:id="405"/>
      <w:r w:rsidRPr="00942C19">
        <w:t xml:space="preserve"> AND RURAL CONSUMERS</w:t>
      </w:r>
      <w:bookmarkEnd w:id="406"/>
      <w:bookmarkEnd w:id="407"/>
    </w:p>
    <w:p w:rsidR="00696CB6" w:rsidRPr="00942C19" w:rsidRDefault="00696CB6" w:rsidP="00696CB6">
      <w:pPr>
        <w:pStyle w:val="Default"/>
        <w:spacing w:before="240"/>
        <w:jc w:val="both"/>
        <w:rPr>
          <w:rFonts w:asciiTheme="minorHAnsi" w:hAnsiTheme="minorHAnsi" w:cstheme="minorHAnsi"/>
          <w:bCs/>
          <w:color w:val="auto"/>
        </w:rPr>
      </w:pPr>
    </w:p>
    <w:p w:rsidR="00696CB6" w:rsidRPr="00942C19" w:rsidRDefault="00696CB6" w:rsidP="00A818DC">
      <w:pPr>
        <w:pStyle w:val="ListParagraph"/>
        <w:numPr>
          <w:ilvl w:val="0"/>
          <w:numId w:val="39"/>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C8001E" w:rsidRPr="00942C19" w:rsidRDefault="00696CB6" w:rsidP="00540A34">
      <w:pPr>
        <w:pStyle w:val="Heading3"/>
        <w:tabs>
          <w:tab w:val="clear" w:pos="720"/>
          <w:tab w:val="clear" w:pos="936"/>
          <w:tab w:val="num" w:pos="993"/>
        </w:tabs>
        <w:spacing w:before="240" w:after="240"/>
      </w:pPr>
      <w:r w:rsidRPr="00942C19">
        <w:rPr>
          <w:rFonts w:asciiTheme="minorHAnsi" w:hAnsiTheme="minorHAnsi" w:cstheme="minorHAnsi"/>
        </w:rPr>
        <w:t xml:space="preserve">Mr. </w:t>
      </w:r>
      <w:r w:rsidR="009A3804" w:rsidRPr="00942C19">
        <w:t>Awadhesh</w:t>
      </w:r>
      <w:r w:rsidRPr="00942C19">
        <w:rPr>
          <w:rFonts w:asciiTheme="minorHAnsi" w:hAnsiTheme="minorHAnsi" w:cstheme="minorHAnsi"/>
        </w:rPr>
        <w:t xml:space="preserve"> Kumar Verma, Chairman, </w:t>
      </w:r>
      <w:r w:rsidR="00D31494" w:rsidRPr="00942C19">
        <w:rPr>
          <w:rFonts w:asciiTheme="minorHAnsi" w:hAnsiTheme="minorHAnsi" w:cstheme="minorHAnsi"/>
        </w:rPr>
        <w:t>U.P. Rajya</w:t>
      </w:r>
      <w:r w:rsidRPr="00942C19">
        <w:rPr>
          <w:rFonts w:asciiTheme="minorHAnsi" w:hAnsiTheme="minorHAnsi" w:cstheme="minorHAnsi"/>
        </w:rPr>
        <w:t xml:space="preserve"> Vidyut Upbhokta Parishad </w:t>
      </w:r>
      <w:r w:rsidR="00C8001E" w:rsidRPr="00942C19">
        <w:rPr>
          <w:rFonts w:asciiTheme="minorHAnsi" w:hAnsiTheme="minorHAnsi" w:cstheme="minorHAnsi"/>
        </w:rPr>
        <w:t xml:space="preserve">and </w:t>
      </w:r>
      <w:r w:rsidR="00C8001E" w:rsidRPr="00942C19">
        <w:t xml:space="preserve">Mr. Gokul Bhai, Lucknow Footpath Vyapar Samanvyay Samiti, have suggested that a scheme for providing electricity connections to footpath vendors be framed by the Commission / </w:t>
      </w:r>
      <w:r w:rsidR="000C7416" w:rsidRPr="00942C19">
        <w:t>D</w:t>
      </w:r>
      <w:r w:rsidR="00C8001E" w:rsidRPr="00942C19">
        <w:t xml:space="preserve">istribution </w:t>
      </w:r>
      <w:r w:rsidR="000C7416" w:rsidRPr="00942C19">
        <w:t xml:space="preserve">Licensee </w:t>
      </w:r>
      <w:r w:rsidR="00C8001E" w:rsidRPr="00942C19">
        <w:t xml:space="preserve">which may end the exploitation of footpath vendors and would also lead to increased revenue for the </w:t>
      </w:r>
      <w:r w:rsidR="000C7416" w:rsidRPr="00942C19">
        <w:t>D</w:t>
      </w:r>
      <w:r w:rsidR="00C8001E" w:rsidRPr="00942C19">
        <w:t xml:space="preserve">istribution </w:t>
      </w:r>
      <w:r w:rsidR="000C7416" w:rsidRPr="00942C19">
        <w:t>Licensees’</w:t>
      </w:r>
      <w:r w:rsidR="00C8001E" w:rsidRPr="00942C19">
        <w:t>.</w:t>
      </w:r>
    </w:p>
    <w:p w:rsidR="00696CB6" w:rsidRPr="00942C19" w:rsidRDefault="00C8001E" w:rsidP="00540A34">
      <w:pPr>
        <w:pStyle w:val="Heading3"/>
        <w:tabs>
          <w:tab w:val="clear" w:pos="720"/>
          <w:tab w:val="clear" w:pos="936"/>
          <w:tab w:val="num" w:pos="993"/>
        </w:tabs>
        <w:spacing w:before="240" w:after="240"/>
      </w:pPr>
      <w:r w:rsidRPr="00942C19">
        <w:rPr>
          <w:rFonts w:asciiTheme="minorHAnsi" w:hAnsiTheme="minorHAnsi" w:cstheme="minorHAnsi"/>
        </w:rPr>
        <w:t xml:space="preserve">Mr. </w:t>
      </w:r>
      <w:r w:rsidR="009A3804" w:rsidRPr="00942C19">
        <w:t>Awadhesh</w:t>
      </w:r>
      <w:r w:rsidRPr="00942C19">
        <w:rPr>
          <w:rFonts w:asciiTheme="minorHAnsi" w:hAnsiTheme="minorHAnsi" w:cstheme="minorHAnsi"/>
        </w:rPr>
        <w:t xml:space="preserve"> Kumar Verma, Chairman, </w:t>
      </w:r>
      <w:r w:rsidR="00D31494" w:rsidRPr="00942C19">
        <w:rPr>
          <w:rFonts w:asciiTheme="minorHAnsi" w:hAnsiTheme="minorHAnsi" w:cstheme="minorHAnsi"/>
        </w:rPr>
        <w:t>U.P. Rajya</w:t>
      </w:r>
      <w:r w:rsidRPr="00942C19">
        <w:rPr>
          <w:rFonts w:asciiTheme="minorHAnsi" w:hAnsiTheme="minorHAnsi" w:cstheme="minorHAnsi"/>
        </w:rPr>
        <w:t xml:space="preserve"> Vidyut Upbhokta Parishad </w:t>
      </w:r>
      <w:r w:rsidR="00696CB6" w:rsidRPr="00942C19">
        <w:rPr>
          <w:rFonts w:asciiTheme="minorHAnsi" w:hAnsiTheme="minorHAnsi" w:cstheme="minorHAnsi"/>
        </w:rPr>
        <w:t xml:space="preserve">requested that </w:t>
      </w:r>
      <w:r w:rsidR="00696CB6" w:rsidRPr="00942C19">
        <w:t>the</w:t>
      </w:r>
      <w:r w:rsidR="00696CB6" w:rsidRPr="00942C19">
        <w:rPr>
          <w:rFonts w:asciiTheme="minorHAnsi" w:hAnsiTheme="minorHAnsi" w:cstheme="minorHAnsi"/>
        </w:rPr>
        <w:t xml:space="preserve"> tariff for agriculture pump</w:t>
      </w:r>
      <w:r w:rsidR="000C7416" w:rsidRPr="00942C19">
        <w:rPr>
          <w:rFonts w:asciiTheme="minorHAnsi" w:hAnsiTheme="minorHAnsi" w:cstheme="minorHAnsi"/>
        </w:rPr>
        <w:t xml:space="preserve"> </w:t>
      </w:r>
      <w:r w:rsidR="00696CB6" w:rsidRPr="00942C19">
        <w:rPr>
          <w:rFonts w:asciiTheme="minorHAnsi" w:hAnsiTheme="minorHAnsi" w:cstheme="minorHAnsi"/>
        </w:rPr>
        <w:t>sets (LMV-5) may be retained at the existing rates as the hours of supply to such consumers is the lowest in the state and since agriculturists need electricity to irrigate their farms.</w:t>
      </w:r>
    </w:p>
    <w:p w:rsidR="00696CB6" w:rsidRPr="00942C19" w:rsidRDefault="00696CB6" w:rsidP="00540A34">
      <w:pPr>
        <w:pStyle w:val="Heading3"/>
        <w:tabs>
          <w:tab w:val="clear" w:pos="720"/>
          <w:tab w:val="clear" w:pos="936"/>
          <w:tab w:val="num" w:pos="993"/>
        </w:tabs>
        <w:spacing w:before="240" w:after="240"/>
      </w:pPr>
      <w:r w:rsidRPr="00942C19">
        <w:rPr>
          <w:rFonts w:asciiTheme="minorHAnsi" w:hAnsiTheme="minorHAnsi" w:cstheme="minorHAnsi"/>
        </w:rPr>
        <w:t xml:space="preserve">Mr. </w:t>
      </w:r>
      <w:r w:rsidR="009A3804" w:rsidRPr="00942C19">
        <w:t>Awadhesh</w:t>
      </w:r>
      <w:r w:rsidRPr="00942C19">
        <w:rPr>
          <w:rFonts w:asciiTheme="minorHAnsi" w:hAnsiTheme="minorHAnsi" w:cstheme="minorHAnsi"/>
        </w:rPr>
        <w:t xml:space="preserve"> Kumar Verma, Chairman, </w:t>
      </w:r>
      <w:r w:rsidR="00D31494" w:rsidRPr="00942C19">
        <w:rPr>
          <w:rFonts w:asciiTheme="minorHAnsi" w:hAnsiTheme="minorHAnsi" w:cstheme="minorHAnsi"/>
        </w:rPr>
        <w:t>U.P. Rajya</w:t>
      </w:r>
      <w:r w:rsidRPr="00942C19">
        <w:rPr>
          <w:rFonts w:asciiTheme="minorHAnsi" w:hAnsiTheme="minorHAnsi" w:cstheme="minorHAnsi"/>
        </w:rPr>
        <w:t xml:space="preserve"> Vidyut Upbhokta Parishad</w:t>
      </w:r>
      <w:r w:rsidRPr="00942C19">
        <w:t xml:space="preserve"> requested that the slab for lifeline consumers be increased from 150 units to 200 units per month. He also objected on the proposed hike in the tariff of rural consumers. </w:t>
      </w:r>
    </w:p>
    <w:p w:rsidR="00696CB6" w:rsidRPr="00942C19" w:rsidRDefault="00696CB6" w:rsidP="00696CB6">
      <w:pPr>
        <w:pStyle w:val="Heading3"/>
        <w:numPr>
          <w:ilvl w:val="0"/>
          <w:numId w:val="0"/>
        </w:numPr>
        <w:ind w:left="720"/>
        <w:rPr>
          <w:rFonts w:asciiTheme="minorHAnsi" w:hAnsiTheme="minorHAnsi" w:cstheme="minorHAnsi"/>
        </w:rPr>
      </w:pPr>
    </w:p>
    <w:p w:rsidR="00696CB6" w:rsidRPr="00942C19" w:rsidRDefault="002415FE" w:rsidP="00A818DC">
      <w:pPr>
        <w:pStyle w:val="ListParagraph"/>
        <w:numPr>
          <w:ilvl w:val="0"/>
          <w:numId w:val="39"/>
        </w:numPr>
        <w:tabs>
          <w:tab w:val="left" w:pos="1260"/>
        </w:tabs>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696CB6" w:rsidRPr="00942C19">
        <w:rPr>
          <w:rFonts w:asciiTheme="minorHAnsi" w:hAnsiTheme="minorHAnsi" w:cstheme="minorHAnsi"/>
          <w:b/>
          <w:i/>
        </w:rPr>
        <w:t>:</w:t>
      </w:r>
    </w:p>
    <w:p w:rsidR="00696CB6" w:rsidRPr="00942C19" w:rsidRDefault="00696CB6"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the proposed tariff hike in rural category and private tube wells is aimed at tariff rationalisation. The subsidy available from State Government is not commensurate to cover the loss of supply to rural and PTW consumers’ vis-à-vis the cost of service. Hence the proposal of the </w:t>
      </w:r>
      <w:r w:rsidR="009A3804" w:rsidRPr="00942C19">
        <w:t>Licensee</w:t>
      </w:r>
      <w:r w:rsidRPr="00942C19">
        <w:t xml:space="preserve"> for tariff revision may be considered.</w:t>
      </w:r>
    </w:p>
    <w:p w:rsidR="00696CB6" w:rsidRPr="00942C19" w:rsidRDefault="00696CB6"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proposed a reduction in the eligible quantum (in terms of units) of life</w:t>
      </w:r>
      <w:r w:rsidR="00755F22" w:rsidRPr="00942C19">
        <w:t xml:space="preserve"> </w:t>
      </w:r>
      <w:r w:rsidRPr="00942C19">
        <w:t xml:space="preserve">line consumers and has proposed a tariff hike to make the tariff for lifeline consumers consistent with the Electricity Act, 2003, National Electricity Policy and Tariff Policy, 2006. In accordance with the National Electricity Policy, consumers below poverty line who consume electricity below a specified level may receive a special support through cross subsidy. Tariffs for such designated group of consumers will be at least 50% of the average cost of supply.   </w:t>
      </w:r>
    </w:p>
    <w:p w:rsidR="00696CB6" w:rsidRPr="00942C19" w:rsidRDefault="00696CB6" w:rsidP="00696CB6">
      <w:pPr>
        <w:pStyle w:val="Heading3"/>
        <w:numPr>
          <w:ilvl w:val="0"/>
          <w:numId w:val="0"/>
        </w:numPr>
        <w:ind w:left="720"/>
        <w:rPr>
          <w:rFonts w:asciiTheme="minorHAnsi" w:hAnsiTheme="minorHAnsi" w:cstheme="minorHAnsi"/>
        </w:rPr>
      </w:pPr>
    </w:p>
    <w:p w:rsidR="00696CB6" w:rsidRPr="00942C19" w:rsidRDefault="00696CB6" w:rsidP="00A818DC">
      <w:pPr>
        <w:pStyle w:val="Heading3"/>
        <w:numPr>
          <w:ilvl w:val="0"/>
          <w:numId w:val="39"/>
        </w:numPr>
        <w:spacing w:before="0"/>
        <w:rPr>
          <w:rFonts w:asciiTheme="minorHAnsi" w:hAnsiTheme="minorHAnsi" w:cstheme="minorHAnsi"/>
          <w:b/>
          <w:i/>
        </w:rPr>
      </w:pPr>
      <w:r w:rsidRPr="00942C19">
        <w:rPr>
          <w:rFonts w:asciiTheme="minorHAnsi" w:hAnsiTheme="minorHAnsi" w:cstheme="minorHAnsi"/>
          <w:b/>
          <w:i/>
        </w:rPr>
        <w:t>The Commission’s view:</w:t>
      </w:r>
    </w:p>
    <w:p w:rsidR="00696CB6" w:rsidRPr="00942C19" w:rsidRDefault="00696CB6" w:rsidP="00540A34">
      <w:pPr>
        <w:pStyle w:val="Heading3"/>
        <w:tabs>
          <w:tab w:val="clear" w:pos="720"/>
          <w:tab w:val="clear" w:pos="936"/>
          <w:tab w:val="num" w:pos="993"/>
        </w:tabs>
        <w:spacing w:before="240" w:after="240"/>
      </w:pPr>
      <w:r w:rsidRPr="00942C19">
        <w:t xml:space="preserve">The Commission is entrusted with the role of protecting the interests of the consumers as well as those of the </w:t>
      </w:r>
      <w:r w:rsidR="009A3804" w:rsidRPr="00942C19">
        <w:t>Licensee</w:t>
      </w:r>
      <w:r w:rsidR="0075482C" w:rsidRPr="00942C19">
        <w:t>s</w:t>
      </w:r>
      <w:r w:rsidRPr="00942C19">
        <w:t xml:space="preserve">. Tariff rationalisation is crucial to achieve the objectives of the Electricity Act, 2003. The subsidy provided by the State Government is not commensurate to cover the gap in the sales to subsidised categories. Hence, the Commission is constrained to increase the tariff of the </w:t>
      </w:r>
      <w:r w:rsidR="00755F22" w:rsidRPr="00942C19">
        <w:t xml:space="preserve">private tube wells </w:t>
      </w:r>
      <w:r w:rsidRPr="00942C19">
        <w:t>and rural consumers.</w:t>
      </w:r>
    </w:p>
    <w:p w:rsidR="00696CB6" w:rsidRPr="00942C19" w:rsidRDefault="00696CB6" w:rsidP="00540A34">
      <w:pPr>
        <w:pStyle w:val="Heading3"/>
        <w:tabs>
          <w:tab w:val="clear" w:pos="720"/>
          <w:tab w:val="clear" w:pos="936"/>
          <w:tab w:val="num" w:pos="993"/>
        </w:tabs>
        <w:spacing w:before="240" w:after="240"/>
      </w:pPr>
      <w:r w:rsidRPr="00942C19">
        <w:t>The tariff for the life line consumers has been approved by the Commission considering the stipulations of the Electricity Act, 2003, National Electricity Policy and Tariff Policy.</w:t>
      </w:r>
    </w:p>
    <w:p w:rsidR="00696CB6" w:rsidRPr="00942C19" w:rsidRDefault="00696CB6" w:rsidP="000311E6">
      <w:pPr>
        <w:pStyle w:val="Heading4"/>
        <w:numPr>
          <w:ilvl w:val="0"/>
          <w:numId w:val="0"/>
        </w:numPr>
        <w:spacing w:before="0"/>
        <w:ind w:left="864"/>
      </w:pPr>
    </w:p>
    <w:p w:rsidR="00696CB6" w:rsidRPr="00942C19" w:rsidRDefault="00696CB6" w:rsidP="000311E6">
      <w:pPr>
        <w:pStyle w:val="Heading4"/>
        <w:numPr>
          <w:ilvl w:val="0"/>
          <w:numId w:val="0"/>
        </w:numPr>
        <w:spacing w:before="0"/>
        <w:ind w:left="864" w:hanging="864"/>
        <w:rPr>
          <w:rFonts w:asciiTheme="minorHAnsi" w:hAnsiTheme="minorHAnsi" w:cstheme="minorHAnsi"/>
          <w:bCs w:val="0"/>
        </w:rPr>
      </w:pPr>
    </w:p>
    <w:p w:rsidR="003818F5" w:rsidRPr="00942C19" w:rsidRDefault="003818F5" w:rsidP="00A818DC">
      <w:pPr>
        <w:pStyle w:val="Heading2"/>
        <w:numPr>
          <w:ilvl w:val="1"/>
          <w:numId w:val="21"/>
        </w:numPr>
      </w:pPr>
      <w:bookmarkStart w:id="408" w:name="_Toc338354648"/>
      <w:bookmarkStart w:id="409" w:name="_Toc357356094"/>
      <w:bookmarkStart w:id="410" w:name="_Toc357714384"/>
      <w:r w:rsidRPr="00942C19">
        <w:t>GENERAL ISSUES AND COMMENTS:</w:t>
      </w:r>
      <w:bookmarkEnd w:id="408"/>
      <w:bookmarkEnd w:id="409"/>
      <w:bookmarkEnd w:id="410"/>
    </w:p>
    <w:p w:rsidR="00175C8B" w:rsidRPr="00942C19" w:rsidRDefault="00175C8B" w:rsidP="00175C8B">
      <w:pPr>
        <w:pStyle w:val="Heading2"/>
        <w:numPr>
          <w:ilvl w:val="0"/>
          <w:numId w:val="0"/>
        </w:numPr>
        <w:ind w:left="780"/>
      </w:pPr>
    </w:p>
    <w:p w:rsidR="003818F5" w:rsidRPr="00942C19" w:rsidRDefault="003818F5" w:rsidP="00A818DC">
      <w:pPr>
        <w:pStyle w:val="ListParagraph"/>
        <w:numPr>
          <w:ilvl w:val="0"/>
          <w:numId w:val="40"/>
        </w:numPr>
        <w:spacing w:before="0"/>
        <w:rPr>
          <w:b/>
          <w:i/>
        </w:rPr>
      </w:pPr>
      <w:r w:rsidRPr="00942C19">
        <w:rPr>
          <w:b/>
          <w:i/>
        </w:rPr>
        <w:t>Comments / Suggestions of the Public</w:t>
      </w:r>
    </w:p>
    <w:p w:rsidR="003818F5" w:rsidRPr="00942C19" w:rsidRDefault="003818F5" w:rsidP="00540A34">
      <w:pPr>
        <w:pStyle w:val="Heading3"/>
        <w:tabs>
          <w:tab w:val="clear" w:pos="720"/>
          <w:tab w:val="clear" w:pos="936"/>
          <w:tab w:val="num" w:pos="993"/>
        </w:tabs>
        <w:spacing w:before="240" w:after="240"/>
      </w:pPr>
      <w:r w:rsidRPr="00942C19">
        <w:t xml:space="preserve">The comments/ suggestions submitted by Mr. Dharam Veer Singh, Mr. </w:t>
      </w:r>
      <w:r w:rsidRPr="00942C19">
        <w:rPr>
          <w:rFonts w:asciiTheme="minorHAnsi" w:hAnsiTheme="minorHAnsi" w:cstheme="minorHAnsi"/>
          <w:szCs w:val="24"/>
        </w:rPr>
        <w:t xml:space="preserve">Shashi Bhushan </w:t>
      </w:r>
      <w:r w:rsidRPr="00942C19">
        <w:t>Mishra</w:t>
      </w:r>
      <w:r w:rsidRPr="00942C19">
        <w:rPr>
          <w:rFonts w:asciiTheme="minorHAnsi" w:hAnsiTheme="minorHAnsi" w:cstheme="minorHAnsi"/>
          <w:szCs w:val="24"/>
        </w:rPr>
        <w:t>, Sachiv, Upbhokta Sanrakshan Evam Kalyan Samiti, Mathura</w:t>
      </w:r>
      <w:r w:rsidRPr="00942C19">
        <w:t xml:space="preserve">, Mr. Anil Gupta, Mr. Chotebhai Naronha, Convenor, Kanpur Nagrik Manch, Mr. Kanhaiyalal Gupta ‘Salil’, Secretary, Kanpur Nagrik Manch, Mr. N.P. Singh, Federation of Noida Residents Welfare Association, Mr. </w:t>
      </w:r>
      <w:r w:rsidR="009A3804" w:rsidRPr="00942C19">
        <w:rPr>
          <w:rFonts w:asciiTheme="minorHAnsi" w:hAnsiTheme="minorHAnsi" w:cstheme="minorHAnsi"/>
        </w:rPr>
        <w:t>Awadhesh</w:t>
      </w:r>
      <w:r w:rsidRPr="00942C19">
        <w:rPr>
          <w:rFonts w:asciiTheme="minorHAnsi" w:hAnsiTheme="minorHAnsi" w:cstheme="minorHAnsi"/>
        </w:rPr>
        <w:t xml:space="preserve"> Kumar Verma, Chairman, </w:t>
      </w:r>
      <w:r w:rsidR="00D31494" w:rsidRPr="00942C19">
        <w:rPr>
          <w:rFonts w:asciiTheme="minorHAnsi" w:hAnsiTheme="minorHAnsi" w:cstheme="minorHAnsi"/>
        </w:rPr>
        <w:t>U.P. Rajya</w:t>
      </w:r>
      <w:r w:rsidRPr="00942C19">
        <w:rPr>
          <w:rFonts w:asciiTheme="minorHAnsi" w:hAnsiTheme="minorHAnsi" w:cstheme="minorHAnsi"/>
        </w:rPr>
        <w:t xml:space="preserve"> Vidyut Upbhokta Parishad and Mr. Rama Shanker Awasthi, Lucknow, </w:t>
      </w:r>
      <w:r w:rsidRPr="00942C19">
        <w:t>are as under:</w:t>
      </w:r>
    </w:p>
    <w:p w:rsidR="003818F5" w:rsidRPr="00942C19" w:rsidRDefault="003818F5" w:rsidP="00540A34">
      <w:pPr>
        <w:pStyle w:val="Heading3"/>
        <w:tabs>
          <w:tab w:val="clear" w:pos="720"/>
          <w:tab w:val="clear" w:pos="936"/>
          <w:tab w:val="num" w:pos="993"/>
        </w:tabs>
        <w:spacing w:before="240" w:after="240"/>
      </w:pPr>
      <w:r w:rsidRPr="00942C19">
        <w:t xml:space="preserve">The stakeholders stated that the principles and methodologies specified by the Central Commission have not been adopted by the </w:t>
      </w:r>
      <w:r w:rsidR="00755F22" w:rsidRPr="00942C19">
        <w:t>D</w:t>
      </w:r>
      <w:r w:rsidRPr="00942C19">
        <w:t xml:space="preserve">istribution </w:t>
      </w:r>
      <w:r w:rsidR="00755F22" w:rsidRPr="00942C19">
        <w:t>Licensees’</w:t>
      </w:r>
      <w:r w:rsidRPr="00942C19">
        <w:t>. The stakeholders have stated that the tariff allowed for departmental employees is contrary to the principles enshrined in the Electricity Act, 2003 and Distribution Tariff Regulations. The stakeholders have alleged that around 35% of the energy is consumed by the departmental employees’ category.</w:t>
      </w:r>
    </w:p>
    <w:p w:rsidR="003818F5" w:rsidRPr="00942C19" w:rsidRDefault="003818F5" w:rsidP="00540A34">
      <w:pPr>
        <w:pStyle w:val="Heading3"/>
        <w:tabs>
          <w:tab w:val="clear" w:pos="720"/>
          <w:tab w:val="clear" w:pos="936"/>
          <w:tab w:val="num" w:pos="993"/>
        </w:tabs>
        <w:spacing w:before="240" w:after="240"/>
      </w:pPr>
      <w:r w:rsidRPr="00942C19">
        <w:t>The stakeholders stated</w:t>
      </w:r>
      <w:r w:rsidR="00755F22" w:rsidRPr="00942C19">
        <w:t>,</w:t>
      </w:r>
      <w:r w:rsidRPr="00942C19">
        <w:t xml:space="preserve"> that the directions </w:t>
      </w:r>
      <w:r w:rsidR="00755F22" w:rsidRPr="00942C19">
        <w:t xml:space="preserve">be </w:t>
      </w:r>
      <w:r w:rsidRPr="00942C19">
        <w:t xml:space="preserve">given to the </w:t>
      </w:r>
      <w:r w:rsidR="00755F22" w:rsidRPr="00942C19">
        <w:t xml:space="preserve">Distribution Licensees’ </w:t>
      </w:r>
      <w:r w:rsidRPr="00942C19">
        <w:t>for installation of electronic meter</w:t>
      </w:r>
      <w:r w:rsidR="00755F22" w:rsidRPr="00942C19">
        <w:t>s</w:t>
      </w:r>
      <w:r w:rsidRPr="00942C19">
        <w:t xml:space="preserve"> in the premises of departmental employees.</w:t>
      </w:r>
    </w:p>
    <w:p w:rsidR="003818F5" w:rsidRPr="00942C19" w:rsidRDefault="003818F5" w:rsidP="00540A34">
      <w:pPr>
        <w:pStyle w:val="Heading3"/>
        <w:tabs>
          <w:tab w:val="clear" w:pos="720"/>
          <w:tab w:val="clear" w:pos="936"/>
          <w:tab w:val="num" w:pos="993"/>
        </w:tabs>
        <w:spacing w:before="240" w:after="240"/>
      </w:pPr>
      <w:r w:rsidRPr="00942C19">
        <w:t xml:space="preserve">The stakeholders stated that the directions given to the </w:t>
      </w:r>
      <w:r w:rsidR="00755F22" w:rsidRPr="00942C19">
        <w:t xml:space="preserve">Licensee </w:t>
      </w:r>
      <w:r w:rsidRPr="00942C19">
        <w:t xml:space="preserve">by the Commission (on issues such as short term and long term power procurement, installation of electronic meter in the premises of departmental employees, replacement of electro-mechanical and defective electronic meters, installation of electronic meters at the premises of new connection, no new connection be released without a installing a meter, distribution transformer level metering, double metering at the premises having connected of load 10KVA and above, voltage wise cost of service study and maintenance of fixed asset register etc.) </w:t>
      </w:r>
      <w:r w:rsidR="00755F22" w:rsidRPr="00942C19">
        <w:t xml:space="preserve">are </w:t>
      </w:r>
      <w:r w:rsidRPr="00942C19">
        <w:t xml:space="preserve">yet to be fully complied with. </w:t>
      </w:r>
      <w:r w:rsidRPr="00942C19">
        <w:rPr>
          <w:rFonts w:asciiTheme="minorHAnsi" w:hAnsiTheme="minorHAnsi" w:cstheme="minorHAnsi"/>
        </w:rPr>
        <w:t xml:space="preserve">ARR / Tariff determination exercise is not only about approving the expenses and revenue of the distribution </w:t>
      </w:r>
      <w:r w:rsidR="009A3804" w:rsidRPr="00942C19">
        <w:rPr>
          <w:rFonts w:asciiTheme="minorHAnsi" w:hAnsiTheme="minorHAnsi" w:cstheme="minorHAnsi"/>
        </w:rPr>
        <w:t>Licensee</w:t>
      </w:r>
      <w:r w:rsidRPr="00942C19">
        <w:rPr>
          <w:rFonts w:asciiTheme="minorHAnsi" w:hAnsiTheme="minorHAnsi" w:cstheme="minorHAnsi"/>
        </w:rPr>
        <w:t xml:space="preserve">, but it is also an exercise in taking stock of the past work done. It also defines the road map for future performance. </w:t>
      </w:r>
      <w:r w:rsidRPr="00942C19">
        <w:t xml:space="preserve">The stakeholder </w:t>
      </w:r>
      <w:r w:rsidR="00755F22" w:rsidRPr="00942C19">
        <w:t xml:space="preserve">stated </w:t>
      </w:r>
      <w:r w:rsidRPr="00942C19">
        <w:t xml:space="preserve">that the Commission has failed to exercise its power under law in regulating the </w:t>
      </w:r>
      <w:r w:rsidR="009A3804" w:rsidRPr="00942C19">
        <w:t>Licensee</w:t>
      </w:r>
      <w:r w:rsidR="0075482C" w:rsidRPr="00942C19">
        <w:t>s</w:t>
      </w:r>
      <w:r w:rsidRPr="00942C19">
        <w:t xml:space="preserve">. </w:t>
      </w:r>
    </w:p>
    <w:p w:rsidR="003818F5" w:rsidRPr="00942C19" w:rsidRDefault="003818F5" w:rsidP="00540A34">
      <w:pPr>
        <w:pStyle w:val="Heading3"/>
        <w:tabs>
          <w:tab w:val="clear" w:pos="720"/>
          <w:tab w:val="clear" w:pos="936"/>
          <w:tab w:val="num" w:pos="993"/>
        </w:tabs>
        <w:spacing w:before="240" w:after="240"/>
      </w:pPr>
      <w:r w:rsidRPr="00942C19">
        <w:t xml:space="preserve">The stakeholders have stated that as per Tariff Policy, 2006 and Clause 2.17 and 6.2 of the Distribution Tariff Regulations, the </w:t>
      </w:r>
      <w:r w:rsidR="009A3804" w:rsidRPr="00942C19">
        <w:t>Licensee</w:t>
      </w:r>
      <w:r w:rsidRPr="00942C19">
        <w:t xml:space="preserve"> had to submit a long term business plan for adopting the Multi-year tariff framework. However no </w:t>
      </w:r>
      <w:r w:rsidR="00755F22" w:rsidRPr="00942C19">
        <w:t xml:space="preserve">submission </w:t>
      </w:r>
      <w:r w:rsidRPr="00942C19">
        <w:t>in this regard has been made.</w:t>
      </w:r>
    </w:p>
    <w:p w:rsidR="003818F5" w:rsidRPr="00942C19" w:rsidRDefault="003818F5" w:rsidP="00540A34">
      <w:pPr>
        <w:pStyle w:val="Heading3"/>
        <w:tabs>
          <w:tab w:val="clear" w:pos="720"/>
          <w:tab w:val="clear" w:pos="936"/>
          <w:tab w:val="num" w:pos="993"/>
        </w:tabs>
        <w:spacing w:before="240" w:after="240"/>
      </w:pPr>
      <w:r w:rsidRPr="00942C19">
        <w:t xml:space="preserve">The stakeholders have stated that the Commission as per Clause 2.1.8 of the Distribution Tariff Regulations had to initiate benchmarking studies to determine the desired performance standard for each </w:t>
      </w:r>
      <w:r w:rsidR="00755F22" w:rsidRPr="00942C19">
        <w:t>D</w:t>
      </w:r>
      <w:r w:rsidRPr="00942C19">
        <w:t xml:space="preserve">istribution </w:t>
      </w:r>
      <w:r w:rsidR="009A3804" w:rsidRPr="00942C19">
        <w:t>Licensee</w:t>
      </w:r>
      <w:r w:rsidRPr="00942C19">
        <w:t>. The stakeholder has stated that without such benchmarking studies, the Commission cannot pass tariff order through suo-mot</w:t>
      </w:r>
      <w:r w:rsidR="00755F22" w:rsidRPr="00942C19">
        <w:t>u</w:t>
      </w:r>
      <w:r w:rsidRPr="00942C19">
        <w:t xml:space="preserve"> proceedings.</w:t>
      </w:r>
    </w:p>
    <w:p w:rsidR="003818F5" w:rsidRPr="00942C19" w:rsidRDefault="003818F5" w:rsidP="00540A34">
      <w:pPr>
        <w:pStyle w:val="Heading3"/>
        <w:tabs>
          <w:tab w:val="clear" w:pos="720"/>
          <w:tab w:val="clear" w:pos="936"/>
          <w:tab w:val="num" w:pos="993"/>
        </w:tabs>
        <w:spacing w:before="240" w:after="240"/>
      </w:pPr>
      <w:r w:rsidRPr="00942C19">
        <w:t xml:space="preserve">One of the stakeholders has stated that the losses </w:t>
      </w:r>
      <w:r w:rsidR="00755F22" w:rsidRPr="00942C19">
        <w:t xml:space="preserve">incurred by the Distribution Licensee </w:t>
      </w:r>
      <w:r w:rsidRPr="00942C19">
        <w:t>due to One Time Settlement (OTS) scheme and other incentive scheme should be either borne by the Government or by the Discoms. In any case, the losses due to such scheme</w:t>
      </w:r>
      <w:r w:rsidR="00755F22" w:rsidRPr="00942C19">
        <w:t>s</w:t>
      </w:r>
      <w:r w:rsidRPr="00942C19">
        <w:t xml:space="preserve"> should not be made part of the ARR.</w:t>
      </w:r>
    </w:p>
    <w:p w:rsidR="003818F5" w:rsidRPr="00942C19" w:rsidRDefault="003818F5" w:rsidP="00540A34">
      <w:pPr>
        <w:pStyle w:val="Heading3"/>
        <w:tabs>
          <w:tab w:val="clear" w:pos="720"/>
          <w:tab w:val="clear" w:pos="936"/>
          <w:tab w:val="num" w:pos="993"/>
        </w:tabs>
        <w:spacing w:before="240" w:after="240"/>
      </w:pPr>
      <w:r w:rsidRPr="00942C19">
        <w:t xml:space="preserve">One of the stakeholders has stated that the </w:t>
      </w:r>
      <w:r w:rsidR="009A3804" w:rsidRPr="00942C19">
        <w:t>Licensee</w:t>
      </w:r>
      <w:r w:rsidRPr="00942C19">
        <w:t xml:space="preserve"> ha</w:t>
      </w:r>
      <w:r w:rsidR="00755F22" w:rsidRPr="00942C19">
        <w:t>s</w:t>
      </w:r>
      <w:r w:rsidRPr="00942C19">
        <w:t xml:space="preserve"> not submitted information pertaining to peak demand and off peak demand along with sales projections as required by Clause 3.1.4 of the Distribution Tariff Regulations.</w:t>
      </w:r>
    </w:p>
    <w:p w:rsidR="003818F5" w:rsidRPr="00942C19" w:rsidRDefault="003818F5" w:rsidP="00540A34">
      <w:pPr>
        <w:pStyle w:val="Heading3"/>
        <w:tabs>
          <w:tab w:val="clear" w:pos="720"/>
          <w:tab w:val="clear" w:pos="936"/>
          <w:tab w:val="num" w:pos="993"/>
        </w:tabs>
        <w:spacing w:before="240" w:after="240"/>
      </w:pPr>
      <w:r w:rsidRPr="00942C19">
        <w:t>The stakeholders raised concern on account of OTS</w:t>
      </w:r>
      <w:r w:rsidR="00755F22" w:rsidRPr="00942C19">
        <w:t xml:space="preserve"> scheme</w:t>
      </w:r>
      <w:r w:rsidRPr="00942C19">
        <w:t xml:space="preserve"> as unscrupulous consumers create artificial arrears in connivance with authorities of </w:t>
      </w:r>
      <w:r w:rsidR="00755F22" w:rsidRPr="00942C19">
        <w:t>D</w:t>
      </w:r>
      <w:r w:rsidRPr="00942C19">
        <w:t xml:space="preserve">istribution </w:t>
      </w:r>
      <w:r w:rsidR="009A3804" w:rsidRPr="00942C19">
        <w:t>Licensee</w:t>
      </w:r>
      <w:r w:rsidRPr="00942C19">
        <w:t xml:space="preserve"> in order to get their legitimate dues waived too. They expressed that the OTS scheme is dangerous for </w:t>
      </w:r>
      <w:r w:rsidR="00755F22" w:rsidRPr="00942C19">
        <w:t>Licensee.</w:t>
      </w:r>
    </w:p>
    <w:p w:rsidR="00B107F3" w:rsidRPr="00942C19" w:rsidRDefault="00B107F3" w:rsidP="00540A34">
      <w:pPr>
        <w:pStyle w:val="Heading3"/>
        <w:tabs>
          <w:tab w:val="clear" w:pos="720"/>
          <w:tab w:val="clear" w:pos="936"/>
          <w:tab w:val="num" w:pos="993"/>
        </w:tabs>
        <w:spacing w:before="240" w:after="240"/>
      </w:pPr>
      <w:r w:rsidRPr="00942C19">
        <w:t>The stakeholder</w:t>
      </w:r>
      <w:r w:rsidR="00755F22" w:rsidRPr="00942C19">
        <w:t>s</w:t>
      </w:r>
      <w:r w:rsidRPr="00942C19">
        <w:t xml:space="preserve"> ha</w:t>
      </w:r>
      <w:r w:rsidR="00755F22" w:rsidRPr="00942C19">
        <w:t>ve</w:t>
      </w:r>
      <w:r w:rsidRPr="00942C19">
        <w:t xml:space="preserve"> expressed concern over the multiplicity of consumer categories and sub-categories. The stakeholder</w:t>
      </w:r>
      <w:r w:rsidR="00755F22" w:rsidRPr="00942C19">
        <w:t>s</w:t>
      </w:r>
      <w:r w:rsidRPr="00942C19">
        <w:t xml:space="preserve"> ha</w:t>
      </w:r>
      <w:r w:rsidR="00755F22" w:rsidRPr="00942C19">
        <w:t>ve</w:t>
      </w:r>
      <w:r w:rsidRPr="00942C19">
        <w:t xml:space="preserve"> requested the Commission to simplify the rate schedule by reducing the tariff categories and sub-categories.</w:t>
      </w:r>
    </w:p>
    <w:p w:rsidR="00B107F3" w:rsidRPr="00942C19" w:rsidRDefault="00B107F3" w:rsidP="00540A34">
      <w:pPr>
        <w:pStyle w:val="Heading3"/>
        <w:tabs>
          <w:tab w:val="clear" w:pos="720"/>
          <w:tab w:val="clear" w:pos="936"/>
          <w:tab w:val="num" w:pos="993"/>
        </w:tabs>
        <w:spacing w:before="240" w:after="240"/>
      </w:pPr>
      <w:r w:rsidRPr="00942C19">
        <w:t xml:space="preserve">One of the stakeholders has also stated that the </w:t>
      </w:r>
      <w:r w:rsidR="009A3804" w:rsidRPr="00942C19">
        <w:t>Licensee</w:t>
      </w:r>
      <w:r w:rsidRPr="00942C19">
        <w:t xml:space="preserve"> ha</w:t>
      </w:r>
      <w:r w:rsidR="00755F22" w:rsidRPr="00942C19">
        <w:t>s</w:t>
      </w:r>
      <w:r w:rsidRPr="00942C19">
        <w:t xml:space="preserve"> not submitted Formats S10, S11, P1 to P14 which have been prescribed by the Distribution Tariff Regulations. Hence the Petition filed by the </w:t>
      </w:r>
      <w:r w:rsidR="009A3804" w:rsidRPr="00942C19">
        <w:t>Licensee</w:t>
      </w:r>
      <w:r w:rsidR="00755F22" w:rsidRPr="00942C19">
        <w:t xml:space="preserve"> is </w:t>
      </w:r>
      <w:r w:rsidRPr="00942C19">
        <w:t>incomplete.</w:t>
      </w:r>
    </w:p>
    <w:p w:rsidR="003818F5" w:rsidRPr="00942C19" w:rsidRDefault="003818F5" w:rsidP="003818F5">
      <w:pPr>
        <w:pStyle w:val="ListParagraph"/>
        <w:rPr>
          <w:rFonts w:asciiTheme="minorHAnsi" w:hAnsiTheme="minorHAnsi" w:cstheme="minorHAnsi"/>
        </w:rPr>
      </w:pPr>
    </w:p>
    <w:p w:rsidR="003818F5" w:rsidRPr="00942C19" w:rsidRDefault="002415FE" w:rsidP="00A818DC">
      <w:pPr>
        <w:pStyle w:val="ListParagraph"/>
        <w:numPr>
          <w:ilvl w:val="0"/>
          <w:numId w:val="40"/>
        </w:numPr>
        <w:tabs>
          <w:tab w:val="left" w:pos="1260"/>
        </w:tabs>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3818F5" w:rsidRPr="00942C19">
        <w:rPr>
          <w:rFonts w:asciiTheme="minorHAnsi" w:hAnsiTheme="minorHAnsi" w:cstheme="minorHAnsi"/>
          <w:b/>
          <w:i/>
        </w:rPr>
        <w:t>:</w:t>
      </w:r>
    </w:p>
    <w:p w:rsidR="003818F5" w:rsidRPr="00942C19" w:rsidRDefault="003818F5"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the ARR / Tariff petitions are submitted by it in concurrence to the principles laid down in the UPERC (Terms and Conditions of Distribution Tariff) Regulations, 2006 and not in accordance with the regulations framed by the Central Commission.</w:t>
      </w:r>
    </w:p>
    <w:p w:rsidR="003818F5" w:rsidRPr="00942C19" w:rsidRDefault="003818F5"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refuted the allegations made by some of the stakeholders that the departmental employees consume 35% of the energy handled by the state distribution companies. The </w:t>
      </w:r>
      <w:r w:rsidR="009A3804" w:rsidRPr="00942C19">
        <w:t>Licensee</w:t>
      </w:r>
      <w:r w:rsidRPr="00942C19">
        <w:t xml:space="preserve"> submitted that the actual sales to LMV-10 category are less than </w:t>
      </w:r>
      <w:r w:rsidR="00B87C0F" w:rsidRPr="00942C19">
        <w:t>1%</w:t>
      </w:r>
      <w:r w:rsidRPr="00942C19">
        <w:t xml:space="preserve"> of the total sales of the </w:t>
      </w:r>
      <w:r w:rsidR="00755F22" w:rsidRPr="00942C19">
        <w:t>D</w:t>
      </w:r>
      <w:r w:rsidRPr="00942C19">
        <w:t xml:space="preserve">istribution </w:t>
      </w:r>
      <w:r w:rsidR="009A3804" w:rsidRPr="00942C19">
        <w:t>Licensee</w:t>
      </w:r>
      <w:r w:rsidRPr="00942C19">
        <w:t>.</w:t>
      </w:r>
    </w:p>
    <w:p w:rsidR="003818F5" w:rsidRPr="00942C19" w:rsidRDefault="003818F5"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all efforts are being made to comply with each and every directive given by the Commission in the tariff order and the reasons for the non-compliance or partial compliance are submitted to the Commission from time to time. Further, reasons for delay in submission of ARR have already been explained to the Hon’ble Commission. </w:t>
      </w:r>
    </w:p>
    <w:p w:rsidR="003818F5" w:rsidRPr="00942C19" w:rsidRDefault="003818F5" w:rsidP="00540A34">
      <w:pPr>
        <w:pStyle w:val="Heading3"/>
        <w:tabs>
          <w:tab w:val="clear" w:pos="720"/>
          <w:tab w:val="clear" w:pos="936"/>
          <w:tab w:val="num" w:pos="993"/>
        </w:tabs>
        <w:spacing w:before="240" w:after="240"/>
      </w:pPr>
      <w:r w:rsidRPr="00942C19">
        <w:t xml:space="preserve">The Commission has already issued directions to the </w:t>
      </w:r>
      <w:r w:rsidR="009A3804" w:rsidRPr="00942C19">
        <w:t>Licensee</w:t>
      </w:r>
      <w:r w:rsidRPr="00942C19">
        <w:t xml:space="preserve"> to prepare a long term business plan for adopting the Multi-year tariff framework and benchmarking studies to determine the desired performance standard for each </w:t>
      </w:r>
      <w:r w:rsidR="00755F22" w:rsidRPr="00942C19">
        <w:t>D</w:t>
      </w:r>
      <w:r w:rsidRPr="00942C19">
        <w:t xml:space="preserve">istribution </w:t>
      </w:r>
      <w:r w:rsidR="009A3804" w:rsidRPr="00942C19">
        <w:t>Licensee</w:t>
      </w:r>
      <w:r w:rsidRPr="00942C19">
        <w:t xml:space="preserve">. The </w:t>
      </w:r>
      <w:r w:rsidR="00755F22" w:rsidRPr="00942C19">
        <w:t xml:space="preserve">Licensee </w:t>
      </w:r>
      <w:r w:rsidRPr="00942C19">
        <w:t>would be appointing consulting firms for undertaking the said studies.</w:t>
      </w:r>
    </w:p>
    <w:p w:rsidR="003818F5" w:rsidRPr="00942C19" w:rsidRDefault="003818F5"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it has submitted the details of the peak and off peak demand in the replies to the Deficiency Note.</w:t>
      </w:r>
    </w:p>
    <w:p w:rsidR="003818F5" w:rsidRPr="00942C19" w:rsidRDefault="003818F5"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emphasised that the OTS scheme is implemented to liquidate the arrears as well as to help those consumers who are not in a position to deposit the arrears which includes interest. Only interest portion of the arrears is waved off in OTS scheme.</w:t>
      </w:r>
    </w:p>
    <w:p w:rsidR="003818F5"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clarified </w:t>
      </w:r>
      <w:r w:rsidR="00755F22" w:rsidRPr="00942C19">
        <w:t xml:space="preserve">it </w:t>
      </w:r>
      <w:r w:rsidRPr="00942C19">
        <w:t xml:space="preserve">that </w:t>
      </w:r>
      <w:r w:rsidR="00755F22" w:rsidRPr="00942C19">
        <w:t xml:space="preserve">it endeavours </w:t>
      </w:r>
      <w:r w:rsidRPr="00942C19">
        <w:t>to keep the rate schedule as simple as possible.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w:t>
      </w:r>
    </w:p>
    <w:p w:rsidR="00B107F3"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Formats S10, S11, P1 to P14 which have been prescribed by the Distribution Tariff Regulations have been submitted by it in response to the Deficiency Note.</w:t>
      </w:r>
    </w:p>
    <w:p w:rsidR="00B107F3" w:rsidRPr="00942C19" w:rsidRDefault="00B107F3" w:rsidP="00B107F3">
      <w:pPr>
        <w:pStyle w:val="Heading3"/>
        <w:numPr>
          <w:ilvl w:val="0"/>
          <w:numId w:val="0"/>
        </w:numPr>
        <w:ind w:left="936"/>
      </w:pPr>
    </w:p>
    <w:p w:rsidR="003818F5" w:rsidRPr="00942C19" w:rsidRDefault="003818F5" w:rsidP="00A818DC">
      <w:pPr>
        <w:pStyle w:val="ListParagraph"/>
        <w:numPr>
          <w:ilvl w:val="0"/>
          <w:numId w:val="40"/>
        </w:numPr>
        <w:tabs>
          <w:tab w:val="left" w:pos="1260"/>
        </w:tabs>
        <w:spacing w:before="0"/>
        <w:rPr>
          <w:rFonts w:asciiTheme="minorHAnsi" w:hAnsiTheme="minorHAnsi" w:cstheme="minorHAnsi"/>
          <w:b/>
          <w:i/>
        </w:rPr>
      </w:pPr>
      <w:r w:rsidRPr="00942C19">
        <w:rPr>
          <w:rFonts w:asciiTheme="minorHAnsi" w:hAnsiTheme="minorHAnsi" w:cstheme="minorHAnsi"/>
          <w:b/>
          <w:i/>
        </w:rPr>
        <w:t>The Commission’s view:</w:t>
      </w:r>
    </w:p>
    <w:p w:rsidR="003818F5" w:rsidRPr="00942C19" w:rsidRDefault="003818F5" w:rsidP="00540A34">
      <w:pPr>
        <w:pStyle w:val="Heading3"/>
        <w:tabs>
          <w:tab w:val="clear" w:pos="720"/>
          <w:tab w:val="clear" w:pos="936"/>
          <w:tab w:val="num" w:pos="993"/>
        </w:tabs>
        <w:spacing w:before="240" w:after="240"/>
      </w:pPr>
      <w:r w:rsidRPr="00942C19">
        <w:t>The Commission has framed the Distribution Tariff Regulations and Transmission Tariff Regulations which provide for the principles for the determination of distribution and transmission tariff respectively.</w:t>
      </w:r>
    </w:p>
    <w:p w:rsidR="003818F5" w:rsidRPr="00942C19" w:rsidRDefault="003818F5" w:rsidP="00540A34">
      <w:pPr>
        <w:pStyle w:val="Heading3"/>
        <w:tabs>
          <w:tab w:val="clear" w:pos="720"/>
          <w:tab w:val="clear" w:pos="936"/>
          <w:tab w:val="num" w:pos="993"/>
        </w:tabs>
        <w:spacing w:before="240" w:after="240"/>
      </w:pPr>
      <w:r w:rsidRPr="00942C19">
        <w:t xml:space="preserve">The consumption by departmental employees under LMV-10 category is around </w:t>
      </w:r>
      <w:r w:rsidR="00B87C0F" w:rsidRPr="00942C19">
        <w:t xml:space="preserve">0.77% </w:t>
      </w:r>
      <w:r w:rsidRPr="00942C19">
        <w:t>and not as alleged by some of the stakeholders. The Commission has encouraged the installation of meters by departmental employees and have also provided a rebate to such consumers.</w:t>
      </w:r>
    </w:p>
    <w:p w:rsidR="003818F5" w:rsidRPr="00942C19" w:rsidRDefault="003818F5" w:rsidP="00540A34">
      <w:pPr>
        <w:pStyle w:val="Heading3"/>
        <w:tabs>
          <w:tab w:val="clear" w:pos="720"/>
          <w:tab w:val="clear" w:pos="936"/>
          <w:tab w:val="num" w:pos="993"/>
        </w:tabs>
        <w:spacing w:before="240" w:after="240"/>
      </w:pPr>
      <w:r w:rsidRPr="00942C19">
        <w:t>The Hon’ble APTEL vide its Order dated 15</w:t>
      </w:r>
      <w:r w:rsidRPr="00942C19">
        <w:rPr>
          <w:vertAlign w:val="superscript"/>
        </w:rPr>
        <w:t>th</w:t>
      </w:r>
      <w:r w:rsidRPr="00942C19">
        <w:t xml:space="preserve"> February, 2013 have given directions to those State Commission</w:t>
      </w:r>
      <w:r w:rsidR="00755F22" w:rsidRPr="00942C19">
        <w:t>s</w:t>
      </w:r>
      <w:r w:rsidRPr="00942C19">
        <w:t xml:space="preserve"> which are yet to frame the Multi Year Tariff (MYT) Regulations in accordance with Section 61 of the Act. The Hon’ble APTEL has directed the State Commission to frame the MYT Regulations immediately so that the MYT framework be implemented at least w.e.f 1</w:t>
      </w:r>
      <w:r w:rsidRPr="00942C19">
        <w:rPr>
          <w:vertAlign w:val="superscript"/>
        </w:rPr>
        <w:t>st</w:t>
      </w:r>
      <w:r w:rsidRPr="00942C19">
        <w:t xml:space="preserve"> April, 2014.</w:t>
      </w:r>
    </w:p>
    <w:p w:rsidR="003818F5" w:rsidRPr="00942C19" w:rsidRDefault="003818F5" w:rsidP="00540A34">
      <w:pPr>
        <w:pStyle w:val="Heading3"/>
        <w:tabs>
          <w:tab w:val="clear" w:pos="720"/>
          <w:tab w:val="clear" w:pos="936"/>
          <w:tab w:val="num" w:pos="993"/>
        </w:tabs>
        <w:spacing w:before="240" w:after="240"/>
      </w:pPr>
      <w:r w:rsidRPr="00942C19">
        <w:t xml:space="preserve">In this regard, the Commission has issued fresh directives </w:t>
      </w:r>
      <w:r w:rsidR="00755F22" w:rsidRPr="00942C19">
        <w:t xml:space="preserve">to the Distribution Licensee </w:t>
      </w:r>
      <w:r w:rsidRPr="00942C19">
        <w:t xml:space="preserve">vide </w:t>
      </w:r>
      <w:r w:rsidR="00755F22" w:rsidRPr="00942C19">
        <w:t>Letter No. UPERC/Secy./D(Tariff)/13-074 dated 11</w:t>
      </w:r>
      <w:r w:rsidR="00755F22" w:rsidRPr="00942C19">
        <w:rPr>
          <w:vertAlign w:val="superscript"/>
        </w:rPr>
        <w:t>th</w:t>
      </w:r>
      <w:r w:rsidR="00755F22" w:rsidRPr="00942C19">
        <w:t xml:space="preserve"> April, 2013, </w:t>
      </w:r>
      <w:r w:rsidRPr="00942C19">
        <w:t xml:space="preserve">to prepare a long term business plan for adopting the Multi-year tariff framework and for conducting benchmarking studies to determine the desired performance standard for each distribution </w:t>
      </w:r>
      <w:r w:rsidR="009A3804" w:rsidRPr="00942C19">
        <w:t>Licensee</w:t>
      </w:r>
      <w:r w:rsidRPr="00942C19">
        <w:t xml:space="preserve"> The Commission </w:t>
      </w:r>
      <w:r w:rsidR="00C71476" w:rsidRPr="00942C19">
        <w:t xml:space="preserve">stresses </w:t>
      </w:r>
      <w:r w:rsidRPr="00942C19">
        <w:t xml:space="preserve">that the </w:t>
      </w:r>
      <w:r w:rsidR="00C71476" w:rsidRPr="00942C19">
        <w:t xml:space="preserve">Licensee </w:t>
      </w:r>
      <w:r w:rsidRPr="00942C19">
        <w:t xml:space="preserve">may act speedily upon these directives and report the status on a regular </w:t>
      </w:r>
      <w:r w:rsidR="00C71476" w:rsidRPr="00942C19">
        <w:t xml:space="preserve">monthly </w:t>
      </w:r>
      <w:r w:rsidRPr="00942C19">
        <w:t xml:space="preserve">basis to the Commission. </w:t>
      </w:r>
    </w:p>
    <w:p w:rsidR="003818F5" w:rsidRPr="00942C19" w:rsidRDefault="003818F5" w:rsidP="00540A34">
      <w:pPr>
        <w:pStyle w:val="Heading3"/>
        <w:tabs>
          <w:tab w:val="clear" w:pos="720"/>
          <w:tab w:val="clear" w:pos="936"/>
          <w:tab w:val="num" w:pos="993"/>
        </w:tabs>
        <w:spacing w:before="240" w:after="240"/>
      </w:pPr>
      <w:r w:rsidRPr="00942C19">
        <w:t>The details pertaining to the peak and off peak demand</w:t>
      </w:r>
      <w:r w:rsidR="004C09B7" w:rsidRPr="00942C19">
        <w:t xml:space="preserve"> and Formats S10, S11, P1 to P14 </w:t>
      </w:r>
      <w:r w:rsidRPr="00942C19">
        <w:t xml:space="preserve">have been submitted by the </w:t>
      </w:r>
      <w:r w:rsidR="009A3804" w:rsidRPr="00942C19">
        <w:t>Licensee</w:t>
      </w:r>
      <w:r w:rsidR="0075482C" w:rsidRPr="00942C19">
        <w:t>s</w:t>
      </w:r>
      <w:r w:rsidRPr="00942C19">
        <w:t xml:space="preserve"> in the response to the deficiency note. </w:t>
      </w:r>
    </w:p>
    <w:p w:rsidR="003818F5" w:rsidRPr="00942C19" w:rsidRDefault="003818F5" w:rsidP="00540A34">
      <w:pPr>
        <w:pStyle w:val="Heading3"/>
        <w:tabs>
          <w:tab w:val="clear" w:pos="720"/>
          <w:tab w:val="clear" w:pos="936"/>
          <w:tab w:val="num" w:pos="993"/>
        </w:tabs>
        <w:spacing w:before="240" w:after="240"/>
      </w:pPr>
      <w:r w:rsidRPr="00942C19">
        <w:t xml:space="preserve">The Commission has allowed the waiver of surcharge amount of those unmetered consumers who have signed an unconditional undertaking to take up metered connections. Waiver of arrears of all other consumers under the OTS scheme is borne by the Discoms through its own resources or through GoUP subsidy. Further, no amount of surcharge waived off is passed onto consumers in future ARR / True-up exercises. </w:t>
      </w:r>
    </w:p>
    <w:p w:rsidR="004C09B7" w:rsidRPr="00942C19" w:rsidRDefault="004C09B7" w:rsidP="00540A34">
      <w:pPr>
        <w:pStyle w:val="Heading3"/>
        <w:tabs>
          <w:tab w:val="clear" w:pos="720"/>
          <w:tab w:val="clear" w:pos="936"/>
          <w:tab w:val="num" w:pos="993"/>
        </w:tabs>
        <w:spacing w:before="240" w:after="240"/>
      </w:pPr>
      <w:r w:rsidRPr="00942C19">
        <w:t>The Commission has always designed the rate schedule with a view to simplify it for the common consumer to understand it easily.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 as mandated by the Electricity Act, 2003.</w:t>
      </w:r>
    </w:p>
    <w:p w:rsidR="002415FE" w:rsidRPr="00942C19" w:rsidRDefault="002415FE" w:rsidP="002415FE">
      <w:pPr>
        <w:pStyle w:val="Heading2"/>
        <w:numPr>
          <w:ilvl w:val="0"/>
          <w:numId w:val="0"/>
        </w:numPr>
        <w:ind w:left="780"/>
      </w:pPr>
      <w:bookmarkStart w:id="411" w:name="_Toc337201336"/>
      <w:bookmarkStart w:id="412" w:name="_Toc337459177"/>
      <w:bookmarkStart w:id="413" w:name="_Toc338354650"/>
    </w:p>
    <w:p w:rsidR="002415FE" w:rsidRPr="00942C19" w:rsidRDefault="002415FE" w:rsidP="002415FE">
      <w:pPr>
        <w:pStyle w:val="Heading2"/>
        <w:numPr>
          <w:ilvl w:val="0"/>
          <w:numId w:val="0"/>
        </w:numPr>
        <w:ind w:left="780"/>
      </w:pPr>
    </w:p>
    <w:p w:rsidR="00B107F3" w:rsidRPr="00942C19" w:rsidRDefault="00B107F3" w:rsidP="00B107F3">
      <w:pPr>
        <w:pStyle w:val="Heading2"/>
        <w:numPr>
          <w:ilvl w:val="1"/>
          <w:numId w:val="5"/>
        </w:numPr>
      </w:pPr>
      <w:bookmarkStart w:id="414" w:name="_Toc357356095"/>
      <w:bookmarkStart w:id="415" w:name="_Toc357714385"/>
      <w:r w:rsidRPr="00942C19">
        <w:t>BILLING AND COLLECTION</w:t>
      </w:r>
      <w:bookmarkEnd w:id="411"/>
      <w:bookmarkEnd w:id="412"/>
      <w:bookmarkEnd w:id="413"/>
      <w:bookmarkEnd w:id="414"/>
      <w:bookmarkEnd w:id="415"/>
    </w:p>
    <w:p w:rsidR="00B107F3" w:rsidRPr="00942C19" w:rsidRDefault="00B107F3" w:rsidP="00B107F3">
      <w:pPr>
        <w:pStyle w:val="Default"/>
        <w:jc w:val="both"/>
        <w:rPr>
          <w:rFonts w:asciiTheme="minorHAnsi" w:hAnsiTheme="minorHAnsi" w:cstheme="minorHAnsi"/>
          <w:bCs/>
          <w:color w:val="auto"/>
        </w:rPr>
      </w:pPr>
    </w:p>
    <w:p w:rsidR="00B107F3" w:rsidRPr="00942C19" w:rsidRDefault="00B107F3" w:rsidP="00A818DC">
      <w:pPr>
        <w:pStyle w:val="ListParagraph"/>
        <w:numPr>
          <w:ilvl w:val="0"/>
          <w:numId w:val="41"/>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B107F3" w:rsidRPr="00942C19" w:rsidRDefault="00B107F3" w:rsidP="00540A34">
      <w:pPr>
        <w:pStyle w:val="Heading3"/>
        <w:tabs>
          <w:tab w:val="clear" w:pos="720"/>
          <w:tab w:val="clear" w:pos="936"/>
          <w:tab w:val="num" w:pos="993"/>
        </w:tabs>
        <w:spacing w:before="240" w:after="240"/>
      </w:pPr>
      <w:r w:rsidRPr="00942C19">
        <w:t xml:space="preserve">The comments / suggestions submitted by Mr. R.K.Jain, Secretary, Western UP Chamber Of Commerce &amp; Industry, Mr.  </w:t>
      </w:r>
      <w:r w:rsidRPr="00942C19">
        <w:rPr>
          <w:rFonts w:asciiTheme="minorHAnsi" w:hAnsiTheme="minorHAnsi" w:cstheme="minorHAnsi"/>
        </w:rPr>
        <w:t xml:space="preserve">S.B. Agarwal, Secy. Gen., Associated Chambers Of Commerce </w:t>
      </w:r>
      <w:r w:rsidRPr="00942C19">
        <w:t>And</w:t>
      </w:r>
      <w:r w:rsidRPr="00942C19">
        <w:rPr>
          <w:rFonts w:asciiTheme="minorHAnsi" w:hAnsiTheme="minorHAnsi" w:cstheme="minorHAnsi"/>
        </w:rPr>
        <w:t xml:space="preserve"> Industry of UP, Mr. Vijay Pratap, Retd. G.M., UPPCL, Mr. </w:t>
      </w:r>
      <w:r w:rsidRPr="00942C19">
        <w:t>N.P. Singh, Federation of Noida Residents Welfare Associations and Mr. Rama Shanker Awasthi, Lucknow, are as under:</w:t>
      </w:r>
    </w:p>
    <w:p w:rsidR="00B107F3" w:rsidRPr="00942C19" w:rsidRDefault="00B107F3" w:rsidP="00540A34">
      <w:pPr>
        <w:pStyle w:val="Heading3"/>
        <w:tabs>
          <w:tab w:val="clear" w:pos="720"/>
          <w:tab w:val="clear" w:pos="936"/>
          <w:tab w:val="num" w:pos="993"/>
        </w:tabs>
        <w:spacing w:before="240" w:after="240"/>
      </w:pPr>
      <w:r w:rsidRPr="00942C19">
        <w:t>One of the stakeholders has proposed that the provision of late payment surcharge be amended from the current % basis to slab wise basis.</w:t>
      </w:r>
    </w:p>
    <w:p w:rsidR="00B107F3" w:rsidRPr="00942C19" w:rsidRDefault="00B107F3" w:rsidP="00540A34">
      <w:pPr>
        <w:pStyle w:val="Heading3"/>
        <w:tabs>
          <w:tab w:val="clear" w:pos="720"/>
          <w:tab w:val="clear" w:pos="936"/>
          <w:tab w:val="num" w:pos="993"/>
        </w:tabs>
        <w:spacing w:before="240" w:after="240"/>
      </w:pPr>
      <w:r w:rsidRPr="00942C19">
        <w:t>One of the stakeholders has suggested that proposed charges for late payment surcharge be rejected and the existing scheme of late payment surcharge be retained.</w:t>
      </w:r>
    </w:p>
    <w:p w:rsidR="00C8001E" w:rsidRPr="00942C19" w:rsidRDefault="00C8001E" w:rsidP="00540A34">
      <w:pPr>
        <w:pStyle w:val="Heading3"/>
        <w:tabs>
          <w:tab w:val="clear" w:pos="720"/>
          <w:tab w:val="clear" w:pos="936"/>
          <w:tab w:val="num" w:pos="993"/>
        </w:tabs>
        <w:spacing w:before="240" w:after="240"/>
      </w:pPr>
      <w:r w:rsidRPr="00942C19">
        <w:t xml:space="preserve">The stakeholders suggested that rebate </w:t>
      </w:r>
      <w:r w:rsidR="00C71476" w:rsidRPr="00942C19">
        <w:t xml:space="preserve">scheme for timely payment of bills, </w:t>
      </w:r>
      <w:r w:rsidRPr="00942C19">
        <w:t>be re-introduced.</w:t>
      </w:r>
    </w:p>
    <w:p w:rsidR="00B107F3" w:rsidRPr="00942C19" w:rsidRDefault="00B107F3" w:rsidP="00540A34">
      <w:pPr>
        <w:pStyle w:val="Heading3"/>
        <w:tabs>
          <w:tab w:val="clear" w:pos="720"/>
          <w:tab w:val="clear" w:pos="936"/>
          <w:tab w:val="num" w:pos="993"/>
        </w:tabs>
        <w:spacing w:before="240" w:after="240"/>
      </w:pPr>
      <w:r w:rsidRPr="00942C19">
        <w:rPr>
          <w:rFonts w:asciiTheme="minorHAnsi" w:hAnsiTheme="minorHAnsi" w:cstheme="minorHAnsi"/>
        </w:rPr>
        <w:t>The</w:t>
      </w:r>
      <w:r w:rsidRPr="00942C19">
        <w:t xml:space="preserve"> stakeholders submitted that the tariff proposal has no mention of recovery efficiency which is 80% or less.  Billing and recovery problem are more chronic than distribution losses.  False billing is also a problem. The stakeholders have asked the </w:t>
      </w:r>
      <w:r w:rsidR="009A3804" w:rsidRPr="00942C19">
        <w:t>Licensee</w:t>
      </w:r>
      <w:r w:rsidRPr="00942C19">
        <w:t xml:space="preserve"> to spell out the steps that are being taken to avoid false billing and to improve recovery and curb theft through illegal “katiya” connections. Some have suggested that an independent team for prevention of theft should be formed and </w:t>
      </w:r>
      <w:r w:rsidRPr="00942C19">
        <w:rPr>
          <w:rFonts w:asciiTheme="minorHAnsi" w:hAnsiTheme="minorHAnsi" w:cstheme="minorHAnsi"/>
        </w:rPr>
        <w:t>those officers and workers under whose jurisdiction theft is found should also be penalized.</w:t>
      </w:r>
    </w:p>
    <w:p w:rsidR="00B107F3" w:rsidRPr="00942C19" w:rsidRDefault="00B107F3" w:rsidP="00B107F3">
      <w:pPr>
        <w:pStyle w:val="Heading3"/>
        <w:numPr>
          <w:ilvl w:val="0"/>
          <w:numId w:val="0"/>
        </w:numPr>
        <w:ind w:left="720"/>
        <w:rPr>
          <w:rFonts w:asciiTheme="minorHAnsi" w:hAnsiTheme="minorHAnsi" w:cstheme="minorHAnsi"/>
        </w:rPr>
      </w:pPr>
    </w:p>
    <w:p w:rsidR="00B107F3" w:rsidRPr="00942C19" w:rsidRDefault="002415FE" w:rsidP="00A818DC">
      <w:pPr>
        <w:pStyle w:val="Heading3"/>
        <w:numPr>
          <w:ilvl w:val="0"/>
          <w:numId w:val="41"/>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B107F3" w:rsidRPr="00942C19">
        <w:rPr>
          <w:rFonts w:asciiTheme="minorHAnsi" w:hAnsiTheme="minorHAnsi" w:cstheme="minorHAnsi"/>
          <w:b/>
          <w:i/>
        </w:rPr>
        <w:t>:</w:t>
      </w:r>
    </w:p>
    <w:p w:rsidR="00B107F3"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the propos</w:t>
      </w:r>
      <w:r w:rsidR="00C71476" w:rsidRPr="00942C19">
        <w:t xml:space="preserve">al </w:t>
      </w:r>
      <w:r w:rsidRPr="00942C19">
        <w:t>for imposition of late payment surcharge may kindly be accepted by the Commission.</w:t>
      </w:r>
    </w:p>
    <w:p w:rsidR="00B107F3"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all efforts are being made and action is being taken against all defaulting consumers. Further </w:t>
      </w:r>
      <w:r w:rsidR="00C71476" w:rsidRPr="00942C19">
        <w:t>p</w:t>
      </w:r>
      <w:r w:rsidRPr="00942C19">
        <w:t>repaid meters are being arranged and will be installed at consumers</w:t>
      </w:r>
      <w:r w:rsidR="00C71476" w:rsidRPr="00942C19">
        <w:t>’</w:t>
      </w:r>
      <w:r w:rsidRPr="00942C19">
        <w:t xml:space="preserve"> premises in near future.</w:t>
      </w:r>
    </w:p>
    <w:p w:rsidR="00B107F3"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stated that in the matter of false billing it is making efforts to find out the fictitious consumers. Door to door search operation is being carried out and a proper report is being submitted for deletion of such fictitious connections. Further, to prevent illegal “katiya” connections, raids by special team are being carried out and FIR is being lodged against delinquent consumers. Moreover, honest consumers are being encouraged to provide information about theft of electricity through helpline numbers. Further, </w:t>
      </w:r>
      <w:r w:rsidRPr="00942C19">
        <w:rPr>
          <w:rFonts w:asciiTheme="minorHAnsi" w:hAnsiTheme="minorHAnsi" w:cstheme="minorHAnsi"/>
        </w:rPr>
        <w:t>there is already a vigilance squad posted at various locations mainly to check theft of electricity and action is being taken against the guilty officers / officials in case they are found involved in theft cases</w:t>
      </w:r>
      <w:r w:rsidRPr="00942C19">
        <w:t>.</w:t>
      </w:r>
    </w:p>
    <w:p w:rsidR="00B107F3"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hand held billing and online billing has been introduced in many areas of the State and </w:t>
      </w:r>
      <w:r w:rsidR="00C71476" w:rsidRPr="00942C19">
        <w:t xml:space="preserve">that the Licensee </w:t>
      </w:r>
      <w:r w:rsidRPr="00942C19">
        <w:t>has ambitious plan to install meters on all consumers.  This will reduce NA</w:t>
      </w:r>
      <w:r w:rsidR="00C71476" w:rsidRPr="00942C19">
        <w:t xml:space="preserve"> </w:t>
      </w:r>
      <w:r w:rsidRPr="00942C19">
        <w:t>/</w:t>
      </w:r>
      <w:r w:rsidR="00C71476" w:rsidRPr="00942C19">
        <w:t xml:space="preserve"> </w:t>
      </w:r>
      <w:r w:rsidRPr="00942C19">
        <w:t>NR billing.</w:t>
      </w:r>
    </w:p>
    <w:p w:rsidR="00B107F3" w:rsidRPr="00942C19" w:rsidRDefault="00B107F3" w:rsidP="00540A34">
      <w:pPr>
        <w:pStyle w:val="Heading3"/>
        <w:tabs>
          <w:tab w:val="clear" w:pos="720"/>
          <w:tab w:val="clear" w:pos="936"/>
          <w:tab w:val="num" w:pos="993"/>
        </w:tabs>
        <w:spacing w:before="240" w:after="240"/>
        <w:rPr>
          <w:rFonts w:asciiTheme="minorHAnsi" w:hAnsiTheme="minorHAnsi" w:cstheme="minorHAnsi"/>
        </w:rPr>
      </w:pPr>
      <w:r w:rsidRPr="00942C19">
        <w:t xml:space="preserve">The </w:t>
      </w:r>
      <w:r w:rsidR="009A3804" w:rsidRPr="00942C19">
        <w:t>Licensee</w:t>
      </w:r>
      <w:r w:rsidRPr="00942C19">
        <w:t xml:space="preserve"> submitted that franchisee system has been invoked to help the utility in realization of revenue and to help consumers in getting their small problems related to supply rectified. </w:t>
      </w:r>
    </w:p>
    <w:p w:rsidR="00B107F3"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the bill is always prepared based on whether the consumer is fed through rural feeder or urban feeder.</w:t>
      </w:r>
    </w:p>
    <w:p w:rsidR="00B107F3" w:rsidRPr="00942C19" w:rsidRDefault="00B107F3"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resubmitted that all efforts are being made to realize the arrears o</w:t>
      </w:r>
      <w:r w:rsidR="00C71476" w:rsidRPr="00942C19">
        <w:t>f</w:t>
      </w:r>
      <w:r w:rsidRPr="00942C19">
        <w:t xml:space="preserve"> Government Departments and the details are provided to Hon’ble Commission. Further, tariff is determined against the cost of service to supply electricity and not on the basis of arrears.</w:t>
      </w:r>
    </w:p>
    <w:p w:rsidR="00B107F3" w:rsidRPr="00942C19" w:rsidRDefault="00B107F3" w:rsidP="00B107F3">
      <w:pPr>
        <w:pStyle w:val="Heading3"/>
        <w:numPr>
          <w:ilvl w:val="0"/>
          <w:numId w:val="0"/>
        </w:numPr>
        <w:ind w:left="720"/>
        <w:rPr>
          <w:rFonts w:asciiTheme="minorHAnsi" w:hAnsiTheme="minorHAnsi" w:cstheme="minorHAnsi"/>
        </w:rPr>
      </w:pPr>
    </w:p>
    <w:p w:rsidR="00B107F3" w:rsidRPr="00942C19" w:rsidRDefault="00B107F3" w:rsidP="00A818DC">
      <w:pPr>
        <w:pStyle w:val="Heading3"/>
        <w:numPr>
          <w:ilvl w:val="0"/>
          <w:numId w:val="41"/>
        </w:numPr>
        <w:spacing w:before="0"/>
        <w:rPr>
          <w:rFonts w:asciiTheme="minorHAnsi" w:hAnsiTheme="minorHAnsi" w:cstheme="minorHAnsi"/>
          <w:b/>
          <w:i/>
        </w:rPr>
      </w:pPr>
      <w:r w:rsidRPr="00942C19">
        <w:rPr>
          <w:rFonts w:asciiTheme="minorHAnsi" w:hAnsiTheme="minorHAnsi" w:cstheme="minorHAnsi"/>
          <w:b/>
          <w:i/>
        </w:rPr>
        <w:t>The Commission’s views:</w:t>
      </w:r>
    </w:p>
    <w:p w:rsidR="00B107F3" w:rsidRPr="00942C19" w:rsidRDefault="00B107F3" w:rsidP="00540A34">
      <w:pPr>
        <w:pStyle w:val="Heading3"/>
        <w:tabs>
          <w:tab w:val="clear" w:pos="720"/>
          <w:tab w:val="clear" w:pos="936"/>
          <w:tab w:val="num" w:pos="993"/>
        </w:tabs>
        <w:spacing w:before="240" w:after="240"/>
      </w:pPr>
      <w:r w:rsidRPr="00942C19">
        <w:t xml:space="preserve">Under the existing scheme, the Commission has approved late payment surcharge at the rate of 1.25% for first three months and for remaining period the rate of late payment surcharge is 1.50%. The Commission has </w:t>
      </w:r>
      <w:r w:rsidR="00C71476" w:rsidRPr="00942C19">
        <w:t xml:space="preserve">retained the existing structure </w:t>
      </w:r>
      <w:r w:rsidRPr="00942C19">
        <w:t>for late payment surcharge</w:t>
      </w:r>
      <w:r w:rsidR="00C71476" w:rsidRPr="00942C19">
        <w:t xml:space="preserve"> in this Order</w:t>
      </w:r>
      <w:r w:rsidRPr="00942C19">
        <w:t>.</w:t>
      </w:r>
    </w:p>
    <w:p w:rsidR="00B107F3" w:rsidRPr="00942C19" w:rsidRDefault="00B107F3" w:rsidP="00540A34">
      <w:pPr>
        <w:pStyle w:val="Heading3"/>
        <w:tabs>
          <w:tab w:val="clear" w:pos="720"/>
          <w:tab w:val="clear" w:pos="936"/>
          <w:tab w:val="num" w:pos="993"/>
        </w:tabs>
        <w:spacing w:before="240" w:after="240"/>
      </w:pPr>
      <w:r w:rsidRPr="00942C19">
        <w:t xml:space="preserve">The Commission has been pursuing the </w:t>
      </w:r>
      <w:r w:rsidR="00C71476" w:rsidRPr="00942C19">
        <w:t xml:space="preserve">Licensee </w:t>
      </w:r>
      <w:r w:rsidRPr="00942C19">
        <w:t xml:space="preserve">to explore alternative modes of payment such as through internet, Banks etc. which could lead to better realisation of revenue. </w:t>
      </w:r>
    </w:p>
    <w:p w:rsidR="00B107F3" w:rsidRPr="00942C19" w:rsidRDefault="00B107F3" w:rsidP="00540A34">
      <w:pPr>
        <w:pStyle w:val="Heading3"/>
        <w:tabs>
          <w:tab w:val="clear" w:pos="720"/>
          <w:tab w:val="clear" w:pos="936"/>
          <w:tab w:val="num" w:pos="993"/>
        </w:tabs>
        <w:spacing w:before="240" w:after="240"/>
      </w:pPr>
      <w:r w:rsidRPr="00942C19">
        <w:t>The Commission, on the issue of timely payment, has already clarified its view in its FY 2009-10 Tariff Order (</w:t>
      </w:r>
      <w:r w:rsidR="00B13F1A" w:rsidRPr="00942C19">
        <w:t xml:space="preserve">Section </w:t>
      </w:r>
      <w:r w:rsidRPr="00942C19">
        <w:t xml:space="preserve">4.7.8), stating that: </w:t>
      </w:r>
    </w:p>
    <w:p w:rsidR="00B107F3" w:rsidRPr="00942C19" w:rsidRDefault="00B107F3" w:rsidP="00B107F3">
      <w:pPr>
        <w:pStyle w:val="Heading3"/>
        <w:numPr>
          <w:ilvl w:val="0"/>
          <w:numId w:val="0"/>
        </w:numPr>
        <w:ind w:left="1440"/>
        <w:rPr>
          <w:rFonts w:asciiTheme="minorHAnsi" w:hAnsiTheme="minorHAnsi" w:cstheme="minorHAnsi"/>
          <w:i/>
        </w:rPr>
      </w:pPr>
      <w:r w:rsidRPr="00942C19">
        <w:rPr>
          <w:rFonts w:asciiTheme="minorHAnsi" w:hAnsiTheme="minorHAnsi" w:cstheme="minorHAnsi"/>
          <w:i/>
        </w:rPr>
        <w:t xml:space="preserve">“..while discharging its function under the Act to improve economy and efficiency of the electricity industry, the Commission introduces rebates on account of technical considerations such as load factor rebate and power factor rebate but as far as revenue related rebates are concerned, the same should be proposed by the </w:t>
      </w:r>
      <w:r w:rsidR="009A3804" w:rsidRPr="00942C19">
        <w:rPr>
          <w:rFonts w:asciiTheme="minorHAnsi" w:hAnsiTheme="minorHAnsi" w:cstheme="minorHAnsi"/>
          <w:i/>
        </w:rPr>
        <w:t>Licensee</w:t>
      </w:r>
      <w:r w:rsidRPr="00942C19">
        <w:rPr>
          <w:rFonts w:asciiTheme="minorHAnsi" w:hAnsiTheme="minorHAnsi" w:cstheme="minorHAnsi"/>
          <w:i/>
        </w:rPr>
        <w:t xml:space="preserve"> if it leads to better realization. Therefore, if a proposal to this effect is submitted by </w:t>
      </w:r>
      <w:r w:rsidR="009A3804" w:rsidRPr="00942C19">
        <w:rPr>
          <w:rFonts w:asciiTheme="minorHAnsi" w:hAnsiTheme="minorHAnsi" w:cstheme="minorHAnsi"/>
          <w:i/>
        </w:rPr>
        <w:t>Licensee</w:t>
      </w:r>
      <w:r w:rsidR="0075482C" w:rsidRPr="00942C19">
        <w:rPr>
          <w:rFonts w:asciiTheme="minorHAnsi" w:hAnsiTheme="minorHAnsi" w:cstheme="minorHAnsi"/>
          <w:i/>
        </w:rPr>
        <w:t>s</w:t>
      </w:r>
      <w:r w:rsidRPr="00942C19">
        <w:rPr>
          <w:rFonts w:asciiTheme="minorHAnsi" w:hAnsiTheme="minorHAnsi" w:cstheme="minorHAnsi"/>
          <w:i/>
        </w:rPr>
        <w:t xml:space="preserve"> in future filings, the same may be considered by the Commission.” </w:t>
      </w:r>
    </w:p>
    <w:p w:rsidR="00A24DCF" w:rsidRPr="00942C19" w:rsidRDefault="00A24DCF" w:rsidP="00A24DCF">
      <w:pPr>
        <w:pStyle w:val="Heading3"/>
        <w:numPr>
          <w:ilvl w:val="0"/>
          <w:numId w:val="0"/>
        </w:numPr>
        <w:tabs>
          <w:tab w:val="clear" w:pos="720"/>
        </w:tabs>
        <w:spacing w:before="0"/>
        <w:ind w:left="936"/>
        <w:rPr>
          <w:rFonts w:asciiTheme="minorHAnsi" w:hAnsiTheme="minorHAnsi" w:cstheme="minorHAnsi"/>
        </w:rPr>
      </w:pPr>
    </w:p>
    <w:p w:rsidR="00B107F3" w:rsidRPr="00942C19" w:rsidRDefault="00B107F3" w:rsidP="00A24DCF">
      <w:pPr>
        <w:pStyle w:val="Heading3"/>
        <w:numPr>
          <w:ilvl w:val="0"/>
          <w:numId w:val="0"/>
        </w:numPr>
        <w:tabs>
          <w:tab w:val="clear" w:pos="720"/>
        </w:tabs>
        <w:spacing w:before="0"/>
        <w:ind w:left="936"/>
        <w:rPr>
          <w:rFonts w:asciiTheme="minorHAnsi" w:hAnsiTheme="minorHAnsi" w:cstheme="minorHAnsi"/>
        </w:rPr>
      </w:pPr>
      <w:r w:rsidRPr="00942C19">
        <w:rPr>
          <w:rFonts w:asciiTheme="minorHAnsi" w:hAnsiTheme="minorHAnsi" w:cstheme="minorHAnsi"/>
        </w:rPr>
        <w:t xml:space="preserve">The </w:t>
      </w:r>
      <w:r w:rsidRPr="00942C19">
        <w:t>Commission</w:t>
      </w:r>
      <w:r w:rsidRPr="00942C19">
        <w:rPr>
          <w:rFonts w:asciiTheme="minorHAnsi" w:hAnsiTheme="minorHAnsi" w:cstheme="minorHAnsi"/>
        </w:rPr>
        <w:t xml:space="preserve"> therefore awaits such proposal by the </w:t>
      </w:r>
      <w:r w:rsidR="009A3804" w:rsidRPr="00942C19">
        <w:rPr>
          <w:rFonts w:asciiTheme="minorHAnsi" w:hAnsiTheme="minorHAnsi" w:cstheme="minorHAnsi"/>
        </w:rPr>
        <w:t>Licensee</w:t>
      </w:r>
    </w:p>
    <w:p w:rsidR="00B107F3" w:rsidRPr="00942C19" w:rsidRDefault="00CB3EF5" w:rsidP="00540A34">
      <w:pPr>
        <w:pStyle w:val="Heading3"/>
        <w:tabs>
          <w:tab w:val="clear" w:pos="720"/>
          <w:tab w:val="clear" w:pos="936"/>
          <w:tab w:val="num" w:pos="993"/>
        </w:tabs>
        <w:spacing w:before="240" w:after="240"/>
      </w:pPr>
      <w:r w:rsidRPr="00942C19">
        <w:t xml:space="preserve">On the issue of metering, the Commission has already given directions to the Licensee. </w:t>
      </w:r>
      <w:r w:rsidR="00B107F3" w:rsidRPr="00942C19">
        <w:t xml:space="preserve">The Commission feels that prepaid meters will go a long way towards reducing commercial losses of the </w:t>
      </w:r>
      <w:r w:rsidR="00477124" w:rsidRPr="00942C19">
        <w:t>Licensee</w:t>
      </w:r>
      <w:r w:rsidR="00B107F3" w:rsidRPr="00942C19">
        <w:t xml:space="preserve">. The billing and collection through Franchisee model has been widely accepted in different parts of the country and the main purpose is to help the </w:t>
      </w:r>
      <w:r w:rsidR="00477124" w:rsidRPr="00942C19">
        <w:t xml:space="preserve">Licensee in reducing </w:t>
      </w:r>
      <w:r w:rsidR="00B107F3" w:rsidRPr="00942C19">
        <w:t xml:space="preserve">inefficiency in billing, collection and loss reduction. Keeping the above in mind, implementation of the franchisee model will be a welcome move by the Discom. </w:t>
      </w:r>
    </w:p>
    <w:p w:rsidR="00DD1CA2" w:rsidRPr="00942C19" w:rsidRDefault="00DD1CA2" w:rsidP="00235D2B">
      <w:pPr>
        <w:pStyle w:val="Heading3"/>
        <w:numPr>
          <w:ilvl w:val="0"/>
          <w:numId w:val="0"/>
        </w:numPr>
        <w:spacing w:before="0"/>
        <w:ind w:left="936" w:hanging="936"/>
        <w:rPr>
          <w:rFonts w:asciiTheme="minorHAnsi" w:hAnsiTheme="minorHAnsi" w:cstheme="minorHAnsi"/>
          <w:b/>
        </w:rPr>
      </w:pPr>
    </w:p>
    <w:p w:rsidR="00B107F3" w:rsidRPr="00942C19" w:rsidRDefault="00B107F3" w:rsidP="00235D2B">
      <w:pPr>
        <w:tabs>
          <w:tab w:val="left" w:pos="810"/>
          <w:tab w:val="num" w:pos="900"/>
          <w:tab w:val="left" w:pos="1260"/>
        </w:tabs>
        <w:spacing w:before="0"/>
        <w:ind w:left="540" w:hanging="720"/>
        <w:rPr>
          <w:rFonts w:asciiTheme="minorHAnsi" w:hAnsiTheme="minorHAnsi" w:cstheme="minorHAnsi"/>
          <w:b/>
        </w:rPr>
      </w:pPr>
    </w:p>
    <w:p w:rsidR="004C09B7" w:rsidRPr="00942C19" w:rsidRDefault="004C09B7" w:rsidP="00235D2B">
      <w:pPr>
        <w:pStyle w:val="Heading2"/>
        <w:numPr>
          <w:ilvl w:val="1"/>
          <w:numId w:val="5"/>
        </w:numPr>
        <w:spacing w:before="0"/>
      </w:pPr>
      <w:bookmarkStart w:id="416" w:name="_Toc337201338"/>
      <w:bookmarkStart w:id="417" w:name="_Toc337459179"/>
      <w:bookmarkStart w:id="418" w:name="_Toc338354652"/>
      <w:bookmarkStart w:id="419" w:name="_Toc357356096"/>
      <w:bookmarkStart w:id="420" w:name="_Toc357714386"/>
      <w:r w:rsidRPr="00942C19">
        <w:t>OBJECTIONS RELATED TO DISTRIBUTION FRANCHISEE</w:t>
      </w:r>
      <w:bookmarkEnd w:id="416"/>
      <w:bookmarkEnd w:id="417"/>
      <w:bookmarkEnd w:id="418"/>
      <w:bookmarkEnd w:id="419"/>
      <w:bookmarkEnd w:id="420"/>
    </w:p>
    <w:p w:rsidR="004C09B7" w:rsidRPr="00942C19" w:rsidRDefault="004C09B7" w:rsidP="004C09B7">
      <w:pPr>
        <w:pStyle w:val="Default"/>
        <w:jc w:val="both"/>
        <w:rPr>
          <w:rFonts w:asciiTheme="minorHAnsi" w:hAnsiTheme="minorHAnsi" w:cstheme="minorHAnsi"/>
          <w:bCs/>
          <w:color w:val="auto"/>
        </w:rPr>
      </w:pPr>
    </w:p>
    <w:p w:rsidR="004C09B7" w:rsidRPr="00942C19" w:rsidRDefault="004C09B7" w:rsidP="00A818DC">
      <w:pPr>
        <w:pStyle w:val="ListParagraph"/>
        <w:numPr>
          <w:ilvl w:val="0"/>
          <w:numId w:val="43"/>
        </w:numPr>
        <w:tabs>
          <w:tab w:val="left" w:pos="1260"/>
        </w:tabs>
        <w:spacing w:before="0"/>
        <w:rPr>
          <w:rFonts w:asciiTheme="minorHAnsi" w:hAnsiTheme="minorHAnsi" w:cstheme="minorHAnsi"/>
          <w:b/>
          <w:i/>
        </w:rPr>
      </w:pPr>
      <w:r w:rsidRPr="00942C19">
        <w:rPr>
          <w:rFonts w:asciiTheme="minorHAnsi" w:hAnsiTheme="minorHAnsi" w:cstheme="minorHAnsi"/>
          <w:b/>
          <w:i/>
        </w:rPr>
        <w:t>Comments/Suggestions of the Public:</w:t>
      </w:r>
    </w:p>
    <w:p w:rsidR="00C8001E" w:rsidRPr="00942C19" w:rsidRDefault="00C8001E" w:rsidP="00C8001E">
      <w:pPr>
        <w:pStyle w:val="ListParagraph"/>
        <w:tabs>
          <w:tab w:val="left" w:pos="1260"/>
        </w:tabs>
        <w:spacing w:before="0"/>
        <w:ind w:left="360"/>
        <w:rPr>
          <w:rFonts w:asciiTheme="minorHAnsi" w:hAnsiTheme="minorHAnsi" w:cstheme="minorHAnsi"/>
          <w:b/>
          <w:i/>
        </w:rPr>
      </w:pPr>
    </w:p>
    <w:p w:rsidR="004C09B7" w:rsidRPr="00942C19" w:rsidRDefault="004C09B7" w:rsidP="00540A34">
      <w:pPr>
        <w:pStyle w:val="Heading3"/>
        <w:tabs>
          <w:tab w:val="clear" w:pos="720"/>
          <w:tab w:val="clear" w:pos="936"/>
          <w:tab w:val="num" w:pos="993"/>
        </w:tabs>
        <w:spacing w:before="240" w:after="240"/>
      </w:pPr>
      <w:r w:rsidRPr="00942C19">
        <w:rPr>
          <w:rFonts w:asciiTheme="minorHAnsi" w:hAnsiTheme="minorHAnsi" w:cstheme="minorHAnsi"/>
        </w:rPr>
        <w:t>The</w:t>
      </w:r>
      <w:r w:rsidRPr="00942C19">
        <w:t xml:space="preserve"> comments / suggestions submitted by Mr. Ram Dutt Sharma, Mr. Arvind Kumar Sharma, Mr. Shashi</w:t>
      </w:r>
      <w:r w:rsidRPr="00942C19">
        <w:rPr>
          <w:rFonts w:asciiTheme="minorHAnsi" w:hAnsiTheme="minorHAnsi" w:cstheme="minorHAnsi"/>
        </w:rPr>
        <w:t xml:space="preserve"> Bhushan Mishra, Sachiv, Upbhokta Sanrakshan Evam Kalyan Samiti, </w:t>
      </w:r>
      <w:r w:rsidRPr="00942C19">
        <w:t>Mathura</w:t>
      </w:r>
      <w:r w:rsidRPr="00942C19">
        <w:rPr>
          <w:rFonts w:asciiTheme="minorHAnsi" w:hAnsiTheme="minorHAnsi" w:cstheme="minorHAnsi"/>
        </w:rPr>
        <w:t xml:space="preserve">, Mr. </w:t>
      </w:r>
      <w:r w:rsidRPr="00942C19">
        <w:t xml:space="preserve">Vishnu Bhagwan Agarwal, Chairman, National Chamber of Industries and Commerce, U.P., Mr. N.P. Singh, Federation of Noida Residents Welfare Associations, Mr. </w:t>
      </w:r>
      <w:r w:rsidR="009A3804" w:rsidRPr="00942C19">
        <w:rPr>
          <w:rFonts w:asciiTheme="minorHAnsi" w:hAnsiTheme="minorHAnsi" w:cstheme="minorHAnsi"/>
        </w:rPr>
        <w:t>Awadhesh</w:t>
      </w:r>
      <w:r w:rsidRPr="00942C19">
        <w:rPr>
          <w:rFonts w:asciiTheme="minorHAnsi" w:hAnsiTheme="minorHAnsi" w:cstheme="minorHAnsi"/>
        </w:rPr>
        <w:t xml:space="preserve"> Kumar Verma, Chairman, </w:t>
      </w:r>
      <w:r w:rsidR="00D31494" w:rsidRPr="00942C19">
        <w:rPr>
          <w:rFonts w:asciiTheme="minorHAnsi" w:hAnsiTheme="minorHAnsi" w:cstheme="minorHAnsi"/>
        </w:rPr>
        <w:t>U.P. Rajya</w:t>
      </w:r>
      <w:r w:rsidRPr="00942C19">
        <w:rPr>
          <w:rFonts w:asciiTheme="minorHAnsi" w:hAnsiTheme="minorHAnsi" w:cstheme="minorHAnsi"/>
        </w:rPr>
        <w:t xml:space="preserve"> Vidyut Upbhokta Parishad and Rama Shanker Awasthi, Lucknow </w:t>
      </w:r>
      <w:r w:rsidRPr="00942C19">
        <w:t>are as under:</w:t>
      </w:r>
    </w:p>
    <w:p w:rsidR="004C09B7" w:rsidRPr="00942C19" w:rsidRDefault="004C09B7" w:rsidP="00540A34">
      <w:pPr>
        <w:pStyle w:val="Heading3"/>
        <w:tabs>
          <w:tab w:val="clear" w:pos="720"/>
          <w:tab w:val="clear" w:pos="936"/>
          <w:tab w:val="num" w:pos="993"/>
        </w:tabs>
        <w:spacing w:before="240" w:after="240"/>
      </w:pPr>
      <w:r w:rsidRPr="00942C19">
        <w:t>The stakeholder</w:t>
      </w:r>
      <w:r w:rsidR="00477124" w:rsidRPr="00942C19">
        <w:t>s</w:t>
      </w:r>
      <w:r w:rsidRPr="00942C19">
        <w:t xml:space="preserve"> ha</w:t>
      </w:r>
      <w:r w:rsidR="00477124" w:rsidRPr="00942C19">
        <w:t>ve</w:t>
      </w:r>
      <w:r w:rsidRPr="00942C19">
        <w:t xml:space="preserve"> stated that since UPPCL is supplying power to M/s Torrent Power Limited, the distribution of electricity and vigilance activities towards checking of theft should also be done by UPPCL.</w:t>
      </w:r>
    </w:p>
    <w:p w:rsidR="004C09B7" w:rsidRPr="00942C19" w:rsidRDefault="004C09B7" w:rsidP="00540A34">
      <w:pPr>
        <w:pStyle w:val="Heading3"/>
        <w:tabs>
          <w:tab w:val="clear" w:pos="720"/>
          <w:tab w:val="clear" w:pos="936"/>
          <w:tab w:val="num" w:pos="993"/>
        </w:tabs>
        <w:spacing w:before="240" w:after="240"/>
      </w:pPr>
      <w:r w:rsidRPr="00942C19">
        <w:t>The stakeholder</w:t>
      </w:r>
      <w:r w:rsidR="00477124" w:rsidRPr="00942C19">
        <w:t>s</w:t>
      </w:r>
      <w:r w:rsidRPr="00942C19">
        <w:t xml:space="preserve"> ha</w:t>
      </w:r>
      <w:r w:rsidR="00477124" w:rsidRPr="00942C19">
        <w:t>ve</w:t>
      </w:r>
      <w:r w:rsidRPr="00942C19">
        <w:t xml:space="preserve"> submitted that any loss to the distribution companies on account of the franchisee agreement with M</w:t>
      </w:r>
      <w:r w:rsidR="00477124" w:rsidRPr="00942C19">
        <w:t>/</w:t>
      </w:r>
      <w:r w:rsidRPr="00942C19">
        <w:t>s Torrent Power Limited should not be offset by passing such burden on the distribution companies.</w:t>
      </w:r>
    </w:p>
    <w:p w:rsidR="00C8001E" w:rsidRPr="00942C19" w:rsidRDefault="00C8001E" w:rsidP="00540A34">
      <w:pPr>
        <w:pStyle w:val="Heading3"/>
        <w:tabs>
          <w:tab w:val="clear" w:pos="720"/>
          <w:tab w:val="clear" w:pos="936"/>
          <w:tab w:val="num" w:pos="993"/>
        </w:tabs>
        <w:spacing w:before="240" w:after="240"/>
      </w:pPr>
      <w:r w:rsidRPr="00942C19">
        <w:t>The stakeholder</w:t>
      </w:r>
      <w:r w:rsidR="00477124" w:rsidRPr="00942C19">
        <w:t>s</w:t>
      </w:r>
      <w:r w:rsidRPr="00942C19">
        <w:t xml:space="preserve"> </w:t>
      </w:r>
      <w:r w:rsidR="00477124" w:rsidRPr="00942C19">
        <w:t xml:space="preserve">have alleged </w:t>
      </w:r>
      <w:r w:rsidRPr="00942C19">
        <w:t>that in Agra D</w:t>
      </w:r>
      <w:r w:rsidR="00477124" w:rsidRPr="00942C19">
        <w:t xml:space="preserve">iscom, </w:t>
      </w:r>
      <w:r w:rsidRPr="00942C19">
        <w:t>facts about M/s Torrent Power have been concealed. No information about CS-3 &amp; CS-4 has been provided. The stakeholder has expressed concerns on the sale price to M/s Torrent Power Limited as it is less than the bulk supply rate fixed by the Commission. The stakeholder has stated that in the audited accounts, the DVVNL is treating the energy sold to M/</w:t>
      </w:r>
      <w:r w:rsidR="00477124" w:rsidRPr="00942C19">
        <w:t>s</w:t>
      </w:r>
      <w:r w:rsidRPr="00942C19">
        <w:t xml:space="preserve"> Torrent Power Limited as bulk sales. The stakeholder has also questioned the authority under which the </w:t>
      </w:r>
      <w:r w:rsidR="00477124" w:rsidRPr="00942C19">
        <w:t>D</w:t>
      </w:r>
      <w:r w:rsidRPr="00942C19">
        <w:t xml:space="preserve">istribution </w:t>
      </w:r>
      <w:r w:rsidR="009A3804" w:rsidRPr="00942C19">
        <w:t>Licensee</w:t>
      </w:r>
      <w:r w:rsidRPr="00942C19">
        <w:t xml:space="preserve"> is selling power to M/s Torrent Power Limited.</w:t>
      </w:r>
    </w:p>
    <w:p w:rsidR="004C09B7" w:rsidRPr="00942C19" w:rsidRDefault="004C09B7" w:rsidP="00540A34">
      <w:pPr>
        <w:pStyle w:val="Heading3"/>
        <w:tabs>
          <w:tab w:val="clear" w:pos="720"/>
          <w:tab w:val="clear" w:pos="936"/>
          <w:tab w:val="num" w:pos="993"/>
        </w:tabs>
        <w:spacing w:before="240" w:after="240"/>
      </w:pPr>
      <w:r w:rsidRPr="00942C19">
        <w:t>The stakeholder has observed that as per balance sheet and audit report submitted by the DVVNL, quantity of power supplied, amount recovered and arrear balance towards M/s Torrent Power Limited are not mentioned in the audited accounts.</w:t>
      </w:r>
    </w:p>
    <w:p w:rsidR="004C09B7" w:rsidRPr="00942C19" w:rsidRDefault="004C09B7" w:rsidP="004C09B7">
      <w:pPr>
        <w:pStyle w:val="ListParagraph"/>
        <w:tabs>
          <w:tab w:val="left" w:pos="1260"/>
        </w:tabs>
        <w:ind w:left="360"/>
        <w:rPr>
          <w:rFonts w:asciiTheme="minorHAnsi" w:hAnsiTheme="minorHAnsi" w:cstheme="minorHAnsi"/>
          <w:b/>
          <w:i/>
        </w:rPr>
      </w:pPr>
    </w:p>
    <w:p w:rsidR="004C09B7" w:rsidRPr="00942C19" w:rsidRDefault="002415FE" w:rsidP="00A818DC">
      <w:pPr>
        <w:pStyle w:val="ListParagraph"/>
        <w:numPr>
          <w:ilvl w:val="0"/>
          <w:numId w:val="43"/>
        </w:numPr>
        <w:tabs>
          <w:tab w:val="left" w:pos="1260"/>
        </w:tabs>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4C09B7" w:rsidRPr="00942C19">
        <w:rPr>
          <w:rFonts w:asciiTheme="minorHAnsi" w:hAnsiTheme="minorHAnsi" w:cstheme="minorHAnsi"/>
          <w:b/>
          <w:i/>
        </w:rPr>
        <w:t>:</w:t>
      </w:r>
    </w:p>
    <w:p w:rsidR="004C09B7" w:rsidRPr="00942C19" w:rsidRDefault="004C09B7"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clarified that Bulk power tariff for M/s Torrent has been fixed with due diligence taking into consideration all relevant parameters and data. The terms and conditions of the agreement with M/s Torrent Power Limited are governed by the Franchisee Agreement.</w:t>
      </w:r>
    </w:p>
    <w:p w:rsidR="004C09B7" w:rsidRPr="00942C19" w:rsidRDefault="004C09B7"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treated the energy supplied to M/s Torrent Power Limited as bulk sales by DVVNL.</w:t>
      </w:r>
    </w:p>
    <w:p w:rsidR="004C09B7" w:rsidRPr="00942C19" w:rsidRDefault="004C09B7" w:rsidP="00540A34">
      <w:pPr>
        <w:pStyle w:val="Heading3"/>
        <w:tabs>
          <w:tab w:val="clear" w:pos="720"/>
          <w:tab w:val="clear" w:pos="936"/>
          <w:tab w:val="num" w:pos="993"/>
        </w:tabs>
        <w:spacing w:before="240" w:after="240"/>
      </w:pPr>
      <w:r w:rsidRPr="00942C19">
        <w:t>The audited balance sheet has been finalised based on the advice and overview of the statutory auditor.</w:t>
      </w:r>
    </w:p>
    <w:p w:rsidR="004C09B7" w:rsidRPr="00942C19" w:rsidRDefault="004C09B7" w:rsidP="004C09B7">
      <w:pPr>
        <w:pStyle w:val="Heading3"/>
        <w:numPr>
          <w:ilvl w:val="0"/>
          <w:numId w:val="0"/>
        </w:numPr>
        <w:ind w:left="720"/>
        <w:rPr>
          <w:rFonts w:asciiTheme="minorHAnsi" w:hAnsiTheme="minorHAnsi" w:cstheme="minorHAnsi"/>
        </w:rPr>
      </w:pPr>
    </w:p>
    <w:p w:rsidR="004C09B7" w:rsidRPr="00942C19" w:rsidRDefault="004C09B7" w:rsidP="00A818DC">
      <w:pPr>
        <w:pStyle w:val="ListParagraph"/>
        <w:numPr>
          <w:ilvl w:val="0"/>
          <w:numId w:val="43"/>
        </w:numPr>
        <w:tabs>
          <w:tab w:val="left" w:pos="1260"/>
        </w:tabs>
        <w:spacing w:before="0"/>
        <w:rPr>
          <w:rFonts w:asciiTheme="minorHAnsi" w:hAnsiTheme="minorHAnsi" w:cstheme="minorHAnsi"/>
          <w:b/>
          <w:i/>
        </w:rPr>
      </w:pPr>
      <w:r w:rsidRPr="00942C19">
        <w:rPr>
          <w:rFonts w:asciiTheme="minorHAnsi" w:hAnsiTheme="minorHAnsi" w:cstheme="minorHAnsi"/>
          <w:b/>
          <w:i/>
        </w:rPr>
        <w:t>The Commission’s View:</w:t>
      </w:r>
    </w:p>
    <w:p w:rsidR="004C09B7" w:rsidRPr="00942C19" w:rsidRDefault="004C09B7" w:rsidP="00540A34">
      <w:pPr>
        <w:pStyle w:val="Heading3"/>
        <w:tabs>
          <w:tab w:val="clear" w:pos="720"/>
          <w:tab w:val="clear" w:pos="936"/>
          <w:tab w:val="num" w:pos="993"/>
        </w:tabs>
        <w:spacing w:before="240" w:after="240"/>
      </w:pPr>
      <w:r w:rsidRPr="00942C19">
        <w:t xml:space="preserve">The Commission notes that M/s Torrent Power Ltd has been appointed as input based franchisee by the </w:t>
      </w:r>
      <w:r w:rsidR="009A3804" w:rsidRPr="00942C19">
        <w:t>Licensee</w:t>
      </w:r>
      <w:r w:rsidRPr="00942C19">
        <w:t xml:space="preserve">. His terms and conditions are governed by an agreement. </w:t>
      </w:r>
    </w:p>
    <w:p w:rsidR="004C09B7" w:rsidRPr="00942C19" w:rsidRDefault="004C09B7" w:rsidP="00540A34">
      <w:pPr>
        <w:pStyle w:val="Heading3"/>
        <w:tabs>
          <w:tab w:val="clear" w:pos="720"/>
          <w:tab w:val="clear" w:pos="936"/>
          <w:tab w:val="num" w:pos="993"/>
        </w:tabs>
        <w:spacing w:before="240" w:after="240"/>
      </w:pPr>
      <w:r w:rsidRPr="00942C19">
        <w:t>The Commission for the purpose of th</w:t>
      </w:r>
      <w:r w:rsidR="00477124" w:rsidRPr="00942C19">
        <w:t>e</w:t>
      </w:r>
      <w:r w:rsidRPr="00942C19">
        <w:t xml:space="preserve"> </w:t>
      </w:r>
      <w:r w:rsidR="00477124" w:rsidRPr="00942C19">
        <w:t xml:space="preserve">Order on the </w:t>
      </w:r>
      <w:r w:rsidRPr="00942C19">
        <w:t>ARR / Tariff for FY 2013-14 has not considered the energy supplied to M/s Torrent Power Limited as bulk sales by DVVNL. The Commission has considered the retail sales to Agra City (the area of supply by M/s Torrent Power Limited).</w:t>
      </w:r>
    </w:p>
    <w:p w:rsidR="00320D54" w:rsidRPr="00942C19" w:rsidRDefault="00320D54" w:rsidP="00320D54">
      <w:pPr>
        <w:pStyle w:val="Heading2"/>
        <w:numPr>
          <w:ilvl w:val="0"/>
          <w:numId w:val="0"/>
        </w:numPr>
        <w:ind w:left="780" w:hanging="780"/>
        <w:rPr>
          <w:rFonts w:ascii="Calibri" w:hAnsi="Calibri" w:cs="Times New Roman"/>
          <w:b w:val="0"/>
          <w:bCs w:val="0"/>
          <w:color w:val="auto"/>
        </w:rPr>
      </w:pPr>
      <w:bookmarkStart w:id="421" w:name="_Toc337201345"/>
      <w:bookmarkStart w:id="422" w:name="_Toc337459186"/>
      <w:bookmarkStart w:id="423" w:name="_Toc338354659"/>
    </w:p>
    <w:p w:rsidR="00320D54" w:rsidRPr="00942C19" w:rsidRDefault="00320D54" w:rsidP="00320D54">
      <w:pPr>
        <w:pStyle w:val="Heading2"/>
        <w:numPr>
          <w:ilvl w:val="0"/>
          <w:numId w:val="0"/>
        </w:numPr>
        <w:ind w:left="780" w:hanging="780"/>
        <w:rPr>
          <w:rFonts w:ascii="Calibri" w:hAnsi="Calibri" w:cs="Times New Roman"/>
          <w:b w:val="0"/>
          <w:bCs w:val="0"/>
          <w:color w:val="auto"/>
        </w:rPr>
      </w:pPr>
    </w:p>
    <w:p w:rsidR="00320D54" w:rsidRPr="00942C19" w:rsidRDefault="00320D54" w:rsidP="00320D54">
      <w:pPr>
        <w:pStyle w:val="Heading2"/>
        <w:numPr>
          <w:ilvl w:val="1"/>
          <w:numId w:val="5"/>
        </w:numPr>
      </w:pPr>
      <w:bookmarkStart w:id="424" w:name="_Toc357356097"/>
      <w:bookmarkStart w:id="425" w:name="_Toc357714387"/>
      <w:r w:rsidRPr="00942C19">
        <w:t>PROTECTIVE LOAD</w:t>
      </w:r>
      <w:bookmarkEnd w:id="424"/>
      <w:bookmarkEnd w:id="425"/>
    </w:p>
    <w:p w:rsidR="00A44CA7" w:rsidRPr="00942C19" w:rsidRDefault="00A44CA7">
      <w:pPr>
        <w:pStyle w:val="ListParagraph"/>
        <w:tabs>
          <w:tab w:val="left" w:pos="1260"/>
        </w:tabs>
        <w:spacing w:before="0"/>
        <w:ind w:left="360"/>
        <w:rPr>
          <w:rFonts w:asciiTheme="minorHAnsi" w:hAnsiTheme="minorHAnsi" w:cstheme="minorHAnsi"/>
          <w:b/>
          <w:i/>
        </w:rPr>
      </w:pPr>
    </w:p>
    <w:p w:rsidR="00320D54" w:rsidRPr="00942C19" w:rsidRDefault="00320D54" w:rsidP="00A818DC">
      <w:pPr>
        <w:pStyle w:val="ListParagraph"/>
        <w:numPr>
          <w:ilvl w:val="0"/>
          <w:numId w:val="46"/>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320D54" w:rsidRPr="00942C19" w:rsidRDefault="00320D54" w:rsidP="00540A34">
      <w:pPr>
        <w:pStyle w:val="Heading3"/>
        <w:tabs>
          <w:tab w:val="clear" w:pos="720"/>
          <w:tab w:val="clear" w:pos="936"/>
          <w:tab w:val="num" w:pos="993"/>
        </w:tabs>
        <w:spacing w:before="240" w:after="240"/>
      </w:pPr>
      <w:r w:rsidRPr="00942C19">
        <w:t>The comments / suggestions of the Mr. Rama Shanker Awasthi, Lucknow are as under:</w:t>
      </w:r>
    </w:p>
    <w:p w:rsidR="00320D54" w:rsidRPr="00942C19" w:rsidRDefault="00320D54" w:rsidP="00540A34">
      <w:pPr>
        <w:pStyle w:val="Heading3"/>
        <w:tabs>
          <w:tab w:val="clear" w:pos="720"/>
          <w:tab w:val="clear" w:pos="936"/>
          <w:tab w:val="num" w:pos="993"/>
        </w:tabs>
        <w:spacing w:before="240" w:after="240"/>
      </w:pPr>
      <w:r w:rsidRPr="00942C19">
        <w:t>The stakeholder has stated divisional officers have imposed additional charge for protective load during scheduled rostering.</w:t>
      </w:r>
    </w:p>
    <w:p w:rsidR="00320D54" w:rsidRPr="00942C19" w:rsidRDefault="00320D54" w:rsidP="00540A34">
      <w:pPr>
        <w:pStyle w:val="Heading3"/>
        <w:tabs>
          <w:tab w:val="clear" w:pos="720"/>
          <w:tab w:val="clear" w:pos="936"/>
          <w:tab w:val="num" w:pos="993"/>
        </w:tabs>
        <w:spacing w:before="240" w:after="240"/>
      </w:pPr>
      <w:r w:rsidRPr="00942C19">
        <w:t xml:space="preserve">The stakeholder has stated that scheduled power cut can only be exercised by the Commission and not the </w:t>
      </w:r>
      <w:r w:rsidR="009A3804" w:rsidRPr="00942C19">
        <w:t>Licensee</w:t>
      </w:r>
      <w:r w:rsidRPr="00942C19">
        <w:t>. Further, since the Commission has not imposed any scheduled power cut, the proposal of protective load charge is extraneous.</w:t>
      </w:r>
    </w:p>
    <w:p w:rsidR="00320D54" w:rsidRPr="00942C19" w:rsidRDefault="00320D54" w:rsidP="00320D54">
      <w:pPr>
        <w:pStyle w:val="Heading3"/>
        <w:numPr>
          <w:ilvl w:val="0"/>
          <w:numId w:val="0"/>
        </w:numPr>
        <w:ind w:left="720"/>
        <w:rPr>
          <w:rFonts w:asciiTheme="minorHAnsi" w:hAnsiTheme="minorHAnsi" w:cstheme="minorHAnsi"/>
        </w:rPr>
      </w:pPr>
    </w:p>
    <w:p w:rsidR="00320D54" w:rsidRPr="00942C19" w:rsidRDefault="002415FE" w:rsidP="00A818DC">
      <w:pPr>
        <w:pStyle w:val="Heading3"/>
        <w:numPr>
          <w:ilvl w:val="0"/>
          <w:numId w:val="46"/>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320D54" w:rsidRPr="00942C19">
        <w:rPr>
          <w:rFonts w:asciiTheme="minorHAnsi" w:hAnsiTheme="minorHAnsi" w:cstheme="minorHAnsi"/>
          <w:b/>
          <w:i/>
        </w:rPr>
        <w:t>:</w:t>
      </w:r>
    </w:p>
    <w:p w:rsidR="00320D54" w:rsidRPr="00942C19" w:rsidRDefault="00320D54" w:rsidP="008876F1">
      <w:pPr>
        <w:pStyle w:val="Heading3"/>
        <w:tabs>
          <w:tab w:val="clear" w:pos="720"/>
          <w:tab w:val="clear" w:pos="936"/>
          <w:tab w:val="num" w:pos="993"/>
        </w:tabs>
        <w:spacing w:before="240" w:after="240"/>
      </w:pPr>
      <w:r w:rsidRPr="00942C19">
        <w:t xml:space="preserve">This facility is given to consumers who opt to pay extra for getting supply </w:t>
      </w:r>
      <w:r w:rsidR="00477124" w:rsidRPr="00942C19">
        <w:t xml:space="preserve">during </w:t>
      </w:r>
      <w:r w:rsidRPr="00942C19">
        <w:t xml:space="preserve">scheduled rostering imposed by the </w:t>
      </w:r>
      <w:r w:rsidR="009A3804" w:rsidRPr="00942C19">
        <w:t>Licensee</w:t>
      </w:r>
      <w:r w:rsidRPr="00942C19">
        <w:t xml:space="preserve"> because of shortage of electricity. The charges for protective load are governed by the Rate Schedule approved by the Commission. </w:t>
      </w:r>
    </w:p>
    <w:p w:rsidR="00320D54" w:rsidRPr="00942C19" w:rsidRDefault="00320D54" w:rsidP="00320D54">
      <w:pPr>
        <w:pStyle w:val="Heading3"/>
        <w:numPr>
          <w:ilvl w:val="0"/>
          <w:numId w:val="0"/>
        </w:numPr>
        <w:ind w:left="720"/>
        <w:rPr>
          <w:rFonts w:asciiTheme="minorHAnsi" w:hAnsiTheme="minorHAnsi" w:cstheme="minorHAnsi"/>
        </w:rPr>
      </w:pPr>
    </w:p>
    <w:p w:rsidR="00320D54" w:rsidRPr="00942C19" w:rsidRDefault="00320D54" w:rsidP="00A818DC">
      <w:pPr>
        <w:pStyle w:val="Heading3"/>
        <w:numPr>
          <w:ilvl w:val="0"/>
          <w:numId w:val="46"/>
        </w:numPr>
        <w:spacing w:before="0"/>
        <w:rPr>
          <w:rFonts w:asciiTheme="minorHAnsi" w:hAnsiTheme="minorHAnsi" w:cstheme="minorHAnsi"/>
          <w:b/>
          <w:i/>
        </w:rPr>
      </w:pPr>
      <w:r w:rsidRPr="00942C19">
        <w:rPr>
          <w:rFonts w:asciiTheme="minorHAnsi" w:hAnsiTheme="minorHAnsi" w:cstheme="minorHAnsi"/>
          <w:b/>
          <w:i/>
        </w:rPr>
        <w:t>The Commission’s views:</w:t>
      </w:r>
    </w:p>
    <w:p w:rsidR="00320D54" w:rsidRPr="00942C19" w:rsidRDefault="00320D54" w:rsidP="00540A34">
      <w:pPr>
        <w:pStyle w:val="Heading3"/>
        <w:tabs>
          <w:tab w:val="clear" w:pos="720"/>
          <w:tab w:val="clear" w:pos="936"/>
          <w:tab w:val="num" w:pos="993"/>
        </w:tabs>
        <w:spacing w:before="240" w:after="240"/>
      </w:pPr>
      <w:r w:rsidRPr="00942C19">
        <w:t>The demand supply gap in the state is a known fact. The facility to consumers to get supply during scheduled rostering is charged additionally under the protective load charge. The same is governed by the Rate Schedule approved by the Commission.</w:t>
      </w:r>
    </w:p>
    <w:p w:rsidR="00320D54" w:rsidRPr="00942C19" w:rsidRDefault="00320D54" w:rsidP="00320D54">
      <w:pPr>
        <w:pStyle w:val="Heading1"/>
        <w:numPr>
          <w:ilvl w:val="0"/>
          <w:numId w:val="0"/>
        </w:numPr>
        <w:ind w:left="600"/>
      </w:pPr>
    </w:p>
    <w:p w:rsidR="00C8001E" w:rsidRPr="00942C19" w:rsidRDefault="00C8001E" w:rsidP="00C8001E">
      <w:pPr>
        <w:pStyle w:val="Heading2"/>
        <w:numPr>
          <w:ilvl w:val="1"/>
          <w:numId w:val="5"/>
        </w:numPr>
      </w:pPr>
      <w:bookmarkStart w:id="426" w:name="_Toc357356098"/>
      <w:bookmarkStart w:id="427" w:name="_Toc357714388"/>
      <w:r w:rsidRPr="00942C19">
        <w:t>LOAD FACTOR REBATE AND POWER FACTOR REBATE</w:t>
      </w:r>
      <w:bookmarkEnd w:id="421"/>
      <w:bookmarkEnd w:id="422"/>
      <w:bookmarkEnd w:id="423"/>
      <w:bookmarkEnd w:id="426"/>
      <w:bookmarkEnd w:id="427"/>
    </w:p>
    <w:p w:rsidR="00C8001E" w:rsidRPr="00942C19" w:rsidRDefault="00C8001E" w:rsidP="00C8001E">
      <w:pPr>
        <w:pStyle w:val="Default"/>
        <w:jc w:val="both"/>
        <w:rPr>
          <w:rFonts w:asciiTheme="minorHAnsi" w:hAnsiTheme="minorHAnsi" w:cstheme="minorHAnsi"/>
          <w:bCs/>
          <w:color w:val="auto"/>
        </w:rPr>
      </w:pPr>
    </w:p>
    <w:p w:rsidR="00C8001E" w:rsidRPr="00942C19" w:rsidRDefault="00C8001E" w:rsidP="00A818DC">
      <w:pPr>
        <w:pStyle w:val="ListParagraph"/>
        <w:numPr>
          <w:ilvl w:val="0"/>
          <w:numId w:val="44"/>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C8001E" w:rsidRPr="00942C19" w:rsidRDefault="00C8001E" w:rsidP="00540A34">
      <w:pPr>
        <w:pStyle w:val="Heading3"/>
        <w:tabs>
          <w:tab w:val="clear" w:pos="720"/>
          <w:tab w:val="clear" w:pos="936"/>
          <w:tab w:val="num" w:pos="993"/>
        </w:tabs>
        <w:spacing w:before="240" w:after="240"/>
      </w:pPr>
      <w:r w:rsidRPr="00942C19">
        <w:t xml:space="preserve">The comments / suggestions submitted by Mr. R. K. Jain, Secretary, Western UP Chamber of Commerce &amp; Industry, Mr. Chotebhai Naronha, Convenor, Kanpur Nagrik Manch, Mr. Kanhaiyalal Gupta ‘Salil’, Secretary, Kanpur Nagrik Manch, Mr. Vishnu Bhagwan Agarwal, Chairman, National Chamber of Industries and Commerce, U.P., Mr. </w:t>
      </w:r>
      <w:r w:rsidR="009A3804" w:rsidRPr="00942C19">
        <w:rPr>
          <w:rFonts w:asciiTheme="minorHAnsi" w:hAnsiTheme="minorHAnsi" w:cstheme="minorHAnsi"/>
        </w:rPr>
        <w:t>Awadhesh</w:t>
      </w:r>
      <w:r w:rsidRPr="00942C19">
        <w:rPr>
          <w:rFonts w:asciiTheme="minorHAnsi" w:hAnsiTheme="minorHAnsi" w:cstheme="minorHAnsi"/>
        </w:rPr>
        <w:t xml:space="preserve"> Kumar Verma, Chairman, </w:t>
      </w:r>
      <w:r w:rsidR="00D31494" w:rsidRPr="00942C19">
        <w:rPr>
          <w:rFonts w:asciiTheme="minorHAnsi" w:hAnsiTheme="minorHAnsi" w:cstheme="minorHAnsi"/>
        </w:rPr>
        <w:t>U.P. Rajya</w:t>
      </w:r>
      <w:r w:rsidRPr="00942C19">
        <w:rPr>
          <w:rFonts w:asciiTheme="minorHAnsi" w:hAnsiTheme="minorHAnsi" w:cstheme="minorHAnsi"/>
        </w:rPr>
        <w:t xml:space="preserve"> Vidyut Upbhokta Parishad and Mr. Rama Shanker Awasthi, Lucknow </w:t>
      </w:r>
      <w:r w:rsidRPr="00942C19">
        <w:t>are as under:</w:t>
      </w:r>
    </w:p>
    <w:p w:rsidR="00C8001E" w:rsidRPr="00942C19" w:rsidRDefault="00C8001E" w:rsidP="00540A34">
      <w:pPr>
        <w:pStyle w:val="Heading3"/>
        <w:tabs>
          <w:tab w:val="clear" w:pos="720"/>
          <w:tab w:val="clear" w:pos="936"/>
          <w:tab w:val="num" w:pos="993"/>
        </w:tabs>
        <w:spacing w:before="240" w:after="240"/>
      </w:pPr>
      <w:r w:rsidRPr="00942C19">
        <w:t>The stakeholders submitted that the load factor rebate should be calculated on the basis of actual supply of electricity as reflected in the MRI report. The stakeholders have questioned the proposed removal of load factor rebate from the Rate Schedule for LMV-6 and HV-2</w:t>
      </w:r>
      <w:r w:rsidR="00477124" w:rsidRPr="00942C19">
        <w:t xml:space="preserve"> categories</w:t>
      </w:r>
      <w:r w:rsidRPr="00942C19">
        <w:t>. Further the stakeholder</w:t>
      </w:r>
      <w:r w:rsidR="00477124" w:rsidRPr="00942C19">
        <w:t>s</w:t>
      </w:r>
      <w:r w:rsidRPr="00942C19">
        <w:t xml:space="preserve"> ha</w:t>
      </w:r>
      <w:r w:rsidR="00477124" w:rsidRPr="00942C19">
        <w:t>ve</w:t>
      </w:r>
      <w:r w:rsidRPr="00942C19">
        <w:t xml:space="preserve"> stated that the load factor rebate is calculated on the basis of standard power of supply irrespective of schedule and unscheduled power roasting by the distribution companies</w:t>
      </w:r>
      <w:r w:rsidR="00477124" w:rsidRPr="00942C19">
        <w:t xml:space="preserve"> and that t</w:t>
      </w:r>
      <w:r w:rsidRPr="00942C19">
        <w:t>he load factor should be calculated and allowed to the consumers on the basis of the actual power supply of electricity and not on imaginary basis</w:t>
      </w:r>
      <w:r w:rsidR="00477124" w:rsidRPr="00942C19">
        <w:t>; s</w:t>
      </w:r>
      <w:r w:rsidRPr="00942C19">
        <w:t xml:space="preserve">ince, </w:t>
      </w:r>
      <w:r w:rsidR="00477124" w:rsidRPr="00942C19">
        <w:t xml:space="preserve">the Licensee </w:t>
      </w:r>
      <w:r w:rsidRPr="00942C19">
        <w:t>is preparing the bill of the industrial consumer on the basis of the MRI download from the meter. The MRI report shows the availability of power at the end of consumer. The stakeholder has requested the Commission to allow the load factor rebate to industrial consumers on the basis of actual supply of electricity reflected in the MRI report.</w:t>
      </w:r>
    </w:p>
    <w:p w:rsidR="00C8001E" w:rsidRPr="00942C19" w:rsidRDefault="00C8001E" w:rsidP="00540A34">
      <w:pPr>
        <w:pStyle w:val="Heading3"/>
        <w:tabs>
          <w:tab w:val="clear" w:pos="720"/>
          <w:tab w:val="clear" w:pos="936"/>
          <w:tab w:val="num" w:pos="993"/>
        </w:tabs>
        <w:spacing w:before="240" w:after="240"/>
      </w:pPr>
      <w:r w:rsidRPr="00942C19">
        <w:t xml:space="preserve">The stakeholders have stated </w:t>
      </w:r>
      <w:r w:rsidR="00477124" w:rsidRPr="00942C19">
        <w:t xml:space="preserve">that </w:t>
      </w:r>
      <w:r w:rsidRPr="00942C19">
        <w:t>Clause 6.4 of the Distribution Tariff Regulations clearly says that the Commission will continue to adopt provisions of peak &amp; off- peak, power factor and load factor related rate design in its tariff determination. Hence the proposal for abolition of load factor rebate, power factor rebate is contrary to Distribution Tariff Regulations.</w:t>
      </w:r>
    </w:p>
    <w:p w:rsidR="00C8001E" w:rsidRPr="00942C19" w:rsidRDefault="00C8001E" w:rsidP="00C8001E">
      <w:pPr>
        <w:pStyle w:val="Heading3"/>
        <w:numPr>
          <w:ilvl w:val="0"/>
          <w:numId w:val="0"/>
        </w:numPr>
        <w:ind w:left="720"/>
        <w:rPr>
          <w:rFonts w:asciiTheme="minorHAnsi" w:hAnsiTheme="minorHAnsi" w:cstheme="minorHAnsi"/>
        </w:rPr>
      </w:pPr>
    </w:p>
    <w:p w:rsidR="00C8001E" w:rsidRPr="00942C19" w:rsidRDefault="002415FE" w:rsidP="00A818DC">
      <w:pPr>
        <w:pStyle w:val="Heading3"/>
        <w:numPr>
          <w:ilvl w:val="0"/>
          <w:numId w:val="44"/>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C8001E" w:rsidRPr="00942C19">
        <w:rPr>
          <w:rFonts w:asciiTheme="minorHAnsi" w:hAnsiTheme="minorHAnsi" w:cstheme="minorHAnsi"/>
          <w:b/>
          <w:i/>
        </w:rPr>
        <w:t>:</w:t>
      </w:r>
    </w:p>
    <w:p w:rsidR="00C8001E" w:rsidRPr="00942C19" w:rsidRDefault="00C8001E"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requested the Commission to accept the proposal for abolition of load factor rebate and power factor rebate as it is aimed at simplification of the rate schedule</w:t>
      </w:r>
      <w:r w:rsidRPr="00942C19">
        <w:rPr>
          <w:rFonts w:asciiTheme="minorHAnsi" w:hAnsiTheme="minorHAnsi" w:cstheme="minorHAnsi"/>
        </w:rPr>
        <w:t>.</w:t>
      </w:r>
    </w:p>
    <w:p w:rsidR="00C8001E" w:rsidRPr="00942C19" w:rsidRDefault="00C8001E" w:rsidP="00C8001E">
      <w:pPr>
        <w:pStyle w:val="Heading3"/>
        <w:numPr>
          <w:ilvl w:val="0"/>
          <w:numId w:val="0"/>
        </w:numPr>
        <w:ind w:left="720"/>
        <w:rPr>
          <w:rFonts w:asciiTheme="minorHAnsi" w:hAnsiTheme="minorHAnsi" w:cstheme="minorHAnsi"/>
        </w:rPr>
      </w:pPr>
    </w:p>
    <w:p w:rsidR="00C8001E" w:rsidRPr="00942C19" w:rsidRDefault="00C8001E" w:rsidP="00A818DC">
      <w:pPr>
        <w:pStyle w:val="Heading3"/>
        <w:numPr>
          <w:ilvl w:val="0"/>
          <w:numId w:val="44"/>
        </w:numPr>
        <w:spacing w:before="0"/>
        <w:rPr>
          <w:rFonts w:asciiTheme="minorHAnsi" w:hAnsiTheme="minorHAnsi" w:cstheme="minorHAnsi"/>
          <w:b/>
          <w:i/>
        </w:rPr>
      </w:pPr>
      <w:r w:rsidRPr="00942C19">
        <w:rPr>
          <w:rFonts w:asciiTheme="minorHAnsi" w:hAnsiTheme="minorHAnsi" w:cstheme="minorHAnsi"/>
          <w:b/>
          <w:i/>
        </w:rPr>
        <w:t>The Commission’s views:</w:t>
      </w:r>
    </w:p>
    <w:p w:rsidR="00C8001E" w:rsidRPr="00942C19" w:rsidRDefault="00C8001E" w:rsidP="00540A34">
      <w:pPr>
        <w:pStyle w:val="Heading3"/>
        <w:tabs>
          <w:tab w:val="clear" w:pos="720"/>
          <w:tab w:val="clear" w:pos="936"/>
          <w:tab w:val="num" w:pos="993"/>
        </w:tabs>
        <w:spacing w:before="240" w:after="240"/>
      </w:pPr>
      <w:r w:rsidRPr="00942C19">
        <w:t xml:space="preserve">The Commission has </w:t>
      </w:r>
      <w:r w:rsidR="00477124" w:rsidRPr="00942C19">
        <w:t xml:space="preserve">retained the existing provisions pertaining to load factor rebate and power factor rebate. </w:t>
      </w:r>
    </w:p>
    <w:p w:rsidR="00C922D4" w:rsidRPr="00942C19" w:rsidRDefault="00C922D4">
      <w:pPr>
        <w:spacing w:before="0" w:line="240" w:lineRule="auto"/>
        <w:jc w:val="left"/>
        <w:rPr>
          <w:rFonts w:asciiTheme="minorHAnsi" w:hAnsiTheme="minorHAnsi" w:cstheme="minorHAnsi"/>
          <w:b/>
          <w:bCs/>
          <w:color w:val="000000"/>
        </w:rPr>
      </w:pPr>
    </w:p>
    <w:p w:rsidR="00320D54" w:rsidRPr="00942C19" w:rsidRDefault="00320D54" w:rsidP="00320D54"/>
    <w:p w:rsidR="00320D54" w:rsidRPr="00942C19" w:rsidRDefault="00320D54" w:rsidP="00320D54">
      <w:pPr>
        <w:pStyle w:val="Heading2"/>
        <w:numPr>
          <w:ilvl w:val="1"/>
          <w:numId w:val="5"/>
        </w:numPr>
      </w:pPr>
      <w:bookmarkStart w:id="428" w:name="_Toc337201352"/>
      <w:bookmarkStart w:id="429" w:name="_Toc337459193"/>
      <w:bookmarkStart w:id="430" w:name="_Toc338354666"/>
      <w:bookmarkStart w:id="431" w:name="_Toc357356099"/>
      <w:bookmarkStart w:id="432" w:name="_Toc357714389"/>
      <w:r w:rsidRPr="00942C19">
        <w:t>TARIFF FOR RAILWAYS</w:t>
      </w:r>
      <w:r w:rsidR="00CB3EF5" w:rsidRPr="00942C19">
        <w:t xml:space="preserve"> </w:t>
      </w:r>
      <w:r w:rsidRPr="00942C19">
        <w:t>/</w:t>
      </w:r>
      <w:r w:rsidR="00CB3EF5" w:rsidRPr="00942C19">
        <w:t xml:space="preserve"> </w:t>
      </w:r>
      <w:r w:rsidRPr="00942C19">
        <w:t>ELECTRIC TRACTION</w:t>
      </w:r>
      <w:r w:rsidR="00CB3EF5" w:rsidRPr="00942C19">
        <w:t xml:space="preserve"> </w:t>
      </w:r>
      <w:r w:rsidRPr="00942C19">
        <w:t>/</w:t>
      </w:r>
      <w:r w:rsidR="00CB3EF5" w:rsidRPr="00942C19">
        <w:t xml:space="preserve"> </w:t>
      </w:r>
      <w:r w:rsidRPr="00942C19">
        <w:t>METRO</w:t>
      </w:r>
      <w:bookmarkEnd w:id="428"/>
      <w:bookmarkEnd w:id="429"/>
      <w:bookmarkEnd w:id="430"/>
      <w:bookmarkEnd w:id="431"/>
      <w:bookmarkEnd w:id="432"/>
    </w:p>
    <w:p w:rsidR="00320D54" w:rsidRPr="00942C19" w:rsidRDefault="00320D54" w:rsidP="00320D54">
      <w:pPr>
        <w:pStyle w:val="Default"/>
        <w:jc w:val="both"/>
        <w:rPr>
          <w:rFonts w:asciiTheme="minorHAnsi" w:hAnsiTheme="minorHAnsi" w:cstheme="minorHAnsi"/>
          <w:bCs/>
          <w:color w:val="auto"/>
        </w:rPr>
      </w:pPr>
    </w:p>
    <w:p w:rsidR="00A44CA7" w:rsidRPr="00942C19" w:rsidRDefault="00320D54">
      <w:pPr>
        <w:pStyle w:val="ListParagraph"/>
        <w:numPr>
          <w:ilvl w:val="0"/>
          <w:numId w:val="96"/>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320D54" w:rsidRPr="00942C19" w:rsidRDefault="00320D54" w:rsidP="00540A34">
      <w:pPr>
        <w:pStyle w:val="Heading3"/>
        <w:tabs>
          <w:tab w:val="clear" w:pos="720"/>
          <w:tab w:val="clear" w:pos="936"/>
          <w:tab w:val="num" w:pos="993"/>
        </w:tabs>
        <w:spacing w:before="240" w:after="240"/>
      </w:pPr>
      <w:r w:rsidRPr="00942C19">
        <w:t>The comments / suggestions of the Delhi Metro Rail Corporation are as under:</w:t>
      </w:r>
    </w:p>
    <w:p w:rsidR="00320D54" w:rsidRPr="00942C19" w:rsidRDefault="00320D54" w:rsidP="008876F1">
      <w:pPr>
        <w:pStyle w:val="Heading3"/>
        <w:tabs>
          <w:tab w:val="clear" w:pos="720"/>
          <w:tab w:val="clear" w:pos="936"/>
          <w:tab w:val="num" w:pos="993"/>
        </w:tabs>
        <w:spacing w:before="240" w:after="240"/>
      </w:pPr>
      <w:r w:rsidRPr="00942C19">
        <w:t>It has requested for removal of TOD tariffs as it has demonstrated that it is an essential utility service and runs trains to meet commuter traffic. The maximum commuter demand is between 08:00 hrs to 11:00 hrs in the morning and between 16:00 hrs to 20:00 hrs in the evening, which coincides with the period of maximum energy demand. Unlike other industries, it is not feasible to control the energy consumption during peak demand of commuters.</w:t>
      </w:r>
    </w:p>
    <w:p w:rsidR="00320D54" w:rsidRPr="00942C19" w:rsidRDefault="00320D54" w:rsidP="008876F1">
      <w:pPr>
        <w:pStyle w:val="Heading3"/>
        <w:tabs>
          <w:tab w:val="clear" w:pos="720"/>
          <w:tab w:val="clear" w:pos="936"/>
          <w:tab w:val="num" w:pos="993"/>
        </w:tabs>
        <w:spacing w:before="240" w:after="240"/>
      </w:pPr>
      <w:r w:rsidRPr="00942C19">
        <w:t>It has submitted that the tariff for metro may be fixed in accordance with its agreement with New Okhla Industrial Development Authority (NOIDA).</w:t>
      </w:r>
    </w:p>
    <w:p w:rsidR="00320D54" w:rsidRPr="00942C19" w:rsidRDefault="00320D54" w:rsidP="008876F1">
      <w:pPr>
        <w:pStyle w:val="Heading3"/>
        <w:tabs>
          <w:tab w:val="clear" w:pos="720"/>
          <w:tab w:val="clear" w:pos="936"/>
          <w:tab w:val="num" w:pos="993"/>
        </w:tabs>
        <w:spacing w:before="240" w:after="240"/>
      </w:pPr>
      <w:r w:rsidRPr="00942C19">
        <w:t>It has requested that the commercial establishment within the DMRC footprint be charged tariff on a similar footing as done by Haryana Electricity Regulatory Commission (HERC).</w:t>
      </w:r>
    </w:p>
    <w:p w:rsidR="00320D54" w:rsidRPr="00942C19" w:rsidRDefault="00320D54" w:rsidP="008876F1">
      <w:pPr>
        <w:pStyle w:val="Heading3"/>
        <w:tabs>
          <w:tab w:val="clear" w:pos="720"/>
          <w:tab w:val="clear" w:pos="936"/>
          <w:tab w:val="num" w:pos="993"/>
        </w:tabs>
        <w:spacing w:before="240" w:after="240"/>
      </w:pPr>
      <w:r w:rsidRPr="00942C19">
        <w:t>They have also requested to consider integration of maximum demand at 30 minutes cycle, instead of the proposed 15 minute cycle, as being done in Delhi</w:t>
      </w:r>
    </w:p>
    <w:p w:rsidR="00320D54" w:rsidRPr="00942C19" w:rsidRDefault="00320D54" w:rsidP="008876F1">
      <w:pPr>
        <w:pStyle w:val="Heading3"/>
        <w:tabs>
          <w:tab w:val="clear" w:pos="720"/>
          <w:tab w:val="clear" w:pos="936"/>
          <w:tab w:val="num" w:pos="993"/>
        </w:tabs>
        <w:spacing w:before="240" w:after="240"/>
      </w:pPr>
      <w:r w:rsidRPr="00942C19">
        <w:t xml:space="preserve">It has further stated that it operates at almost constant load for about 19 hours daily during which power factor is near unity. No train services are run from 12 midnight to </w:t>
      </w:r>
      <w:r w:rsidR="00E14547" w:rsidRPr="00942C19">
        <w:t>0</w:t>
      </w:r>
      <w:r w:rsidRPr="00942C19">
        <w:t>5</w:t>
      </w:r>
      <w:r w:rsidR="00E14547" w:rsidRPr="00942C19">
        <w:t xml:space="preserve">:00 hrs </w:t>
      </w:r>
      <w:r w:rsidRPr="00942C19">
        <w:t>in the morning. During this time, there is hardly 5%-10% load resulting in leading power factor because of extensive use of cable. This results in overall poor factor increasing kVAh consumption. DMRC has requested that it may be billed</w:t>
      </w:r>
      <w:r w:rsidR="00E14547" w:rsidRPr="00942C19">
        <w:t>,</w:t>
      </w:r>
      <w:r w:rsidRPr="00942C19">
        <w:t xml:space="preserve"> blocking leading kVARh and only on the basis of lagging kVAh.</w:t>
      </w:r>
    </w:p>
    <w:p w:rsidR="00320D54" w:rsidRPr="00942C19" w:rsidRDefault="00320D54" w:rsidP="008876F1">
      <w:pPr>
        <w:pStyle w:val="Heading3"/>
        <w:tabs>
          <w:tab w:val="clear" w:pos="720"/>
          <w:tab w:val="clear" w:pos="936"/>
          <w:tab w:val="num" w:pos="993"/>
        </w:tabs>
        <w:spacing w:before="240" w:after="240"/>
      </w:pPr>
      <w:r w:rsidRPr="00942C19">
        <w:t>It has further requested the Commission to exempt it from paying electricity duty.</w:t>
      </w:r>
    </w:p>
    <w:p w:rsidR="00320D54" w:rsidRPr="00942C19" w:rsidRDefault="00320D54" w:rsidP="00320D54">
      <w:pPr>
        <w:pStyle w:val="Heading3"/>
        <w:numPr>
          <w:ilvl w:val="0"/>
          <w:numId w:val="0"/>
        </w:numPr>
        <w:ind w:left="720"/>
        <w:rPr>
          <w:rFonts w:asciiTheme="minorHAnsi" w:hAnsiTheme="minorHAnsi" w:cstheme="minorHAnsi"/>
        </w:rPr>
      </w:pPr>
    </w:p>
    <w:p w:rsidR="00A44CA7" w:rsidRPr="00942C19" w:rsidRDefault="002415FE">
      <w:pPr>
        <w:pStyle w:val="Heading3"/>
        <w:numPr>
          <w:ilvl w:val="0"/>
          <w:numId w:val="96"/>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320D54" w:rsidRPr="00942C19">
        <w:rPr>
          <w:rFonts w:asciiTheme="minorHAnsi" w:hAnsiTheme="minorHAnsi" w:cstheme="minorHAnsi"/>
          <w:b/>
          <w:i/>
        </w:rPr>
        <w:t>:</w:t>
      </w:r>
    </w:p>
    <w:p w:rsidR="00320D54" w:rsidRPr="00942C19" w:rsidRDefault="00320D54" w:rsidP="00540A34">
      <w:pPr>
        <w:pStyle w:val="Heading3"/>
        <w:tabs>
          <w:tab w:val="clear" w:pos="720"/>
          <w:tab w:val="clear" w:pos="936"/>
          <w:tab w:val="num" w:pos="993"/>
        </w:tabs>
        <w:spacing w:before="240" w:after="240"/>
      </w:pPr>
      <w:r w:rsidRPr="00942C19">
        <w:t xml:space="preserve">The TOD tariffs have been proposed based on the Commission’s methodology of TOD. The same may kindly be considered by the Commission. </w:t>
      </w:r>
    </w:p>
    <w:p w:rsidR="00320D54" w:rsidRPr="00942C19" w:rsidRDefault="00320D54"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the tariff has been proposed keeping in mind the provision of </w:t>
      </w:r>
      <w:r w:rsidR="00E14547" w:rsidRPr="00942C19">
        <w:t xml:space="preserve">the </w:t>
      </w:r>
      <w:r w:rsidRPr="00942C19">
        <w:t>Tariff Regulations and Tariff Policy which states that tariff should be near +/-20% of the cost of service.</w:t>
      </w:r>
    </w:p>
    <w:p w:rsidR="00320D54" w:rsidRPr="00942C19" w:rsidRDefault="00320D54"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submitted that the status quo be maintained on the issue of </w:t>
      </w:r>
      <w:r w:rsidR="00E14547" w:rsidRPr="00942C19">
        <w:t xml:space="preserve">tariffs for </w:t>
      </w:r>
      <w:r w:rsidRPr="00942C19">
        <w:t>commercial establishments within the DMRC footprint.</w:t>
      </w:r>
    </w:p>
    <w:p w:rsidR="00320D54" w:rsidRPr="00942C19" w:rsidRDefault="00320D54"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the problem of simultaneous maximum demand recording has already been discussed in the meeting with Railway Officials and action will be taken on the basis of agreed points which will be included in the new agreement for supply of power to the Railways.</w:t>
      </w:r>
    </w:p>
    <w:p w:rsidR="00320D54" w:rsidRPr="00942C19" w:rsidRDefault="00320D54" w:rsidP="00540A34">
      <w:pPr>
        <w:pStyle w:val="Heading3"/>
        <w:tabs>
          <w:tab w:val="clear" w:pos="720"/>
          <w:tab w:val="clear" w:pos="936"/>
          <w:tab w:val="num" w:pos="993"/>
        </w:tabs>
        <w:spacing w:before="240" w:after="240"/>
      </w:pPr>
      <w:r w:rsidRPr="00942C19">
        <w:t>As far as billing is concerned, it is already being done on the basis of lagging kVArh.</w:t>
      </w:r>
    </w:p>
    <w:p w:rsidR="00320D54" w:rsidRPr="00942C19" w:rsidRDefault="00320D54" w:rsidP="00320D54">
      <w:pPr>
        <w:pStyle w:val="Heading3"/>
        <w:numPr>
          <w:ilvl w:val="0"/>
          <w:numId w:val="0"/>
        </w:numPr>
        <w:ind w:left="720"/>
        <w:rPr>
          <w:rFonts w:asciiTheme="minorHAnsi" w:hAnsiTheme="minorHAnsi" w:cstheme="minorHAnsi"/>
        </w:rPr>
      </w:pPr>
    </w:p>
    <w:p w:rsidR="00A44CA7" w:rsidRPr="00942C19" w:rsidRDefault="00320D54">
      <w:pPr>
        <w:pStyle w:val="Heading3"/>
        <w:numPr>
          <w:ilvl w:val="0"/>
          <w:numId w:val="96"/>
        </w:numPr>
        <w:spacing w:before="0"/>
        <w:rPr>
          <w:rFonts w:asciiTheme="minorHAnsi" w:hAnsiTheme="minorHAnsi" w:cstheme="minorHAnsi"/>
          <w:b/>
          <w:i/>
        </w:rPr>
      </w:pPr>
      <w:r w:rsidRPr="00942C19">
        <w:rPr>
          <w:rFonts w:asciiTheme="minorHAnsi" w:hAnsiTheme="minorHAnsi" w:cstheme="minorHAnsi"/>
          <w:b/>
          <w:i/>
        </w:rPr>
        <w:t>The Commission’s views:</w:t>
      </w:r>
    </w:p>
    <w:p w:rsidR="00320D54" w:rsidRPr="00942C19" w:rsidRDefault="00320D54" w:rsidP="00540A34">
      <w:pPr>
        <w:pStyle w:val="Heading3"/>
        <w:tabs>
          <w:tab w:val="clear" w:pos="720"/>
          <w:tab w:val="clear" w:pos="936"/>
          <w:tab w:val="num" w:pos="993"/>
        </w:tabs>
        <w:spacing w:before="240" w:after="240"/>
      </w:pPr>
      <w:r w:rsidRPr="00942C19">
        <w:t xml:space="preserve">The </w:t>
      </w:r>
      <w:r w:rsidR="00E14547" w:rsidRPr="00942C19">
        <w:t xml:space="preserve">proposal for </w:t>
      </w:r>
      <w:r w:rsidRPr="00942C19">
        <w:t>TOD tariff has not been considered by the Commission.</w:t>
      </w:r>
    </w:p>
    <w:p w:rsidR="00320D54" w:rsidRPr="00942C19" w:rsidRDefault="00320D54" w:rsidP="00540A34">
      <w:pPr>
        <w:pStyle w:val="Heading3"/>
        <w:tabs>
          <w:tab w:val="clear" w:pos="720"/>
          <w:tab w:val="clear" w:pos="936"/>
          <w:tab w:val="num" w:pos="993"/>
        </w:tabs>
        <w:spacing w:before="240" w:after="240"/>
      </w:pPr>
      <w:r w:rsidRPr="00942C19">
        <w:t>The Tariff for various categories of consumers is being determined by the Commission in accordance with the principles enshrined in the Distribution Tariff Regulations</w:t>
      </w:r>
      <w:r w:rsidR="00CB3EF5" w:rsidRPr="00942C19">
        <w:t xml:space="preserve"> and National Tariff Policy</w:t>
      </w:r>
      <w:r w:rsidRPr="00942C19">
        <w:t>.</w:t>
      </w:r>
    </w:p>
    <w:p w:rsidR="00320D54" w:rsidRPr="00942C19" w:rsidRDefault="00320D54" w:rsidP="00540A34">
      <w:pPr>
        <w:pStyle w:val="Heading3"/>
        <w:tabs>
          <w:tab w:val="clear" w:pos="720"/>
          <w:tab w:val="clear" w:pos="936"/>
          <w:tab w:val="num" w:pos="993"/>
        </w:tabs>
        <w:spacing w:before="240" w:after="240"/>
      </w:pPr>
      <w:r w:rsidRPr="00942C19">
        <w:t xml:space="preserve">The electricity duty is payable to State Government and its chargeability and rates are not governed by the Tariff Order. </w:t>
      </w:r>
    </w:p>
    <w:p w:rsidR="00D405B4" w:rsidRPr="00942C19" w:rsidRDefault="00D405B4">
      <w:pPr>
        <w:spacing w:before="0" w:line="240" w:lineRule="auto"/>
        <w:jc w:val="left"/>
        <w:rPr>
          <w:rFonts w:asciiTheme="minorHAnsi" w:hAnsiTheme="minorHAnsi" w:cstheme="minorHAnsi"/>
          <w:b/>
          <w:bCs/>
          <w:color w:val="000000"/>
        </w:rPr>
      </w:pPr>
    </w:p>
    <w:p w:rsidR="00540A34" w:rsidRPr="00942C19" w:rsidRDefault="00540A34">
      <w:pPr>
        <w:spacing w:before="0" w:line="240" w:lineRule="auto"/>
        <w:jc w:val="left"/>
        <w:rPr>
          <w:rFonts w:asciiTheme="minorHAnsi" w:hAnsiTheme="minorHAnsi" w:cstheme="minorHAnsi"/>
          <w:b/>
          <w:bCs/>
          <w:color w:val="000000"/>
        </w:rPr>
      </w:pPr>
    </w:p>
    <w:p w:rsidR="00D405B4" w:rsidRPr="00942C19" w:rsidRDefault="00D405B4" w:rsidP="00D405B4">
      <w:pPr>
        <w:pStyle w:val="Heading2"/>
        <w:numPr>
          <w:ilvl w:val="1"/>
          <w:numId w:val="5"/>
        </w:numPr>
      </w:pPr>
      <w:bookmarkStart w:id="433" w:name="_Toc357356100"/>
      <w:bookmarkStart w:id="434" w:name="_Toc357714390"/>
      <w:r w:rsidRPr="00942C19">
        <w:t>TARIFF FOR DEPARTMENTAL EMPLOYEES</w:t>
      </w:r>
      <w:bookmarkEnd w:id="433"/>
      <w:bookmarkEnd w:id="434"/>
    </w:p>
    <w:p w:rsidR="00D405B4" w:rsidRPr="00942C19" w:rsidRDefault="00D405B4" w:rsidP="00D405B4">
      <w:pPr>
        <w:pStyle w:val="Default"/>
        <w:jc w:val="both"/>
        <w:rPr>
          <w:rFonts w:asciiTheme="minorHAnsi" w:hAnsiTheme="minorHAnsi" w:cstheme="minorHAnsi"/>
          <w:bCs/>
          <w:color w:val="auto"/>
        </w:rPr>
      </w:pPr>
    </w:p>
    <w:p w:rsidR="00D405B4" w:rsidRPr="00942C19" w:rsidRDefault="00D405B4" w:rsidP="00A818DC">
      <w:pPr>
        <w:pStyle w:val="ListParagraph"/>
        <w:numPr>
          <w:ilvl w:val="0"/>
          <w:numId w:val="45"/>
        </w:numPr>
        <w:tabs>
          <w:tab w:val="left" w:pos="1260"/>
        </w:tabs>
        <w:spacing w:before="0"/>
        <w:rPr>
          <w:rFonts w:asciiTheme="minorHAnsi" w:hAnsiTheme="minorHAnsi" w:cstheme="minorHAnsi"/>
          <w:b/>
          <w:i/>
        </w:rPr>
      </w:pPr>
      <w:r w:rsidRPr="00942C19">
        <w:rPr>
          <w:rFonts w:asciiTheme="minorHAnsi" w:hAnsiTheme="minorHAnsi" w:cstheme="minorHAnsi"/>
          <w:b/>
          <w:i/>
        </w:rPr>
        <w:t>Comments / Suggestions of the Public:</w:t>
      </w:r>
    </w:p>
    <w:p w:rsidR="00D405B4" w:rsidRPr="00942C19" w:rsidRDefault="00D405B4" w:rsidP="00540A34">
      <w:pPr>
        <w:pStyle w:val="Heading3"/>
        <w:tabs>
          <w:tab w:val="clear" w:pos="720"/>
          <w:tab w:val="clear" w:pos="936"/>
          <w:tab w:val="num" w:pos="993"/>
        </w:tabs>
        <w:spacing w:before="240" w:after="240"/>
      </w:pPr>
      <w:r w:rsidRPr="00942C19">
        <w:t>The comments / suggestions submitted by Mr. D.C Dixit &amp; Others, Lucknow and Mr. Vinod Kumar, Ghaziabad are as under:</w:t>
      </w:r>
    </w:p>
    <w:p w:rsidR="00D405B4" w:rsidRPr="00942C19" w:rsidRDefault="00D405B4" w:rsidP="00540A34">
      <w:pPr>
        <w:pStyle w:val="Heading3"/>
        <w:tabs>
          <w:tab w:val="clear" w:pos="720"/>
          <w:tab w:val="clear" w:pos="936"/>
          <w:tab w:val="num" w:pos="993"/>
        </w:tabs>
        <w:spacing w:before="240" w:after="240"/>
      </w:pPr>
      <w:r w:rsidRPr="00942C19">
        <w:t xml:space="preserve">The stakeholders submitted that </w:t>
      </w:r>
      <w:r w:rsidR="00BB7832" w:rsidRPr="00942C19">
        <w:t xml:space="preserve">in case of multi storied buildings, the builder is charging fixed charges whereas the same is already deposited with the Department by the employees. However in the previous Tariff Order, the Commission has allowed adjustment of unit shown in the meter but did not comment on the fixed charges </w:t>
      </w:r>
    </w:p>
    <w:p w:rsidR="00D405B4" w:rsidRPr="00942C19" w:rsidRDefault="00D405B4" w:rsidP="00D405B4">
      <w:pPr>
        <w:pStyle w:val="Heading3"/>
        <w:numPr>
          <w:ilvl w:val="0"/>
          <w:numId w:val="0"/>
        </w:numPr>
        <w:ind w:left="720"/>
        <w:rPr>
          <w:rFonts w:asciiTheme="minorHAnsi" w:hAnsiTheme="minorHAnsi" w:cstheme="minorHAnsi"/>
        </w:rPr>
      </w:pPr>
    </w:p>
    <w:p w:rsidR="00D405B4" w:rsidRPr="00942C19" w:rsidRDefault="002415FE" w:rsidP="00A818DC">
      <w:pPr>
        <w:pStyle w:val="Heading3"/>
        <w:numPr>
          <w:ilvl w:val="0"/>
          <w:numId w:val="45"/>
        </w:numPr>
        <w:spacing w:before="0"/>
        <w:rPr>
          <w:rFonts w:asciiTheme="minorHAnsi" w:hAnsiTheme="minorHAnsi" w:cstheme="minorHAnsi"/>
          <w:b/>
          <w:i/>
        </w:rPr>
      </w:pPr>
      <w:r w:rsidRPr="00942C19">
        <w:rPr>
          <w:rFonts w:cstheme="minorHAnsi"/>
          <w:b/>
          <w:i/>
        </w:rPr>
        <w:t xml:space="preserve">The </w:t>
      </w:r>
      <w:r w:rsidR="009A3804" w:rsidRPr="00942C19">
        <w:rPr>
          <w:rFonts w:cstheme="minorHAnsi"/>
          <w:b/>
          <w:i/>
        </w:rPr>
        <w:t>Licensee</w:t>
      </w:r>
      <w:r w:rsidRPr="00942C19">
        <w:rPr>
          <w:rFonts w:cstheme="minorHAnsi"/>
          <w:b/>
          <w:i/>
        </w:rPr>
        <w:t>’s response</w:t>
      </w:r>
      <w:r w:rsidR="00D405B4" w:rsidRPr="00942C19">
        <w:rPr>
          <w:rFonts w:asciiTheme="minorHAnsi" w:hAnsiTheme="minorHAnsi" w:cstheme="minorHAnsi"/>
          <w:b/>
          <w:i/>
        </w:rPr>
        <w:t>:</w:t>
      </w:r>
    </w:p>
    <w:p w:rsidR="00D405B4" w:rsidRPr="00942C19" w:rsidRDefault="00D405B4" w:rsidP="00540A34">
      <w:pPr>
        <w:pStyle w:val="Heading3"/>
        <w:tabs>
          <w:tab w:val="clear" w:pos="720"/>
          <w:tab w:val="clear" w:pos="936"/>
          <w:tab w:val="num" w:pos="993"/>
        </w:tabs>
        <w:spacing w:before="240" w:after="240"/>
      </w:pPr>
      <w:r w:rsidRPr="00942C19">
        <w:t xml:space="preserve">The </w:t>
      </w:r>
      <w:r w:rsidR="009A3804" w:rsidRPr="00942C19">
        <w:t>Licensee</w:t>
      </w:r>
      <w:r w:rsidRPr="00942C19">
        <w:t xml:space="preserve"> has submitted that the proposed change by the consumers may be accepted</w:t>
      </w:r>
      <w:r w:rsidRPr="00942C19">
        <w:rPr>
          <w:rFonts w:asciiTheme="minorHAnsi" w:hAnsiTheme="minorHAnsi" w:cstheme="minorHAnsi"/>
        </w:rPr>
        <w:t>.</w:t>
      </w:r>
    </w:p>
    <w:p w:rsidR="00D405B4" w:rsidRPr="00942C19" w:rsidRDefault="00D405B4" w:rsidP="00D405B4">
      <w:pPr>
        <w:pStyle w:val="Heading3"/>
        <w:numPr>
          <w:ilvl w:val="0"/>
          <w:numId w:val="0"/>
        </w:numPr>
        <w:ind w:left="720"/>
        <w:rPr>
          <w:rFonts w:asciiTheme="minorHAnsi" w:hAnsiTheme="minorHAnsi" w:cstheme="minorHAnsi"/>
        </w:rPr>
      </w:pPr>
    </w:p>
    <w:p w:rsidR="00D405B4" w:rsidRPr="00942C19" w:rsidRDefault="00D405B4" w:rsidP="00A818DC">
      <w:pPr>
        <w:pStyle w:val="Heading3"/>
        <w:numPr>
          <w:ilvl w:val="0"/>
          <w:numId w:val="45"/>
        </w:numPr>
        <w:spacing w:before="0"/>
        <w:rPr>
          <w:rFonts w:asciiTheme="minorHAnsi" w:hAnsiTheme="minorHAnsi" w:cstheme="minorHAnsi"/>
          <w:b/>
          <w:i/>
        </w:rPr>
      </w:pPr>
      <w:r w:rsidRPr="00942C19">
        <w:rPr>
          <w:rFonts w:asciiTheme="minorHAnsi" w:hAnsiTheme="minorHAnsi" w:cstheme="minorHAnsi"/>
          <w:b/>
          <w:i/>
        </w:rPr>
        <w:t>The Commission’s views:</w:t>
      </w:r>
    </w:p>
    <w:p w:rsidR="00D405B4" w:rsidRPr="00942C19" w:rsidRDefault="00D405B4" w:rsidP="00540A34">
      <w:pPr>
        <w:pStyle w:val="Heading3"/>
        <w:tabs>
          <w:tab w:val="clear" w:pos="720"/>
          <w:tab w:val="clear" w:pos="936"/>
          <w:tab w:val="num" w:pos="993"/>
        </w:tabs>
        <w:spacing w:before="240" w:after="240"/>
      </w:pPr>
      <w:r w:rsidRPr="00942C19">
        <w:t xml:space="preserve">The Commission has </w:t>
      </w:r>
      <w:r w:rsidR="00850A30" w:rsidRPr="00942C19">
        <w:t>considered the views of the stakeholders while approving the tariff.</w:t>
      </w:r>
      <w:r w:rsidRPr="00942C19">
        <w:t xml:space="preserve"> </w:t>
      </w:r>
    </w:p>
    <w:p w:rsidR="00D405B4" w:rsidRPr="00942C19" w:rsidRDefault="00D405B4" w:rsidP="00D405B4">
      <w:pPr>
        <w:spacing w:before="0" w:line="240" w:lineRule="auto"/>
        <w:jc w:val="left"/>
      </w:pPr>
    </w:p>
    <w:p w:rsidR="00133DBE" w:rsidRPr="00942C19" w:rsidRDefault="00133DBE">
      <w:pPr>
        <w:spacing w:before="0" w:line="240" w:lineRule="auto"/>
        <w:jc w:val="left"/>
        <w:rPr>
          <w:rFonts w:cs="Arial"/>
          <w:b/>
          <w:bCs/>
          <w:color w:val="333399"/>
          <w:kern w:val="32"/>
          <w:szCs w:val="32"/>
        </w:rPr>
      </w:pPr>
      <w:bookmarkStart w:id="435" w:name="_Toc356322585"/>
      <w:r w:rsidRPr="00942C19">
        <w:br w:type="page"/>
      </w:r>
    </w:p>
    <w:p w:rsidR="00222C32" w:rsidRPr="00942C19" w:rsidRDefault="00222C32" w:rsidP="00222C32">
      <w:pPr>
        <w:pStyle w:val="Heading1"/>
        <w:numPr>
          <w:ilvl w:val="0"/>
          <w:numId w:val="1"/>
        </w:numPr>
      </w:pPr>
      <w:bookmarkStart w:id="436" w:name="_Toc357714391"/>
      <w:r w:rsidRPr="00942C19">
        <w:t>ANALYSIS OF ARR FOR FY 20</w:t>
      </w:r>
      <w:r w:rsidR="00CB3EF5" w:rsidRPr="00942C19">
        <w:t>1</w:t>
      </w:r>
      <w:r w:rsidRPr="00942C19">
        <w:t>3-14</w:t>
      </w:r>
      <w:bookmarkEnd w:id="435"/>
      <w:bookmarkEnd w:id="436"/>
    </w:p>
    <w:p w:rsidR="00A44CA7" w:rsidRPr="00942C19" w:rsidRDefault="005B5D8C">
      <w:pPr>
        <w:pStyle w:val="Heading3"/>
        <w:numPr>
          <w:ilvl w:val="0"/>
          <w:numId w:val="0"/>
        </w:numPr>
        <w:tabs>
          <w:tab w:val="clear" w:pos="720"/>
          <w:tab w:val="left" w:pos="864"/>
        </w:tabs>
        <w:spacing w:after="240"/>
        <w:ind w:left="851"/>
      </w:pPr>
      <w:r w:rsidRPr="00942C19">
        <w:t>In this section, the Commission has undertaken the process of approval of the Annual Revenue Requirements &amp; Tariff determination of the Licensee in line with the provisions of the Distribution Tariff Regulations.</w:t>
      </w:r>
    </w:p>
    <w:p w:rsidR="00A44CA7" w:rsidRPr="00942C19" w:rsidRDefault="00A44CA7">
      <w:pPr>
        <w:pStyle w:val="Heading3"/>
        <w:numPr>
          <w:ilvl w:val="0"/>
          <w:numId w:val="0"/>
        </w:numPr>
        <w:tabs>
          <w:tab w:val="clear" w:pos="720"/>
          <w:tab w:val="left" w:pos="864"/>
        </w:tabs>
        <w:spacing w:before="0"/>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437" w:name="_Toc356322586"/>
      <w:bookmarkStart w:id="438" w:name="_Toc357714392"/>
      <w:r w:rsidRPr="00942C19">
        <w:t>CONSUMPTION PARAMETERS:</w:t>
      </w:r>
      <w:bookmarkEnd w:id="437"/>
      <w:bookmarkEnd w:id="438"/>
    </w:p>
    <w:p w:rsidR="00222C32" w:rsidRPr="00942C19" w:rsidRDefault="00222C32" w:rsidP="00222C32">
      <w:pPr>
        <w:pStyle w:val="Heading3"/>
        <w:numPr>
          <w:ilvl w:val="0"/>
          <w:numId w:val="0"/>
        </w:numPr>
        <w:ind w:left="720"/>
      </w:pPr>
      <w:r w:rsidRPr="00942C19">
        <w:t>(CONSUMER NUMBERS, CONNECTED LOAD, SALES)</w:t>
      </w:r>
    </w:p>
    <w:p w:rsidR="00222C32" w:rsidRPr="00942C19" w:rsidRDefault="00222C32" w:rsidP="00222C32">
      <w:pPr>
        <w:pStyle w:val="Heading3"/>
        <w:numPr>
          <w:ilvl w:val="0"/>
          <w:numId w:val="0"/>
        </w:numPr>
        <w:tabs>
          <w:tab w:val="clear" w:pos="720"/>
          <w:tab w:val="left" w:pos="864"/>
        </w:tabs>
      </w:pPr>
    </w:p>
    <w:p w:rsidR="00222C32" w:rsidRPr="00942C19" w:rsidRDefault="00222C32" w:rsidP="00A818DC">
      <w:pPr>
        <w:pStyle w:val="Heading3"/>
        <w:numPr>
          <w:ilvl w:val="2"/>
          <w:numId w:val="49"/>
        </w:numPr>
        <w:spacing w:before="0"/>
      </w:pPr>
      <w:r w:rsidRPr="00942C19">
        <w:t>The following diagram illustrates the forecast methodology employed by the Commission.</w:t>
      </w:r>
    </w:p>
    <w:p w:rsidR="00222C32" w:rsidRPr="00942C19" w:rsidRDefault="00222C32" w:rsidP="00222C32">
      <w:pPr>
        <w:pStyle w:val="Caption"/>
        <w:keepNext/>
        <w:jc w:val="center"/>
      </w:pPr>
      <w:bookmarkStart w:id="439" w:name="_Toc337375394"/>
      <w:r w:rsidRPr="00942C19">
        <w:t xml:space="preserve">Figure </w:t>
      </w:r>
      <w:r w:rsidR="000C642E" w:rsidRPr="00942C19">
        <w:fldChar w:fldCharType="begin"/>
      </w:r>
      <w:r w:rsidRPr="00942C19">
        <w:instrText xml:space="preserve"> SEQ Figure \* ARABIC </w:instrText>
      </w:r>
      <w:r w:rsidR="000C642E" w:rsidRPr="00942C19">
        <w:fldChar w:fldCharType="separate"/>
      </w:r>
      <w:r w:rsidR="00984AA4" w:rsidRPr="00942C19">
        <w:rPr>
          <w:noProof/>
        </w:rPr>
        <w:t>1</w:t>
      </w:r>
      <w:r w:rsidR="000C642E" w:rsidRPr="00942C19">
        <w:fldChar w:fldCharType="end"/>
      </w:r>
      <w:r w:rsidRPr="00942C19">
        <w:t xml:space="preserve">: METHODOLOGY TO FORECAST CONSUMPTION FOR FY </w:t>
      </w:r>
      <w:bookmarkEnd w:id="439"/>
      <w:r w:rsidRPr="00942C19">
        <w:t>2013-14</w:t>
      </w:r>
    </w:p>
    <w:p w:rsidR="00222C32" w:rsidRPr="00942C19" w:rsidRDefault="00222C32" w:rsidP="00222C32">
      <w:pPr>
        <w:pStyle w:val="Heading3"/>
        <w:numPr>
          <w:ilvl w:val="0"/>
          <w:numId w:val="0"/>
        </w:numPr>
        <w:tabs>
          <w:tab w:val="clear" w:pos="720"/>
          <w:tab w:val="left" w:pos="864"/>
        </w:tabs>
        <w:jc w:val="center"/>
      </w:pPr>
      <w:r w:rsidRPr="00942C19">
        <w:rPr>
          <w:noProof/>
          <w:lang w:val="en-US"/>
        </w:rPr>
        <w:drawing>
          <wp:inline distT="0" distB="0" distL="0" distR="0">
            <wp:extent cx="5248275" cy="3448050"/>
            <wp:effectExtent l="19050" t="19050" r="28575"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8275" cy="3448050"/>
                    </a:xfrm>
                    <a:prstGeom prst="rect">
                      <a:avLst/>
                    </a:prstGeom>
                    <a:noFill/>
                    <a:ln w="9525" cmpd="sng">
                      <a:solidFill>
                        <a:srgbClr val="000000"/>
                      </a:solidFill>
                      <a:miter lim="800000"/>
                      <a:headEnd/>
                      <a:tailEnd/>
                    </a:ln>
                    <a:effectLst/>
                  </pic:spPr>
                </pic:pic>
              </a:graphicData>
            </a:graphic>
          </wp:inline>
        </w:drawing>
      </w:r>
    </w:p>
    <w:p w:rsidR="00222C32" w:rsidRPr="00942C19" w:rsidRDefault="00222C32" w:rsidP="00222C32">
      <w:pPr>
        <w:pStyle w:val="Heading3"/>
        <w:numPr>
          <w:ilvl w:val="0"/>
          <w:numId w:val="0"/>
        </w:numPr>
        <w:tabs>
          <w:tab w:val="clear" w:pos="720"/>
          <w:tab w:val="left" w:pos="864"/>
        </w:tabs>
      </w:pPr>
      <w:r w:rsidRPr="00942C19">
        <w:t xml:space="preserve">The following sections describe in detail the forecast methodology used by Commission. </w:t>
      </w:r>
    </w:p>
    <w:p w:rsidR="00222C32" w:rsidRPr="00942C19" w:rsidRDefault="00222C32" w:rsidP="00222C32">
      <w:pPr>
        <w:pStyle w:val="Heading3"/>
        <w:numPr>
          <w:ilvl w:val="0"/>
          <w:numId w:val="0"/>
        </w:numPr>
        <w:tabs>
          <w:tab w:val="clear" w:pos="720"/>
          <w:tab w:val="left" w:pos="864"/>
        </w:tabs>
        <w:ind w:left="720"/>
      </w:pPr>
    </w:p>
    <w:p w:rsidR="00222C32" w:rsidRPr="00942C19" w:rsidRDefault="00222C32" w:rsidP="00A818DC">
      <w:pPr>
        <w:pStyle w:val="Heading3"/>
        <w:numPr>
          <w:ilvl w:val="0"/>
          <w:numId w:val="51"/>
        </w:numPr>
        <w:tabs>
          <w:tab w:val="clear" w:pos="720"/>
          <w:tab w:val="left" w:pos="864"/>
        </w:tabs>
      </w:pPr>
      <w:r w:rsidRPr="00942C19">
        <w:t xml:space="preserve">As a </w:t>
      </w:r>
      <w:r w:rsidRPr="00942C19">
        <w:rPr>
          <w:b/>
          <w:u w:val="single"/>
        </w:rPr>
        <w:t>first step</w:t>
      </w:r>
      <w:r w:rsidRPr="00942C19">
        <w:t xml:space="preserve">, historical consumption parameters (for each of the 5 years between FY 2008-09 and FY 2012-13) were tabulated for each consumer sub-category. These parameters included number of consumers, connected load (kW), sales per consumer (kWh) and sales per kW of connected load (kWh/kW). The table below provides the source of data for each year: </w:t>
      </w:r>
    </w:p>
    <w:p w:rsidR="00222C32" w:rsidRPr="00942C19" w:rsidRDefault="00222C32" w:rsidP="00222C32">
      <w:pPr>
        <w:pStyle w:val="Caption"/>
        <w:keepNext/>
        <w:jc w:val="center"/>
      </w:pPr>
      <w:bookmarkStart w:id="440" w:name="_Toc338310667"/>
      <w:bookmarkStart w:id="441" w:name="_Toc338419497"/>
      <w:bookmarkStart w:id="442" w:name="_Toc357719695"/>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w:t>
      </w:r>
      <w:r w:rsidR="000C642E" w:rsidRPr="00942C19">
        <w:fldChar w:fldCharType="end"/>
      </w:r>
      <w:r w:rsidRPr="00942C19">
        <w:t>: SOURCE OF DATA FOR HISTORICAL PARAMETERS</w:t>
      </w:r>
      <w:bookmarkEnd w:id="440"/>
      <w:bookmarkEnd w:id="441"/>
      <w:bookmarkEnd w:id="442"/>
    </w:p>
    <w:tbl>
      <w:tblPr>
        <w:tblW w:w="4534" w:type="pct"/>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82"/>
        <w:gridCol w:w="1479"/>
        <w:gridCol w:w="5896"/>
      </w:tblGrid>
      <w:tr w:rsidR="00222C32" w:rsidRPr="00942C19" w:rsidTr="003F5C37">
        <w:trPr>
          <w:tblHeader/>
        </w:trPr>
        <w:tc>
          <w:tcPr>
            <w:tcW w:w="423"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942C19" w:rsidRDefault="00222C32" w:rsidP="003F5C37">
            <w:pPr>
              <w:pStyle w:val="Heading3"/>
              <w:numPr>
                <w:ilvl w:val="0"/>
                <w:numId w:val="0"/>
              </w:numPr>
              <w:tabs>
                <w:tab w:val="clear" w:pos="720"/>
                <w:tab w:val="left" w:pos="864"/>
              </w:tabs>
              <w:jc w:val="center"/>
              <w:rPr>
                <w:rFonts w:asciiTheme="minorHAnsi" w:hAnsiTheme="minorHAnsi" w:cstheme="minorHAnsi"/>
                <w:b/>
                <w:sz w:val="22"/>
                <w:szCs w:val="22"/>
              </w:rPr>
            </w:pPr>
            <w:r w:rsidRPr="00942C19">
              <w:rPr>
                <w:rFonts w:asciiTheme="minorHAnsi" w:hAnsiTheme="minorHAnsi" w:cstheme="minorHAnsi"/>
                <w:b/>
                <w:sz w:val="22"/>
                <w:szCs w:val="22"/>
              </w:rPr>
              <w:t>S.No</w:t>
            </w:r>
          </w:p>
        </w:tc>
        <w:tc>
          <w:tcPr>
            <w:tcW w:w="918"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942C19"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942C19">
              <w:rPr>
                <w:rFonts w:asciiTheme="minorHAnsi" w:hAnsiTheme="minorHAnsi" w:cstheme="minorHAnsi"/>
                <w:b/>
                <w:sz w:val="22"/>
                <w:szCs w:val="22"/>
              </w:rPr>
              <w:t>Year</w:t>
            </w:r>
          </w:p>
        </w:tc>
        <w:tc>
          <w:tcPr>
            <w:tcW w:w="365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942C19"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942C19">
              <w:rPr>
                <w:rFonts w:asciiTheme="minorHAnsi" w:hAnsiTheme="minorHAnsi" w:cstheme="minorHAnsi"/>
                <w:b/>
                <w:sz w:val="22"/>
                <w:szCs w:val="22"/>
              </w:rPr>
              <w:t>Source of data</w:t>
            </w:r>
          </w:p>
        </w:tc>
      </w:tr>
      <w:tr w:rsidR="00222C32" w:rsidRPr="00942C19"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942C19">
              <w:rPr>
                <w:rFonts w:asciiTheme="minorHAnsi" w:hAnsiTheme="minorHAnsi" w:cstheme="minorHAnsi"/>
                <w:sz w:val="22"/>
                <w:szCs w:val="22"/>
              </w:rPr>
              <w:t>1</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rFonts w:asciiTheme="minorHAnsi" w:hAnsiTheme="minorHAnsi" w:cstheme="minorHAnsi"/>
                <w:b/>
                <w:bCs/>
                <w:color w:val="333399"/>
                <w:kern w:val="32"/>
                <w:sz w:val="22"/>
                <w:szCs w:val="22"/>
              </w:rPr>
            </w:pPr>
            <w:r w:rsidRPr="00942C19">
              <w:rPr>
                <w:rFonts w:asciiTheme="minorHAnsi" w:hAnsiTheme="minorHAnsi" w:cstheme="minorHAnsi"/>
                <w:sz w:val="22"/>
                <w:szCs w:val="22"/>
              </w:rPr>
              <w:t>FY 2008-09</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942C19" w:rsidRDefault="00222C32">
            <w:pPr>
              <w:rPr>
                <w:rFonts w:asciiTheme="minorHAnsi" w:hAnsiTheme="minorHAnsi" w:cstheme="minorHAnsi"/>
                <w:b/>
                <w:bCs/>
                <w:color w:val="333399"/>
                <w:kern w:val="32"/>
                <w:sz w:val="22"/>
                <w:szCs w:val="22"/>
              </w:rPr>
            </w:pPr>
            <w:bookmarkStart w:id="443" w:name="_Toc357349050"/>
            <w:bookmarkStart w:id="444" w:name="_Toc357356103"/>
            <w:r w:rsidRPr="00942C19">
              <w:rPr>
                <w:rFonts w:asciiTheme="minorHAnsi" w:hAnsiTheme="minorHAnsi" w:cstheme="minorHAnsi"/>
                <w:sz w:val="22"/>
                <w:szCs w:val="22"/>
              </w:rPr>
              <w:t xml:space="preserve">Actuals submitted by </w:t>
            </w:r>
            <w:r w:rsidR="009A3804" w:rsidRPr="00942C19">
              <w:rPr>
                <w:rFonts w:asciiTheme="minorHAnsi" w:hAnsiTheme="minorHAnsi" w:cstheme="minorHAnsi"/>
                <w:sz w:val="22"/>
                <w:szCs w:val="22"/>
              </w:rPr>
              <w:t>Licensee</w:t>
            </w:r>
            <w:r w:rsidRPr="00942C19">
              <w:rPr>
                <w:rFonts w:asciiTheme="minorHAnsi" w:hAnsiTheme="minorHAnsi" w:cstheme="minorHAnsi"/>
                <w:sz w:val="22"/>
                <w:szCs w:val="22"/>
              </w:rPr>
              <w:t xml:space="preserve"> along with ARR / Tariff </w:t>
            </w:r>
            <w:r w:rsidR="001127F4" w:rsidRPr="00942C19">
              <w:rPr>
                <w:rFonts w:asciiTheme="minorHAnsi" w:hAnsiTheme="minorHAnsi" w:cstheme="minorHAnsi"/>
                <w:sz w:val="22"/>
                <w:szCs w:val="22"/>
              </w:rPr>
              <w:t>P</w:t>
            </w:r>
            <w:r w:rsidRPr="00942C19">
              <w:rPr>
                <w:rFonts w:asciiTheme="minorHAnsi" w:hAnsiTheme="minorHAnsi" w:cstheme="minorHAnsi"/>
                <w:sz w:val="22"/>
                <w:szCs w:val="22"/>
              </w:rPr>
              <w:t>etition for FY 2013-14</w:t>
            </w:r>
            <w:bookmarkEnd w:id="443"/>
            <w:bookmarkEnd w:id="444"/>
          </w:p>
        </w:tc>
      </w:tr>
      <w:tr w:rsidR="00222C32" w:rsidRPr="00942C19"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942C19">
              <w:rPr>
                <w:rFonts w:asciiTheme="minorHAnsi" w:hAnsiTheme="minorHAnsi" w:cstheme="minorHAnsi"/>
                <w:sz w:val="22"/>
                <w:szCs w:val="22"/>
              </w:rPr>
              <w:t>2</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rFonts w:asciiTheme="minorHAnsi" w:hAnsiTheme="minorHAnsi" w:cstheme="minorHAnsi"/>
                <w:b/>
                <w:bCs/>
                <w:color w:val="333399"/>
                <w:kern w:val="32"/>
                <w:sz w:val="22"/>
                <w:szCs w:val="22"/>
              </w:rPr>
            </w:pPr>
            <w:r w:rsidRPr="00942C19">
              <w:rPr>
                <w:rFonts w:asciiTheme="minorHAnsi" w:hAnsiTheme="minorHAnsi" w:cstheme="minorHAnsi"/>
                <w:sz w:val="22"/>
                <w:szCs w:val="22"/>
              </w:rPr>
              <w:t>FY 2009-10</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942C19" w:rsidRDefault="00222C32">
            <w:pPr>
              <w:rPr>
                <w:rFonts w:asciiTheme="minorHAnsi" w:hAnsiTheme="minorHAnsi" w:cstheme="minorHAnsi"/>
                <w:b/>
                <w:bCs/>
                <w:color w:val="333399"/>
                <w:kern w:val="32"/>
                <w:sz w:val="22"/>
                <w:szCs w:val="22"/>
              </w:rPr>
            </w:pPr>
            <w:bookmarkStart w:id="445" w:name="_Toc357349051"/>
            <w:bookmarkStart w:id="446" w:name="_Toc357356104"/>
            <w:r w:rsidRPr="00942C19">
              <w:rPr>
                <w:rFonts w:asciiTheme="minorHAnsi" w:hAnsiTheme="minorHAnsi" w:cstheme="minorHAnsi"/>
                <w:sz w:val="22"/>
                <w:szCs w:val="22"/>
              </w:rPr>
              <w:t xml:space="preserve">Actuals submitted by </w:t>
            </w:r>
            <w:r w:rsidR="009A3804" w:rsidRPr="00942C19">
              <w:rPr>
                <w:rFonts w:asciiTheme="minorHAnsi" w:hAnsiTheme="minorHAnsi" w:cstheme="minorHAnsi"/>
                <w:sz w:val="22"/>
                <w:szCs w:val="22"/>
              </w:rPr>
              <w:t>Licensee</w:t>
            </w:r>
            <w:r w:rsidRPr="00942C19">
              <w:rPr>
                <w:rFonts w:asciiTheme="minorHAnsi" w:hAnsiTheme="minorHAnsi" w:cstheme="minorHAnsi"/>
                <w:sz w:val="22"/>
                <w:szCs w:val="22"/>
              </w:rPr>
              <w:t xml:space="preserve"> along with ARR / Tariff </w:t>
            </w:r>
            <w:r w:rsidR="001127F4" w:rsidRPr="00942C19">
              <w:rPr>
                <w:rFonts w:asciiTheme="minorHAnsi" w:hAnsiTheme="minorHAnsi" w:cstheme="minorHAnsi"/>
                <w:sz w:val="22"/>
                <w:szCs w:val="22"/>
              </w:rPr>
              <w:t>p</w:t>
            </w:r>
            <w:r w:rsidRPr="00942C19">
              <w:rPr>
                <w:rFonts w:asciiTheme="minorHAnsi" w:hAnsiTheme="minorHAnsi" w:cstheme="minorHAnsi"/>
                <w:sz w:val="22"/>
                <w:szCs w:val="22"/>
              </w:rPr>
              <w:t>etition for FY 2013-14</w:t>
            </w:r>
            <w:bookmarkEnd w:id="445"/>
            <w:bookmarkEnd w:id="446"/>
          </w:p>
        </w:tc>
      </w:tr>
      <w:tr w:rsidR="00222C32" w:rsidRPr="00942C19"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942C19">
              <w:rPr>
                <w:rFonts w:asciiTheme="minorHAnsi" w:hAnsiTheme="minorHAnsi" w:cstheme="minorHAnsi"/>
                <w:sz w:val="22"/>
                <w:szCs w:val="22"/>
              </w:rPr>
              <w:t>3</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rFonts w:asciiTheme="minorHAnsi" w:hAnsiTheme="minorHAnsi" w:cstheme="minorHAnsi"/>
                <w:sz w:val="22"/>
                <w:szCs w:val="22"/>
              </w:rPr>
            </w:pPr>
            <w:r w:rsidRPr="00942C19">
              <w:rPr>
                <w:rFonts w:asciiTheme="minorHAnsi" w:hAnsiTheme="minorHAnsi" w:cstheme="minorHAnsi"/>
                <w:sz w:val="22"/>
                <w:szCs w:val="22"/>
              </w:rPr>
              <w:t>FY 2010-11</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942C19" w:rsidRDefault="00222C32">
            <w:pPr>
              <w:rPr>
                <w:rFonts w:asciiTheme="minorHAnsi" w:hAnsiTheme="minorHAnsi" w:cstheme="minorHAnsi"/>
                <w:b/>
                <w:bCs/>
                <w:color w:val="333399"/>
                <w:kern w:val="32"/>
                <w:sz w:val="22"/>
                <w:szCs w:val="22"/>
              </w:rPr>
            </w:pPr>
            <w:r w:rsidRPr="00942C19">
              <w:rPr>
                <w:rFonts w:asciiTheme="minorHAnsi" w:hAnsiTheme="minorHAnsi" w:cstheme="minorHAnsi"/>
                <w:sz w:val="22"/>
                <w:szCs w:val="22"/>
              </w:rPr>
              <w:t xml:space="preserve">Actuals submitted by </w:t>
            </w:r>
            <w:r w:rsidR="009A3804" w:rsidRPr="00942C19">
              <w:rPr>
                <w:rFonts w:asciiTheme="minorHAnsi" w:hAnsiTheme="minorHAnsi" w:cstheme="minorHAnsi"/>
                <w:sz w:val="22"/>
                <w:szCs w:val="22"/>
              </w:rPr>
              <w:t>Licensee</w:t>
            </w:r>
            <w:r w:rsidRPr="00942C19">
              <w:rPr>
                <w:rFonts w:asciiTheme="minorHAnsi" w:hAnsiTheme="minorHAnsi" w:cstheme="minorHAnsi"/>
                <w:sz w:val="22"/>
                <w:szCs w:val="22"/>
              </w:rPr>
              <w:t xml:space="preserve"> along with ARR / Tariff </w:t>
            </w:r>
            <w:r w:rsidR="001127F4" w:rsidRPr="00942C19">
              <w:rPr>
                <w:rFonts w:asciiTheme="minorHAnsi" w:hAnsiTheme="minorHAnsi" w:cstheme="minorHAnsi"/>
                <w:sz w:val="22"/>
                <w:szCs w:val="22"/>
              </w:rPr>
              <w:t>P</w:t>
            </w:r>
            <w:r w:rsidRPr="00942C19">
              <w:rPr>
                <w:rFonts w:asciiTheme="minorHAnsi" w:hAnsiTheme="minorHAnsi" w:cstheme="minorHAnsi"/>
                <w:sz w:val="22"/>
                <w:szCs w:val="22"/>
              </w:rPr>
              <w:t>etition for FY 2013-14</w:t>
            </w:r>
          </w:p>
        </w:tc>
      </w:tr>
      <w:tr w:rsidR="00222C32" w:rsidRPr="00942C19"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942C19">
              <w:rPr>
                <w:rFonts w:asciiTheme="minorHAnsi" w:hAnsiTheme="minorHAnsi" w:cstheme="minorHAnsi"/>
                <w:sz w:val="22"/>
                <w:szCs w:val="22"/>
              </w:rPr>
              <w:t>4</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rFonts w:asciiTheme="minorHAnsi" w:hAnsiTheme="minorHAnsi" w:cstheme="minorHAnsi"/>
                <w:sz w:val="22"/>
                <w:szCs w:val="22"/>
              </w:rPr>
            </w:pPr>
            <w:r w:rsidRPr="00942C19">
              <w:rPr>
                <w:rFonts w:asciiTheme="minorHAnsi" w:hAnsiTheme="minorHAnsi" w:cstheme="minorHAnsi"/>
                <w:sz w:val="22"/>
                <w:szCs w:val="22"/>
              </w:rPr>
              <w:t>FY 2011-12</w:t>
            </w:r>
          </w:p>
        </w:tc>
        <w:tc>
          <w:tcPr>
            <w:tcW w:w="3659" w:type="pct"/>
            <w:tcBorders>
              <w:top w:val="dotted" w:sz="4" w:space="0" w:color="auto"/>
              <w:left w:val="dotted" w:sz="4" w:space="0" w:color="auto"/>
              <w:bottom w:val="dotted" w:sz="4" w:space="0" w:color="auto"/>
              <w:right w:val="dotted" w:sz="4" w:space="0" w:color="auto"/>
            </w:tcBorders>
            <w:vAlign w:val="center"/>
            <w:hideMark/>
          </w:tcPr>
          <w:p w:rsidR="00D47B3B" w:rsidRPr="00942C19" w:rsidRDefault="00222C32">
            <w:pPr>
              <w:rPr>
                <w:rFonts w:asciiTheme="minorHAnsi" w:hAnsiTheme="minorHAnsi" w:cstheme="minorHAnsi"/>
                <w:sz w:val="22"/>
                <w:szCs w:val="22"/>
              </w:rPr>
            </w:pPr>
            <w:r w:rsidRPr="00942C19">
              <w:rPr>
                <w:rFonts w:asciiTheme="minorHAnsi" w:hAnsiTheme="minorHAnsi" w:cstheme="minorHAnsi"/>
                <w:sz w:val="22"/>
                <w:szCs w:val="22"/>
              </w:rPr>
              <w:t xml:space="preserve">Unaudited actuals submitted by </w:t>
            </w:r>
            <w:r w:rsidR="009A3804" w:rsidRPr="00942C19">
              <w:rPr>
                <w:rFonts w:asciiTheme="minorHAnsi" w:hAnsiTheme="minorHAnsi" w:cstheme="minorHAnsi"/>
                <w:sz w:val="22"/>
                <w:szCs w:val="22"/>
              </w:rPr>
              <w:t>Licensee</w:t>
            </w:r>
            <w:r w:rsidRPr="00942C19">
              <w:rPr>
                <w:rFonts w:asciiTheme="minorHAnsi" w:hAnsiTheme="minorHAnsi" w:cstheme="minorHAnsi"/>
                <w:sz w:val="22"/>
                <w:szCs w:val="22"/>
              </w:rPr>
              <w:t xml:space="preserve"> in ARR</w:t>
            </w:r>
            <w:r w:rsidR="001127F4" w:rsidRPr="00942C19">
              <w:rPr>
                <w:rFonts w:asciiTheme="minorHAnsi" w:hAnsiTheme="minorHAnsi" w:cstheme="minorHAnsi"/>
                <w:sz w:val="22"/>
                <w:szCs w:val="22"/>
              </w:rPr>
              <w:t xml:space="preserve"> / Tariff</w:t>
            </w:r>
            <w:r w:rsidRPr="00942C19">
              <w:rPr>
                <w:rFonts w:asciiTheme="minorHAnsi" w:hAnsiTheme="minorHAnsi" w:cstheme="minorHAnsi"/>
                <w:sz w:val="22"/>
                <w:szCs w:val="22"/>
              </w:rPr>
              <w:t xml:space="preserve"> </w:t>
            </w:r>
            <w:r w:rsidR="003A4EDC" w:rsidRPr="00942C19">
              <w:rPr>
                <w:rFonts w:asciiTheme="minorHAnsi" w:hAnsiTheme="minorHAnsi" w:cstheme="minorHAnsi"/>
                <w:sz w:val="22"/>
                <w:szCs w:val="22"/>
              </w:rPr>
              <w:t xml:space="preserve">Petition for </w:t>
            </w:r>
            <w:r w:rsidRPr="00942C19">
              <w:rPr>
                <w:rFonts w:asciiTheme="minorHAnsi" w:hAnsiTheme="minorHAnsi" w:cstheme="minorHAnsi"/>
                <w:sz w:val="22"/>
                <w:szCs w:val="22"/>
              </w:rPr>
              <w:t>FY 2013-14</w:t>
            </w:r>
            <w:r w:rsidR="003A4EDC" w:rsidRPr="00942C19">
              <w:rPr>
                <w:rFonts w:asciiTheme="minorHAnsi" w:hAnsiTheme="minorHAnsi" w:cstheme="minorHAnsi"/>
                <w:sz w:val="22"/>
                <w:szCs w:val="22"/>
              </w:rPr>
              <w:t>.</w:t>
            </w:r>
          </w:p>
        </w:tc>
      </w:tr>
      <w:tr w:rsidR="00222C32" w:rsidRPr="00942C19"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942C19">
              <w:rPr>
                <w:rFonts w:asciiTheme="minorHAnsi" w:hAnsiTheme="minorHAnsi" w:cstheme="minorHAnsi"/>
                <w:sz w:val="22"/>
                <w:szCs w:val="22"/>
              </w:rPr>
              <w:t>5</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rFonts w:asciiTheme="minorHAnsi" w:hAnsiTheme="minorHAnsi" w:cstheme="minorHAnsi"/>
                <w:sz w:val="22"/>
                <w:szCs w:val="22"/>
              </w:rPr>
            </w:pPr>
            <w:r w:rsidRPr="00942C19">
              <w:rPr>
                <w:rFonts w:asciiTheme="minorHAnsi" w:hAnsiTheme="minorHAnsi" w:cstheme="minorHAnsi"/>
                <w:sz w:val="22"/>
                <w:szCs w:val="22"/>
              </w:rPr>
              <w:t>FY 2012-13</w:t>
            </w:r>
          </w:p>
        </w:tc>
        <w:tc>
          <w:tcPr>
            <w:tcW w:w="3659"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710020">
            <w:pPr>
              <w:rPr>
                <w:rFonts w:asciiTheme="minorHAnsi" w:hAnsiTheme="minorHAnsi" w:cstheme="minorHAnsi"/>
                <w:sz w:val="22"/>
                <w:szCs w:val="22"/>
              </w:rPr>
            </w:pPr>
            <w:r w:rsidRPr="00942C19">
              <w:rPr>
                <w:rFonts w:asciiTheme="minorHAnsi" w:hAnsiTheme="minorHAnsi" w:cstheme="minorHAnsi"/>
                <w:sz w:val="22"/>
                <w:szCs w:val="22"/>
              </w:rPr>
              <w:t>Revised estimates</w:t>
            </w:r>
            <w:r w:rsidR="001127F4" w:rsidRPr="00942C19">
              <w:rPr>
                <w:rFonts w:asciiTheme="minorHAnsi" w:hAnsiTheme="minorHAnsi" w:cstheme="minorHAnsi"/>
                <w:sz w:val="22"/>
                <w:szCs w:val="22"/>
              </w:rPr>
              <w:t xml:space="preserve"> </w:t>
            </w:r>
            <w:r w:rsidRPr="00942C19">
              <w:rPr>
                <w:rFonts w:asciiTheme="minorHAnsi" w:hAnsiTheme="minorHAnsi" w:cstheme="minorHAnsi"/>
                <w:sz w:val="22"/>
                <w:szCs w:val="22"/>
              </w:rPr>
              <w:t xml:space="preserve">(based on 9 month’s actual sales) submitted by </w:t>
            </w:r>
            <w:r w:rsidR="003A4EDC" w:rsidRPr="00942C19">
              <w:rPr>
                <w:rFonts w:asciiTheme="minorHAnsi" w:hAnsiTheme="minorHAnsi" w:cstheme="minorHAnsi"/>
                <w:sz w:val="22"/>
                <w:szCs w:val="22"/>
              </w:rPr>
              <w:t xml:space="preserve">the </w:t>
            </w:r>
            <w:r w:rsidR="009A3804" w:rsidRPr="00942C19">
              <w:rPr>
                <w:rFonts w:asciiTheme="minorHAnsi" w:hAnsiTheme="minorHAnsi" w:cstheme="minorHAnsi"/>
                <w:sz w:val="22"/>
                <w:szCs w:val="22"/>
              </w:rPr>
              <w:t>Licensee</w:t>
            </w:r>
            <w:r w:rsidRPr="00942C19">
              <w:rPr>
                <w:rFonts w:asciiTheme="minorHAnsi" w:hAnsiTheme="minorHAnsi" w:cstheme="minorHAnsi"/>
                <w:sz w:val="22"/>
                <w:szCs w:val="22"/>
              </w:rPr>
              <w:t xml:space="preserve"> in the suo-motu proceedings on the </w:t>
            </w:r>
            <w:r w:rsidR="003A4EDC" w:rsidRPr="00942C19">
              <w:rPr>
                <w:rFonts w:asciiTheme="minorHAnsi" w:hAnsiTheme="minorHAnsi" w:cstheme="minorHAnsi"/>
                <w:sz w:val="22"/>
                <w:szCs w:val="22"/>
              </w:rPr>
              <w:t>directions</w:t>
            </w:r>
            <w:r w:rsidRPr="00942C19">
              <w:rPr>
                <w:rFonts w:asciiTheme="minorHAnsi" w:hAnsiTheme="minorHAnsi" w:cstheme="minorHAnsi"/>
                <w:sz w:val="22"/>
                <w:szCs w:val="22"/>
              </w:rPr>
              <w:t xml:space="preserve"> of the </w:t>
            </w:r>
            <w:r w:rsidR="003A4EDC" w:rsidRPr="00942C19">
              <w:rPr>
                <w:rFonts w:asciiTheme="minorHAnsi" w:hAnsiTheme="minorHAnsi" w:cstheme="minorHAnsi"/>
                <w:sz w:val="22"/>
                <w:szCs w:val="22"/>
              </w:rPr>
              <w:t>Commission</w:t>
            </w:r>
          </w:p>
        </w:tc>
      </w:tr>
    </w:tbl>
    <w:p w:rsidR="00222C32" w:rsidRPr="00942C19" w:rsidRDefault="00222C32" w:rsidP="00222C32">
      <w:pPr>
        <w:pStyle w:val="Heading3"/>
        <w:numPr>
          <w:ilvl w:val="0"/>
          <w:numId w:val="0"/>
        </w:numPr>
        <w:tabs>
          <w:tab w:val="clear" w:pos="720"/>
          <w:tab w:val="left" w:pos="864"/>
        </w:tabs>
      </w:pPr>
    </w:p>
    <w:p w:rsidR="00222C32" w:rsidRPr="00942C19" w:rsidRDefault="00222C32" w:rsidP="00A818DC">
      <w:pPr>
        <w:pStyle w:val="Heading3"/>
        <w:numPr>
          <w:ilvl w:val="0"/>
          <w:numId w:val="51"/>
        </w:numPr>
        <w:tabs>
          <w:tab w:val="clear" w:pos="720"/>
          <w:tab w:val="left" w:pos="864"/>
        </w:tabs>
      </w:pPr>
      <w:r w:rsidRPr="00942C19">
        <w:rPr>
          <w:b/>
          <w:u w:val="single"/>
        </w:rPr>
        <w:t>Secondly</w:t>
      </w:r>
      <w:r w:rsidRPr="00942C19">
        <w:t>, 5-year CAGR was computed for each of the parameter and for each consumer sub-category based on the above set of data.</w:t>
      </w:r>
    </w:p>
    <w:p w:rsidR="00222C32" w:rsidRPr="00942C19" w:rsidRDefault="00222C32" w:rsidP="00A818DC">
      <w:pPr>
        <w:pStyle w:val="Heading3"/>
        <w:numPr>
          <w:ilvl w:val="0"/>
          <w:numId w:val="51"/>
        </w:numPr>
        <w:tabs>
          <w:tab w:val="clear" w:pos="720"/>
          <w:tab w:val="left" w:pos="864"/>
        </w:tabs>
      </w:pPr>
      <w:r w:rsidRPr="00942C19">
        <w:t xml:space="preserve">As a </w:t>
      </w:r>
      <w:r w:rsidRPr="00942C19">
        <w:rPr>
          <w:b/>
          <w:u w:val="single"/>
        </w:rPr>
        <w:t>third step</w:t>
      </w:r>
      <w:r w:rsidRPr="00942C19">
        <w:t>, the value for FY 2013-14 was estimated for each of the above consumption parameters in the following manner:</w:t>
      </w:r>
    </w:p>
    <w:p w:rsidR="00222C32" w:rsidRPr="00942C19" w:rsidRDefault="00222C32" w:rsidP="00A818DC">
      <w:pPr>
        <w:pStyle w:val="Heading3"/>
        <w:numPr>
          <w:ilvl w:val="1"/>
          <w:numId w:val="51"/>
        </w:numPr>
        <w:tabs>
          <w:tab w:val="clear" w:pos="720"/>
          <w:tab w:val="left" w:pos="864"/>
        </w:tabs>
      </w:pPr>
      <w:r w:rsidRPr="00942C19">
        <w:t>A 5-year trend line was plotted and the trend observed.</w:t>
      </w:r>
    </w:p>
    <w:p w:rsidR="00222C32" w:rsidRPr="00942C19" w:rsidRDefault="00222C32" w:rsidP="00A818DC">
      <w:pPr>
        <w:pStyle w:val="Heading3"/>
        <w:numPr>
          <w:ilvl w:val="1"/>
          <w:numId w:val="51"/>
        </w:numPr>
        <w:tabs>
          <w:tab w:val="clear" w:pos="720"/>
          <w:tab w:val="left" w:pos="864"/>
        </w:tabs>
      </w:pPr>
      <w:r w:rsidRPr="00942C19">
        <w:t>If the trend appeared to be smooth, the 5-year CAGR was adopted.</w:t>
      </w:r>
    </w:p>
    <w:p w:rsidR="00222C32" w:rsidRPr="00942C19" w:rsidRDefault="00222C32" w:rsidP="00A818DC">
      <w:pPr>
        <w:pStyle w:val="Heading3"/>
        <w:numPr>
          <w:ilvl w:val="1"/>
          <w:numId w:val="51"/>
        </w:numPr>
        <w:tabs>
          <w:tab w:val="clear" w:pos="720"/>
          <w:tab w:val="left" w:pos="864"/>
        </w:tabs>
      </w:pPr>
      <w:r w:rsidRPr="00942C19">
        <w:t xml:space="preserve">If there was a sharp change in the trend in recent years, then the appropriate CAGR was adopted. For example, if the parameter increased in value for the first three years and then reduced or the rate of increase changed for the next two years, the 2-year CAGR was adopted. </w:t>
      </w:r>
    </w:p>
    <w:p w:rsidR="00222C32" w:rsidRPr="00942C19" w:rsidRDefault="00222C32" w:rsidP="00A818DC">
      <w:pPr>
        <w:pStyle w:val="Heading3"/>
        <w:numPr>
          <w:ilvl w:val="1"/>
          <w:numId w:val="51"/>
        </w:numPr>
        <w:tabs>
          <w:tab w:val="clear" w:pos="720"/>
          <w:tab w:val="left" w:pos="864"/>
        </w:tabs>
      </w:pPr>
      <w:r w:rsidRPr="00942C19">
        <w:t>The adopted CAGR was applied on the value of FY 2012-13 to derive the value for FY 2013-14.</w:t>
      </w:r>
    </w:p>
    <w:p w:rsidR="00222C32" w:rsidRPr="00942C19" w:rsidRDefault="00222C32" w:rsidP="00A818DC">
      <w:pPr>
        <w:pStyle w:val="Heading3"/>
        <w:numPr>
          <w:ilvl w:val="1"/>
          <w:numId w:val="51"/>
        </w:numPr>
        <w:tabs>
          <w:tab w:val="clear" w:pos="720"/>
          <w:tab w:val="left" w:pos="864"/>
        </w:tabs>
      </w:pPr>
      <w:r w:rsidRPr="00942C19">
        <w:t>In the case of unmetered categories, the above derived values were further adjusted in the following manner:</w:t>
      </w:r>
    </w:p>
    <w:p w:rsidR="00222C32" w:rsidRPr="00942C19" w:rsidRDefault="00222C32" w:rsidP="00A818DC">
      <w:pPr>
        <w:pStyle w:val="Heading3"/>
        <w:numPr>
          <w:ilvl w:val="2"/>
          <w:numId w:val="51"/>
        </w:numPr>
        <w:tabs>
          <w:tab w:val="clear" w:pos="720"/>
          <w:tab w:val="left" w:pos="864"/>
        </w:tabs>
      </w:pPr>
      <w:r w:rsidRPr="00942C19">
        <w:t>The sales for unmetered categories were estimated by multiplying the norms for unmetered consumption with the appropriate consumption parameter (connected load or number of consumers). The consumption norms have been established in UPPCL Order No. 2649-CUR/L, dated 20-07-2001 and described in the table below:</w:t>
      </w:r>
    </w:p>
    <w:p w:rsidR="00133DBE" w:rsidRPr="00942C19" w:rsidRDefault="00133DBE" w:rsidP="00133DBE">
      <w:pPr>
        <w:pStyle w:val="Caption"/>
        <w:keepNext/>
        <w:spacing w:before="0"/>
        <w:jc w:val="center"/>
      </w:pPr>
      <w:bookmarkStart w:id="447" w:name="_Toc338310668"/>
      <w:bookmarkStart w:id="448" w:name="_Toc338419498"/>
    </w:p>
    <w:p w:rsidR="00222C32" w:rsidRPr="00942C19" w:rsidRDefault="00222C32" w:rsidP="00222C32">
      <w:pPr>
        <w:pStyle w:val="Caption"/>
        <w:keepNext/>
        <w:jc w:val="center"/>
      </w:pPr>
      <w:bookmarkStart w:id="449" w:name="_Toc357719696"/>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w:t>
      </w:r>
      <w:r w:rsidR="000C642E" w:rsidRPr="00942C19">
        <w:fldChar w:fldCharType="end"/>
      </w:r>
      <w:r w:rsidRPr="00942C19">
        <w:t>: CONSUMPTION NORMS FOR UNMETERED CATEGORIES</w:t>
      </w:r>
      <w:bookmarkEnd w:id="447"/>
      <w:bookmarkEnd w:id="448"/>
      <w:bookmarkEnd w:id="449"/>
    </w:p>
    <w:tbl>
      <w:tblPr>
        <w:tblW w:w="43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10"/>
        <w:gridCol w:w="3291"/>
        <w:gridCol w:w="3695"/>
      </w:tblGrid>
      <w:tr w:rsidR="00222C32" w:rsidRPr="00942C19" w:rsidTr="005B5D8C">
        <w:trPr>
          <w:tblHeader/>
          <w:jc w:val="center"/>
        </w:trPr>
        <w:tc>
          <w:tcPr>
            <w:tcW w:w="51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942C19" w:rsidRDefault="00222C32" w:rsidP="003F5C37">
            <w:pPr>
              <w:pStyle w:val="Heading3"/>
              <w:numPr>
                <w:ilvl w:val="0"/>
                <w:numId w:val="0"/>
              </w:numPr>
              <w:tabs>
                <w:tab w:val="clear" w:pos="720"/>
                <w:tab w:val="left" w:pos="864"/>
              </w:tabs>
              <w:jc w:val="center"/>
              <w:rPr>
                <w:b/>
                <w:sz w:val="22"/>
              </w:rPr>
            </w:pPr>
            <w:r w:rsidRPr="00942C19">
              <w:rPr>
                <w:b/>
                <w:sz w:val="22"/>
              </w:rPr>
              <w:t>S.</w:t>
            </w:r>
            <w:r w:rsidR="009354AE" w:rsidRPr="00942C19">
              <w:rPr>
                <w:b/>
                <w:sz w:val="22"/>
              </w:rPr>
              <w:t xml:space="preserve"> </w:t>
            </w:r>
            <w:r w:rsidRPr="00942C19">
              <w:rPr>
                <w:b/>
                <w:sz w:val="22"/>
              </w:rPr>
              <w:t>No</w:t>
            </w:r>
          </w:p>
        </w:tc>
        <w:tc>
          <w:tcPr>
            <w:tcW w:w="2111"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942C19" w:rsidRDefault="00222C32" w:rsidP="003F5C37">
            <w:pPr>
              <w:pStyle w:val="Heading3"/>
              <w:numPr>
                <w:ilvl w:val="0"/>
                <w:numId w:val="0"/>
              </w:numPr>
              <w:tabs>
                <w:tab w:val="clear" w:pos="720"/>
                <w:tab w:val="left" w:pos="864"/>
              </w:tabs>
              <w:jc w:val="center"/>
              <w:rPr>
                <w:b/>
                <w:sz w:val="22"/>
              </w:rPr>
            </w:pPr>
            <w:r w:rsidRPr="00942C19">
              <w:rPr>
                <w:b/>
                <w:sz w:val="22"/>
              </w:rPr>
              <w:t>Category</w:t>
            </w:r>
          </w:p>
        </w:tc>
        <w:tc>
          <w:tcPr>
            <w:tcW w:w="2370"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942C19" w:rsidRDefault="00222C32" w:rsidP="003F5C37">
            <w:pPr>
              <w:pStyle w:val="Heading3"/>
              <w:numPr>
                <w:ilvl w:val="0"/>
                <w:numId w:val="0"/>
              </w:numPr>
              <w:tabs>
                <w:tab w:val="clear" w:pos="720"/>
                <w:tab w:val="left" w:pos="864"/>
              </w:tabs>
              <w:jc w:val="center"/>
              <w:rPr>
                <w:b/>
                <w:sz w:val="22"/>
              </w:rPr>
            </w:pPr>
            <w:r w:rsidRPr="00942C19">
              <w:rPr>
                <w:b/>
                <w:sz w:val="22"/>
              </w:rPr>
              <w:t>Consumption</w:t>
            </w:r>
          </w:p>
        </w:tc>
      </w:tr>
      <w:tr w:rsidR="00222C32" w:rsidRPr="00942C19"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sz w:val="22"/>
              </w:rPr>
            </w:pPr>
            <w:r w:rsidRPr="00942C19">
              <w:rPr>
                <w:sz w:val="22"/>
              </w:rPr>
              <w:t>1</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LMV1: Domestic Rural</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72 kWh / kW / month</w:t>
            </w:r>
          </w:p>
        </w:tc>
      </w:tr>
      <w:tr w:rsidR="00222C32" w:rsidRPr="00942C19"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sz w:val="22"/>
              </w:rPr>
            </w:pPr>
            <w:r w:rsidRPr="00942C19">
              <w:rPr>
                <w:sz w:val="22"/>
              </w:rPr>
              <w:t>2</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LMV2: Non Domestic Rural</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72 kWh / kW / month</w:t>
            </w:r>
          </w:p>
        </w:tc>
      </w:tr>
      <w:tr w:rsidR="00222C32" w:rsidRPr="00942C19"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sz w:val="22"/>
              </w:rPr>
            </w:pPr>
            <w:r w:rsidRPr="00942C19">
              <w:rPr>
                <w:sz w:val="22"/>
              </w:rPr>
              <w:t>3</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LMV3: Public Lamps</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300 kWh / kW / month</w:t>
            </w:r>
          </w:p>
        </w:tc>
      </w:tr>
      <w:tr w:rsidR="00222C32" w:rsidRPr="00942C19"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sz w:val="22"/>
              </w:rPr>
            </w:pPr>
            <w:r w:rsidRPr="00942C19">
              <w:rPr>
                <w:sz w:val="22"/>
              </w:rPr>
              <w:t>4</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 xml:space="preserve">LMV5: Private Tube Wells </w:t>
            </w:r>
            <w:r w:rsidR="005B5D8C" w:rsidRPr="00942C19">
              <w:rPr>
                <w:sz w:val="22"/>
              </w:rPr>
              <w:t>(</w:t>
            </w:r>
            <w:r w:rsidRPr="00942C19">
              <w:rPr>
                <w:sz w:val="22"/>
              </w:rPr>
              <w:t>Rural</w:t>
            </w:r>
            <w:r w:rsidR="005B5D8C" w:rsidRPr="00942C19">
              <w:rPr>
                <w:sz w:val="22"/>
              </w:rPr>
              <w:t>)</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91.66 kWh / kW / month</w:t>
            </w:r>
          </w:p>
        </w:tc>
      </w:tr>
      <w:tr w:rsidR="00222C32" w:rsidRPr="00942C19"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pStyle w:val="Heading3"/>
              <w:numPr>
                <w:ilvl w:val="0"/>
                <w:numId w:val="0"/>
              </w:numPr>
              <w:tabs>
                <w:tab w:val="clear" w:pos="720"/>
                <w:tab w:val="left" w:pos="864"/>
              </w:tabs>
              <w:jc w:val="center"/>
              <w:rPr>
                <w:sz w:val="22"/>
              </w:rPr>
            </w:pPr>
            <w:r w:rsidRPr="00942C19">
              <w:rPr>
                <w:sz w:val="22"/>
              </w:rPr>
              <w:t>5</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LMV8: State Tube Wells</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942C19" w:rsidRDefault="00222C32" w:rsidP="003F5C37">
            <w:pPr>
              <w:spacing w:before="60" w:after="60"/>
              <w:jc w:val="left"/>
              <w:rPr>
                <w:sz w:val="22"/>
              </w:rPr>
            </w:pPr>
            <w:r w:rsidRPr="00942C19">
              <w:rPr>
                <w:sz w:val="22"/>
              </w:rPr>
              <w:t>3562.35 kWh / connection / month</w:t>
            </w:r>
          </w:p>
        </w:tc>
      </w:tr>
    </w:tbl>
    <w:p w:rsidR="00133DBE" w:rsidRPr="00942C19" w:rsidRDefault="00133DBE" w:rsidP="00133DBE">
      <w:pPr>
        <w:pStyle w:val="Heading3"/>
        <w:numPr>
          <w:ilvl w:val="0"/>
          <w:numId w:val="0"/>
        </w:numPr>
        <w:spacing w:before="0"/>
        <w:ind w:left="720"/>
      </w:pPr>
    </w:p>
    <w:p w:rsidR="00777CFB" w:rsidRPr="00942C19" w:rsidRDefault="00222C32" w:rsidP="00A818DC">
      <w:pPr>
        <w:pStyle w:val="Heading3"/>
        <w:numPr>
          <w:ilvl w:val="2"/>
          <w:numId w:val="49"/>
        </w:numPr>
        <w:spacing w:before="0"/>
      </w:pPr>
      <w:r w:rsidRPr="00942C19">
        <w:t xml:space="preserve">Based on the above projection methodology, the Commission hereby approves the consumption </w:t>
      </w:r>
      <w:r w:rsidR="00785E17" w:rsidRPr="00942C19">
        <w:t>parameters for FY 2013-14 as shown in the tables below. The detailed sub-category wise consumption parameters (historical and approved) have been provided in Annexure 10.1</w:t>
      </w:r>
    </w:p>
    <w:p w:rsidR="00133DBE" w:rsidRPr="00942C19" w:rsidRDefault="00133DBE" w:rsidP="00133DBE">
      <w:pPr>
        <w:pStyle w:val="Heading3"/>
        <w:numPr>
          <w:ilvl w:val="0"/>
          <w:numId w:val="0"/>
        </w:numPr>
        <w:spacing w:before="0"/>
        <w:ind w:left="720"/>
      </w:pPr>
    </w:p>
    <w:p w:rsidR="00155FB3" w:rsidRPr="00942C19" w:rsidRDefault="00785E17" w:rsidP="00155FB3">
      <w:pPr>
        <w:pStyle w:val="Heading3"/>
        <w:numPr>
          <w:ilvl w:val="0"/>
          <w:numId w:val="0"/>
        </w:numPr>
        <w:tabs>
          <w:tab w:val="clear" w:pos="720"/>
          <w:tab w:val="left" w:pos="0"/>
        </w:tabs>
        <w:spacing w:before="0"/>
        <w:jc w:val="center"/>
        <w:rPr>
          <w:b/>
        </w:rPr>
      </w:pPr>
      <w:bookmarkStart w:id="450" w:name="_Toc357719697"/>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3</w:t>
      </w:r>
      <w:r w:rsidR="000C642E" w:rsidRPr="00942C19">
        <w:rPr>
          <w:b/>
        </w:rPr>
        <w:fldChar w:fldCharType="end"/>
      </w:r>
      <w:r w:rsidRPr="00942C19">
        <w:rPr>
          <w:b/>
        </w:rPr>
        <w:t>: CONSUMPTION PARAMETERS APPROVED BY COMMISSION FOR FY 2013-14</w:t>
      </w:r>
      <w:bookmarkEnd w:id="450"/>
    </w:p>
    <w:tbl>
      <w:tblPr>
        <w:tblW w:w="78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80"/>
        <w:gridCol w:w="1477"/>
        <w:gridCol w:w="1456"/>
        <w:gridCol w:w="1477"/>
      </w:tblGrid>
      <w:tr w:rsidR="00133DBE" w:rsidRPr="00942C19" w:rsidTr="00133DBE">
        <w:trPr>
          <w:trHeight w:val="300"/>
          <w:tblHeader/>
          <w:jc w:val="center"/>
        </w:trPr>
        <w:tc>
          <w:tcPr>
            <w:tcW w:w="3480" w:type="dxa"/>
            <w:vMerge w:val="restart"/>
            <w:shd w:val="clear" w:color="000000" w:fill="DCE6F1"/>
            <w:noWrap/>
            <w:vAlign w:val="center"/>
            <w:hideMark/>
          </w:tcPr>
          <w:p w:rsidR="00133DBE" w:rsidRPr="00942C19" w:rsidRDefault="00133DBE"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Consumer categories</w:t>
            </w:r>
          </w:p>
        </w:tc>
        <w:tc>
          <w:tcPr>
            <w:tcW w:w="1477" w:type="dxa"/>
            <w:shd w:val="clear" w:color="000000" w:fill="DCE6F1"/>
            <w:vAlign w:val="center"/>
            <w:hideMark/>
          </w:tcPr>
          <w:p w:rsidR="00133DBE" w:rsidRPr="00942C19" w:rsidRDefault="00133DBE" w:rsidP="00133DBE">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No. of consumers</w:t>
            </w:r>
          </w:p>
        </w:tc>
        <w:tc>
          <w:tcPr>
            <w:tcW w:w="1456" w:type="dxa"/>
            <w:shd w:val="clear" w:color="000000" w:fill="DCE6F1"/>
            <w:vAlign w:val="center"/>
            <w:hideMark/>
          </w:tcPr>
          <w:p w:rsidR="00133DBE" w:rsidRPr="00942C19" w:rsidRDefault="00133DBE" w:rsidP="00133DBE">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Connected load (kW)</w:t>
            </w:r>
          </w:p>
        </w:tc>
        <w:tc>
          <w:tcPr>
            <w:tcW w:w="1477" w:type="dxa"/>
            <w:shd w:val="clear" w:color="000000" w:fill="DCE6F1"/>
            <w:vAlign w:val="center"/>
            <w:hideMark/>
          </w:tcPr>
          <w:p w:rsidR="00133DBE" w:rsidRPr="00942C19" w:rsidRDefault="00133DBE" w:rsidP="00133DBE">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Energy sales (MU)</w:t>
            </w:r>
          </w:p>
        </w:tc>
      </w:tr>
      <w:tr w:rsidR="00133DBE" w:rsidRPr="00942C19" w:rsidTr="00133DBE">
        <w:trPr>
          <w:trHeight w:val="600"/>
          <w:tblHeader/>
          <w:jc w:val="center"/>
        </w:trPr>
        <w:tc>
          <w:tcPr>
            <w:tcW w:w="3480" w:type="dxa"/>
            <w:vMerge/>
            <w:vAlign w:val="center"/>
            <w:hideMark/>
          </w:tcPr>
          <w:p w:rsidR="00133DBE" w:rsidRPr="00942C19" w:rsidRDefault="00133DBE" w:rsidP="00133DBE">
            <w:pPr>
              <w:spacing w:before="0" w:line="240" w:lineRule="auto"/>
              <w:jc w:val="left"/>
              <w:rPr>
                <w:rFonts w:cs="Calibri"/>
                <w:b/>
                <w:bCs/>
                <w:color w:val="000000"/>
                <w:sz w:val="22"/>
                <w:szCs w:val="22"/>
                <w:lang w:val="en-IN" w:eastAsia="en-IN"/>
              </w:rPr>
            </w:pPr>
          </w:p>
        </w:tc>
        <w:tc>
          <w:tcPr>
            <w:tcW w:w="1477" w:type="dxa"/>
            <w:shd w:val="clear" w:color="000000" w:fill="DCE6F1"/>
            <w:vAlign w:val="center"/>
            <w:hideMark/>
          </w:tcPr>
          <w:p w:rsidR="00133DBE" w:rsidRPr="00942C19" w:rsidRDefault="00133DBE" w:rsidP="00133DBE">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(Approved by Commission)</w:t>
            </w:r>
          </w:p>
        </w:tc>
        <w:tc>
          <w:tcPr>
            <w:tcW w:w="1456" w:type="dxa"/>
            <w:shd w:val="clear" w:color="000000" w:fill="DCE6F1"/>
            <w:vAlign w:val="center"/>
            <w:hideMark/>
          </w:tcPr>
          <w:p w:rsidR="00133DBE" w:rsidRPr="00942C19" w:rsidRDefault="00133DBE" w:rsidP="00133DBE">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(Approved by Commission)</w:t>
            </w:r>
          </w:p>
        </w:tc>
        <w:tc>
          <w:tcPr>
            <w:tcW w:w="1477" w:type="dxa"/>
            <w:shd w:val="clear" w:color="000000" w:fill="DCE6F1"/>
            <w:vAlign w:val="center"/>
            <w:hideMark/>
          </w:tcPr>
          <w:p w:rsidR="00133DBE" w:rsidRPr="00942C19" w:rsidRDefault="00133DBE" w:rsidP="00133DBE">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(Approved by Commission)</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 Domestic</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28,62,755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40,60,982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4,402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LMV-2:Non-Domestic</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3,02,700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7,58,572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1,006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LMV-3: Public Lamps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6,384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1,01,605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478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LMV-4: Institutions</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19,368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2,35,779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482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LMV-5: Private Tube Wells</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1,41,098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5,97,114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761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 6: Small and Medium Power</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41,098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4,08,957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656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LMV-7: Public Water Works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1,928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95,197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508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LMV-8: State Tube Wells</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10,299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1,56,994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480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LMV-9: Temporary Supply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1,971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8,587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21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LMV-10: Departmental Employees</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25,539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1,08,152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166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HV-1: Non-Industrial Bulk Loads</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582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2,27,559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533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HV-2: Large and Heavy Power</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1,410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5,08,210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1,713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HV-3: Railway Traction</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2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13,701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33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HV-4: Lift Irrigation</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18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26,184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147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w:t>
            </w:r>
          </w:p>
        </w:tc>
        <w:tc>
          <w:tcPr>
            <w:tcW w:w="1477" w:type="dxa"/>
            <w:shd w:val="clear" w:color="auto" w:fill="auto"/>
            <w:noWrap/>
            <w:vAlign w:val="center"/>
            <w:hideMark/>
          </w:tcPr>
          <w:p w:rsidR="00B736BC" w:rsidRPr="00942C19" w:rsidRDefault="00112A2A">
            <w:pPr>
              <w:spacing w:before="0" w:line="240" w:lineRule="auto"/>
              <w:jc w:val="right"/>
              <w:rPr>
                <w:rFonts w:cs="Calibri"/>
                <w:b/>
                <w:bCs/>
                <w:color w:val="000000"/>
                <w:sz w:val="22"/>
                <w:szCs w:val="22"/>
                <w:lang w:val="en-IN" w:eastAsia="en-IN"/>
              </w:rPr>
            </w:pPr>
            <w:r w:rsidRPr="00942C19">
              <w:rPr>
                <w:b/>
                <w:bCs/>
                <w:color w:val="000000"/>
                <w:sz w:val="22"/>
                <w:szCs w:val="22"/>
              </w:rPr>
              <w:t xml:space="preserve">34,15,152 </w:t>
            </w:r>
          </w:p>
        </w:tc>
        <w:tc>
          <w:tcPr>
            <w:tcW w:w="1456" w:type="dxa"/>
            <w:shd w:val="clear" w:color="auto" w:fill="auto"/>
            <w:noWrap/>
            <w:vAlign w:val="center"/>
            <w:hideMark/>
          </w:tcPr>
          <w:p w:rsidR="00B736BC" w:rsidRPr="00942C19" w:rsidRDefault="00112A2A">
            <w:pPr>
              <w:spacing w:before="0" w:line="240" w:lineRule="auto"/>
              <w:jc w:val="right"/>
              <w:rPr>
                <w:rFonts w:cs="Calibri"/>
                <w:b/>
                <w:bCs/>
                <w:color w:val="000000"/>
                <w:sz w:val="22"/>
                <w:szCs w:val="22"/>
                <w:lang w:val="en-IN" w:eastAsia="en-IN"/>
              </w:rPr>
            </w:pPr>
            <w:r w:rsidRPr="00942C19">
              <w:rPr>
                <w:b/>
                <w:bCs/>
                <w:color w:val="000000"/>
                <w:sz w:val="22"/>
                <w:szCs w:val="22"/>
              </w:rPr>
              <w:t xml:space="preserve">73,07,594 </w:t>
            </w:r>
          </w:p>
        </w:tc>
        <w:tc>
          <w:tcPr>
            <w:tcW w:w="1477" w:type="dxa"/>
            <w:shd w:val="clear" w:color="auto" w:fill="auto"/>
            <w:noWrap/>
            <w:vAlign w:val="center"/>
            <w:hideMark/>
          </w:tcPr>
          <w:p w:rsidR="00B736BC" w:rsidRPr="00942C19" w:rsidRDefault="00112A2A">
            <w:pPr>
              <w:spacing w:before="0" w:line="240" w:lineRule="auto"/>
              <w:jc w:val="right"/>
              <w:rPr>
                <w:rFonts w:cs="Calibri"/>
                <w:b/>
                <w:bCs/>
                <w:color w:val="000000"/>
                <w:sz w:val="22"/>
                <w:szCs w:val="22"/>
                <w:lang w:val="en-IN" w:eastAsia="en-IN"/>
              </w:rPr>
            </w:pPr>
            <w:r w:rsidRPr="00942C19">
              <w:rPr>
                <w:b/>
                <w:bCs/>
                <w:color w:val="000000"/>
                <w:sz w:val="22"/>
                <w:szCs w:val="22"/>
              </w:rPr>
              <w:t xml:space="preserve">11,385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Extra state &amp; Bulk</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1 </w:t>
            </w:r>
          </w:p>
        </w:tc>
        <w:tc>
          <w:tcPr>
            <w:tcW w:w="1456"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5,000 </w:t>
            </w:r>
          </w:p>
        </w:tc>
        <w:tc>
          <w:tcPr>
            <w:tcW w:w="1477" w:type="dxa"/>
            <w:shd w:val="clear" w:color="auto" w:fill="auto"/>
            <w:noWrap/>
            <w:vAlign w:val="center"/>
            <w:hideMark/>
          </w:tcPr>
          <w:p w:rsidR="00B736BC" w:rsidRPr="00942C19" w:rsidRDefault="00112A2A">
            <w:pPr>
              <w:spacing w:before="0" w:line="240" w:lineRule="auto"/>
              <w:jc w:val="right"/>
              <w:rPr>
                <w:rFonts w:cs="Calibri"/>
                <w:color w:val="000000"/>
                <w:sz w:val="22"/>
                <w:szCs w:val="22"/>
                <w:lang w:val="en-IN" w:eastAsia="en-IN"/>
              </w:rPr>
            </w:pPr>
            <w:r w:rsidRPr="00942C19">
              <w:rPr>
                <w:color w:val="000000"/>
                <w:sz w:val="22"/>
                <w:szCs w:val="22"/>
              </w:rPr>
              <w:t xml:space="preserve">59 </w:t>
            </w:r>
          </w:p>
        </w:tc>
      </w:tr>
      <w:tr w:rsidR="00112A2A" w:rsidRPr="00942C19" w:rsidTr="00112A2A">
        <w:trPr>
          <w:trHeight w:val="300"/>
          <w:jc w:val="center"/>
        </w:trPr>
        <w:tc>
          <w:tcPr>
            <w:tcW w:w="3480" w:type="dxa"/>
            <w:shd w:val="clear" w:color="auto" w:fill="auto"/>
            <w:noWrap/>
            <w:hideMark/>
          </w:tcPr>
          <w:p w:rsidR="00112A2A" w:rsidRPr="00942C19" w:rsidRDefault="00112A2A"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Total</w:t>
            </w:r>
          </w:p>
        </w:tc>
        <w:tc>
          <w:tcPr>
            <w:tcW w:w="1477" w:type="dxa"/>
            <w:shd w:val="clear" w:color="auto" w:fill="auto"/>
            <w:noWrap/>
            <w:vAlign w:val="center"/>
            <w:hideMark/>
          </w:tcPr>
          <w:p w:rsidR="00B736BC" w:rsidRPr="00942C19" w:rsidRDefault="00112A2A">
            <w:pPr>
              <w:spacing w:before="0" w:line="240" w:lineRule="auto"/>
              <w:jc w:val="right"/>
              <w:rPr>
                <w:rFonts w:cs="Calibri"/>
                <w:b/>
                <w:bCs/>
                <w:color w:val="000000"/>
                <w:sz w:val="22"/>
                <w:szCs w:val="22"/>
                <w:lang w:val="en-IN" w:eastAsia="en-IN"/>
              </w:rPr>
            </w:pPr>
            <w:r w:rsidRPr="00942C19">
              <w:rPr>
                <w:b/>
                <w:bCs/>
                <w:color w:val="000000"/>
                <w:sz w:val="22"/>
                <w:szCs w:val="22"/>
              </w:rPr>
              <w:t xml:space="preserve">34,15,153 </w:t>
            </w:r>
          </w:p>
        </w:tc>
        <w:tc>
          <w:tcPr>
            <w:tcW w:w="1456" w:type="dxa"/>
            <w:shd w:val="clear" w:color="auto" w:fill="auto"/>
            <w:noWrap/>
            <w:vAlign w:val="center"/>
            <w:hideMark/>
          </w:tcPr>
          <w:p w:rsidR="00B736BC" w:rsidRPr="00942C19" w:rsidRDefault="00112A2A">
            <w:pPr>
              <w:spacing w:before="0" w:line="240" w:lineRule="auto"/>
              <w:jc w:val="right"/>
              <w:rPr>
                <w:rFonts w:cs="Calibri"/>
                <w:b/>
                <w:bCs/>
                <w:color w:val="000000"/>
                <w:sz w:val="22"/>
                <w:szCs w:val="22"/>
                <w:lang w:val="en-IN" w:eastAsia="en-IN"/>
              </w:rPr>
            </w:pPr>
            <w:r w:rsidRPr="00942C19">
              <w:rPr>
                <w:b/>
                <w:bCs/>
                <w:color w:val="000000"/>
                <w:sz w:val="22"/>
                <w:szCs w:val="22"/>
              </w:rPr>
              <w:t xml:space="preserve">73,12,594 </w:t>
            </w:r>
          </w:p>
        </w:tc>
        <w:tc>
          <w:tcPr>
            <w:tcW w:w="1477" w:type="dxa"/>
            <w:shd w:val="clear" w:color="auto" w:fill="auto"/>
            <w:noWrap/>
            <w:vAlign w:val="center"/>
            <w:hideMark/>
          </w:tcPr>
          <w:p w:rsidR="00B736BC" w:rsidRPr="00942C19" w:rsidRDefault="00112A2A">
            <w:pPr>
              <w:spacing w:before="0" w:line="240" w:lineRule="auto"/>
              <w:jc w:val="right"/>
              <w:rPr>
                <w:rFonts w:cs="Calibri"/>
                <w:b/>
                <w:bCs/>
                <w:color w:val="000000"/>
                <w:sz w:val="22"/>
                <w:szCs w:val="22"/>
                <w:lang w:val="en-IN" w:eastAsia="en-IN"/>
              </w:rPr>
            </w:pPr>
            <w:r w:rsidRPr="00942C19">
              <w:rPr>
                <w:b/>
                <w:bCs/>
                <w:color w:val="000000"/>
                <w:sz w:val="22"/>
                <w:szCs w:val="22"/>
              </w:rPr>
              <w:t xml:space="preserve">11,444 </w:t>
            </w:r>
          </w:p>
        </w:tc>
      </w:tr>
    </w:tbl>
    <w:p w:rsidR="00133DBE" w:rsidRPr="00942C19" w:rsidRDefault="00133DBE" w:rsidP="00222C32">
      <w:pPr>
        <w:spacing w:line="240" w:lineRule="auto"/>
        <w:jc w:val="center"/>
        <w:rPr>
          <w:b/>
          <w:bCs/>
          <w:szCs w:val="20"/>
        </w:rPr>
        <w:sectPr w:rsidR="00133DBE" w:rsidRPr="00942C19" w:rsidSect="003F5C37">
          <w:headerReference w:type="default" r:id="rId13"/>
          <w:footerReference w:type="default" r:id="rId14"/>
          <w:pgSz w:w="11909" w:h="16834"/>
          <w:pgMar w:top="1440" w:right="1440" w:bottom="1440" w:left="1800" w:header="720" w:footer="720" w:gutter="0"/>
          <w:pgNumType w:chapSep="colon"/>
          <w:cols w:space="720"/>
        </w:sectPr>
      </w:pPr>
    </w:p>
    <w:p w:rsidR="00222C32" w:rsidRPr="00942C19" w:rsidRDefault="00785E17" w:rsidP="00222C32">
      <w:pPr>
        <w:pStyle w:val="Heading3"/>
        <w:numPr>
          <w:ilvl w:val="0"/>
          <w:numId w:val="0"/>
        </w:numPr>
        <w:tabs>
          <w:tab w:val="clear" w:pos="720"/>
          <w:tab w:val="left" w:pos="864"/>
        </w:tabs>
        <w:jc w:val="center"/>
      </w:pPr>
      <w:bookmarkStart w:id="451" w:name="_Toc357719698"/>
      <w:r w:rsidRPr="00942C19">
        <w:rPr>
          <w:b/>
        </w:rPr>
        <w:t>T</w:t>
      </w:r>
      <w:bookmarkStart w:id="452" w:name="_Toc338310670"/>
      <w:bookmarkStart w:id="453" w:name="_Toc338419500"/>
      <w:r w:rsidRPr="00942C19">
        <w:rPr>
          <w:b/>
        </w:rPr>
        <w:t xml:space="preserve">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4</w:t>
      </w:r>
      <w:r w:rsidR="000C642E" w:rsidRPr="00942C19">
        <w:rPr>
          <w:b/>
        </w:rPr>
        <w:fldChar w:fldCharType="end"/>
      </w:r>
      <w:r w:rsidRPr="00942C19">
        <w:rPr>
          <w:b/>
        </w:rPr>
        <w:t xml:space="preserve">: NUMBER OF CONSUMERS: HISTORICAL TREND AND APPROVED VALUES FOR FY </w:t>
      </w:r>
      <w:bookmarkEnd w:id="452"/>
      <w:bookmarkEnd w:id="453"/>
      <w:r w:rsidRPr="00942C19">
        <w:rPr>
          <w:b/>
        </w:rPr>
        <w:t>2013-14</w:t>
      </w:r>
      <w:bookmarkEnd w:id="451"/>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73"/>
        <w:gridCol w:w="1350"/>
        <w:gridCol w:w="1350"/>
        <w:gridCol w:w="1350"/>
        <w:gridCol w:w="1350"/>
        <w:gridCol w:w="1350"/>
        <w:gridCol w:w="1349"/>
        <w:gridCol w:w="1349"/>
        <w:gridCol w:w="1349"/>
      </w:tblGrid>
      <w:tr w:rsidR="00D72448" w:rsidRPr="00942C19" w:rsidTr="007B4E42">
        <w:trPr>
          <w:trHeight w:val="900"/>
        </w:trPr>
        <w:tc>
          <w:tcPr>
            <w:tcW w:w="1189" w:type="pct"/>
            <w:shd w:val="clear" w:color="000000" w:fill="DCE6F1"/>
            <w:noWrap/>
            <w:vAlign w:val="center"/>
            <w:hideMark/>
          </w:tcPr>
          <w:p w:rsidR="00133DBE" w:rsidRPr="00942C19" w:rsidRDefault="00133DBE"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Consumer categories</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FY 08-09</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FY 09-10</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FY 10-11</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FY 11-12</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FY 12-13</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5-yr CAGR</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Approved for FY 13-14</w:t>
            </w:r>
          </w:p>
        </w:tc>
        <w:tc>
          <w:tcPr>
            <w:tcW w:w="476" w:type="pct"/>
            <w:shd w:val="clear" w:color="000000" w:fill="DCE6F1"/>
            <w:vAlign w:val="center"/>
            <w:hideMark/>
          </w:tcPr>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 xml:space="preserve">Growth: FY 14 over </w:t>
            </w:r>
          </w:p>
          <w:p w:rsidR="00155FB3" w:rsidRPr="00942C19" w:rsidRDefault="00133DBE" w:rsidP="00155FB3">
            <w:pPr>
              <w:spacing w:before="0" w:line="240" w:lineRule="auto"/>
              <w:jc w:val="center"/>
              <w:rPr>
                <w:rFonts w:cs="Calibri"/>
                <w:b/>
                <w:bCs/>
                <w:color w:val="000000"/>
                <w:kern w:val="32"/>
                <w:sz w:val="22"/>
                <w:szCs w:val="22"/>
                <w:lang w:val="en-IN" w:eastAsia="en-IN"/>
              </w:rPr>
            </w:pPr>
            <w:r w:rsidRPr="00942C19">
              <w:rPr>
                <w:rFonts w:cs="Calibri"/>
                <w:b/>
                <w:bCs/>
                <w:color w:val="000000"/>
                <w:sz w:val="22"/>
                <w:szCs w:val="22"/>
                <w:lang w:val="en-IN" w:eastAsia="en-IN"/>
              </w:rPr>
              <w:t>FY 13</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 Domestic</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2064952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2168999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2394226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2542039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2708563</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2862755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LMV-2:Non-Domestic</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232940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239380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250979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268788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289284</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302700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LMV-3: Public Lamps </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5162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5234</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5766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6002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6197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6384</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3%</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LMV-4: Institutions</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8227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9761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12272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15857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17524</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19368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11%</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LMV-5: Private Tube Wells</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123801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133228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139076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133626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136934</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141098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3%</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 6: Small and Medium Power</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29875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26638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26335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34096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37246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41098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10%</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LMV-7: Public Water Works </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1401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1449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1578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1669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1784</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1928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8%</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LMV-8: State Tube Wells</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9175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8943</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9010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9197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9730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10299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LMV-9: Temporary Supply </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1249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1152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2360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1712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1883</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1971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LMV-10: Departmental Employees</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19334</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19457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21237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21609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23469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25539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HV-1: Non-Industrial Bulk Loads</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217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485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482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530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582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10%</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HV-2: Large and Heavy Power</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889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817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935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1126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1260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1410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12%</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HV-3: Railway Traction</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19%</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HV-4: Lift Irrigation</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2497023</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2615290</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2864277</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3036222</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3234426</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3415152</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Extra state &amp; Bulk</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7B4E42" w:rsidRPr="00942C19" w:rsidTr="007B4E42">
        <w:trPr>
          <w:trHeight w:val="300"/>
        </w:trPr>
        <w:tc>
          <w:tcPr>
            <w:tcW w:w="1189" w:type="pct"/>
            <w:shd w:val="clear" w:color="auto" w:fill="auto"/>
            <w:noWrap/>
            <w:hideMark/>
          </w:tcPr>
          <w:p w:rsidR="007B4E42" w:rsidRPr="00942C19" w:rsidRDefault="007B4E42"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Total</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2497024</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2615291</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2864278</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3036223</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3234427</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76" w:type="pct"/>
            <w:shd w:val="clear" w:color="auto" w:fill="auto"/>
            <w:noWrap/>
            <w:vAlign w:val="center"/>
            <w:hideMark/>
          </w:tcPr>
          <w:p w:rsidR="0084795B" w:rsidRPr="00942C19" w:rsidRDefault="007B4E42">
            <w:pPr>
              <w:spacing w:before="0" w:line="240" w:lineRule="auto"/>
              <w:jc w:val="center"/>
              <w:rPr>
                <w:rFonts w:cs="Calibri"/>
                <w:b/>
                <w:bCs/>
                <w:color w:val="000000"/>
                <w:sz w:val="22"/>
                <w:szCs w:val="22"/>
                <w:lang w:val="en-IN" w:eastAsia="en-IN"/>
              </w:rPr>
            </w:pPr>
            <w:r w:rsidRPr="00942C19">
              <w:rPr>
                <w:rFonts w:cs="Calibri"/>
                <w:b/>
                <w:bCs/>
                <w:color w:val="000000"/>
                <w:sz w:val="22"/>
                <w:szCs w:val="22"/>
              </w:rPr>
              <w:t>3415153</w:t>
            </w:r>
          </w:p>
        </w:tc>
        <w:tc>
          <w:tcPr>
            <w:tcW w:w="476" w:type="pct"/>
            <w:shd w:val="clear" w:color="auto" w:fill="auto"/>
            <w:noWrap/>
            <w:vAlign w:val="center"/>
            <w:hideMark/>
          </w:tcPr>
          <w:p w:rsidR="0084795B" w:rsidRPr="00942C19" w:rsidRDefault="007B4E42">
            <w:pPr>
              <w:spacing w:before="0" w:line="240" w:lineRule="auto"/>
              <w:jc w:val="center"/>
              <w:rPr>
                <w:rFonts w:cs="Calibri"/>
                <w:color w:val="000000"/>
                <w:sz w:val="22"/>
                <w:szCs w:val="22"/>
                <w:lang w:val="en-IN" w:eastAsia="en-IN"/>
              </w:rPr>
            </w:pPr>
            <w:r w:rsidRPr="00942C19">
              <w:rPr>
                <w:rFonts w:cs="Calibri"/>
                <w:color w:val="000000"/>
                <w:sz w:val="22"/>
                <w:szCs w:val="22"/>
              </w:rPr>
              <w:t>6%</w:t>
            </w:r>
          </w:p>
        </w:tc>
      </w:tr>
    </w:tbl>
    <w:p w:rsidR="00222C32" w:rsidRPr="00942C19" w:rsidRDefault="00222C32" w:rsidP="00222C32">
      <w:pPr>
        <w:pStyle w:val="Heading3"/>
        <w:numPr>
          <w:ilvl w:val="0"/>
          <w:numId w:val="0"/>
        </w:numPr>
        <w:tabs>
          <w:tab w:val="clear" w:pos="720"/>
          <w:tab w:val="left" w:pos="864"/>
        </w:tabs>
        <w:jc w:val="center"/>
      </w:pPr>
    </w:p>
    <w:p w:rsidR="00222C32" w:rsidRPr="00942C19" w:rsidRDefault="00785E17" w:rsidP="00222C32">
      <w:pPr>
        <w:pStyle w:val="Caption"/>
        <w:keepNext/>
        <w:jc w:val="center"/>
      </w:pPr>
      <w:bookmarkStart w:id="454" w:name="_Toc338310671"/>
      <w:bookmarkStart w:id="455" w:name="_Toc338419501"/>
      <w:bookmarkStart w:id="456" w:name="_Toc357719699"/>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5</w:t>
      </w:r>
      <w:r w:rsidR="000C642E" w:rsidRPr="00942C19">
        <w:fldChar w:fldCharType="end"/>
      </w:r>
      <w:r w:rsidRPr="00942C19">
        <w:t xml:space="preserve">: CONNECTED LOAD (KW): HISTORICAL TREND AND APPROVED VALUES FOR FY </w:t>
      </w:r>
      <w:bookmarkEnd w:id="454"/>
      <w:bookmarkEnd w:id="455"/>
      <w:r w:rsidRPr="00942C19">
        <w:t>2013-14</w:t>
      </w:r>
      <w:bookmarkEnd w:id="456"/>
    </w:p>
    <w:tbl>
      <w:tblPr>
        <w:tblW w:w="50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72"/>
        <w:gridCol w:w="1125"/>
        <w:gridCol w:w="1584"/>
        <w:gridCol w:w="1584"/>
        <w:gridCol w:w="1584"/>
        <w:gridCol w:w="1584"/>
        <w:gridCol w:w="883"/>
        <w:gridCol w:w="1583"/>
        <w:gridCol w:w="1069"/>
      </w:tblGrid>
      <w:tr w:rsidR="00D72448" w:rsidRPr="00942C19" w:rsidTr="007B4E42">
        <w:trPr>
          <w:trHeight w:val="900"/>
        </w:trPr>
        <w:tc>
          <w:tcPr>
            <w:tcW w:w="1172" w:type="pct"/>
            <w:shd w:val="clear" w:color="000000" w:fill="DCE6F1"/>
            <w:noWrap/>
            <w:vAlign w:val="center"/>
            <w:hideMark/>
          </w:tcPr>
          <w:p w:rsidR="00133DBE" w:rsidRPr="00942C19" w:rsidRDefault="00133DBE"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Consumer categories</w:t>
            </w:r>
          </w:p>
        </w:tc>
        <w:tc>
          <w:tcPr>
            <w:tcW w:w="391"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08-09</w:t>
            </w:r>
          </w:p>
        </w:tc>
        <w:tc>
          <w:tcPr>
            <w:tcW w:w="551"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09-10</w:t>
            </w:r>
          </w:p>
        </w:tc>
        <w:tc>
          <w:tcPr>
            <w:tcW w:w="551"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10-11</w:t>
            </w:r>
          </w:p>
        </w:tc>
        <w:tc>
          <w:tcPr>
            <w:tcW w:w="551"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11-12</w:t>
            </w:r>
          </w:p>
        </w:tc>
        <w:tc>
          <w:tcPr>
            <w:tcW w:w="551"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12-13</w:t>
            </w:r>
          </w:p>
        </w:tc>
        <w:tc>
          <w:tcPr>
            <w:tcW w:w="307"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5-yr CAGR</w:t>
            </w:r>
          </w:p>
        </w:tc>
        <w:tc>
          <w:tcPr>
            <w:tcW w:w="551"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Approved for FY 13-14</w:t>
            </w:r>
          </w:p>
        </w:tc>
        <w:tc>
          <w:tcPr>
            <w:tcW w:w="372" w:type="pct"/>
            <w:shd w:val="clear" w:color="000000" w:fill="DCE6F1"/>
            <w:vAlign w:val="center"/>
            <w:hideMark/>
          </w:tcPr>
          <w:p w:rsidR="007B4E42"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Growth: FY 14 over </w:t>
            </w:r>
          </w:p>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13</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 Domestic</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2789308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2868706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3318659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3514741</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3771342</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4060982</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LMV-2:Non-Domestic</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500388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530701</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608932</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649547</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701945</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758572</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LMV-3: Public Lamps </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54032</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63614</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70265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85747</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93099</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101605</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9%</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LMV-4: Institutions</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128935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126223</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112596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113682</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162530</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235779</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45%</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LMV-5: Private Tube Wells</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496269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522775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565605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558003</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572039</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597114</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 6: Small and Medium Power</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254506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254445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264886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292315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372833</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408957</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10%</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LMV-7: Public Water Works </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45284</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46229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60933</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77321</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84888</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17%</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95197</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12%</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LMV-8: State Tube Wells</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118023</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136863</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130726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140635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152630</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156994</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LMV-9: Temporary Supply </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4577</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4384</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8327</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5399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8178</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8587</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LMV-10: Departmental Employees</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49669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73683</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66642</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75214</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100062</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108152</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HV-1: Non-Industrial Bulk Loads</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90565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183084</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188664</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207179</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227559</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10%</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HV-2: Large and Heavy Power</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349419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312228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345510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424246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474450</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508210</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7%</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HV-3: Railway Traction</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12600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12681</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325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12925</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13049</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13701</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HV-4: Lift Irrigation</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25609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22651</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33400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22800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24794</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-1%</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26184</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w:t>
            </w:r>
          </w:p>
        </w:tc>
        <w:tc>
          <w:tcPr>
            <w:tcW w:w="39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4828619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5065748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5769890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6161239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6739020</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7307594</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Extra state &amp; Bulk</w:t>
            </w:r>
          </w:p>
        </w:tc>
        <w:tc>
          <w:tcPr>
            <w:tcW w:w="39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500000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5000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5000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5000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5000</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5000</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0%</w:t>
            </w:r>
          </w:p>
        </w:tc>
      </w:tr>
      <w:tr w:rsidR="007B4E42" w:rsidRPr="00942C19" w:rsidTr="007B4E42">
        <w:trPr>
          <w:trHeight w:val="300"/>
        </w:trPr>
        <w:tc>
          <w:tcPr>
            <w:tcW w:w="1172" w:type="pct"/>
            <w:shd w:val="clear" w:color="auto" w:fill="auto"/>
            <w:noWrap/>
            <w:hideMark/>
          </w:tcPr>
          <w:p w:rsidR="007B4E42" w:rsidRPr="00942C19" w:rsidRDefault="007B4E42"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Total</w:t>
            </w:r>
          </w:p>
        </w:tc>
        <w:tc>
          <w:tcPr>
            <w:tcW w:w="39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5328619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5070748</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5774890</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6166239</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6744020</w:t>
            </w:r>
          </w:p>
        </w:tc>
        <w:tc>
          <w:tcPr>
            <w:tcW w:w="307"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6%</w:t>
            </w:r>
          </w:p>
        </w:tc>
        <w:tc>
          <w:tcPr>
            <w:tcW w:w="551" w:type="pct"/>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rPr>
              <w:t>7312594</w:t>
            </w:r>
          </w:p>
        </w:tc>
        <w:tc>
          <w:tcPr>
            <w:tcW w:w="372" w:type="pct"/>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rPr>
              <w:t>8%</w:t>
            </w:r>
          </w:p>
        </w:tc>
      </w:tr>
    </w:tbl>
    <w:p w:rsidR="00222C32" w:rsidRPr="00942C19" w:rsidRDefault="00785E17" w:rsidP="00222C32">
      <w:pPr>
        <w:pStyle w:val="Caption"/>
        <w:keepNext/>
        <w:jc w:val="center"/>
      </w:pPr>
      <w:bookmarkStart w:id="457" w:name="_Toc338310672"/>
      <w:bookmarkStart w:id="458" w:name="_Toc338419502"/>
      <w:bookmarkStart w:id="459" w:name="_Toc357719700"/>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6</w:t>
      </w:r>
      <w:r w:rsidR="000C642E" w:rsidRPr="00942C19">
        <w:fldChar w:fldCharType="end"/>
      </w:r>
      <w:r w:rsidRPr="00942C19">
        <w:t xml:space="preserve">: ENERGY SALES (MU): HISTORICAL TREND AND APPROVED VALUES FOR FY </w:t>
      </w:r>
      <w:bookmarkEnd w:id="457"/>
      <w:bookmarkEnd w:id="458"/>
      <w:r w:rsidRPr="00942C19">
        <w:t>2013-14</w:t>
      </w:r>
      <w:bookmarkEnd w:id="459"/>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976"/>
        <w:gridCol w:w="1281"/>
        <w:gridCol w:w="1281"/>
        <w:gridCol w:w="1281"/>
        <w:gridCol w:w="1281"/>
        <w:gridCol w:w="1281"/>
        <w:gridCol w:w="1097"/>
        <w:gridCol w:w="1349"/>
        <w:gridCol w:w="1343"/>
      </w:tblGrid>
      <w:tr w:rsidR="00133DBE" w:rsidRPr="00942C19" w:rsidTr="007B4E42">
        <w:trPr>
          <w:trHeight w:val="900"/>
        </w:trPr>
        <w:tc>
          <w:tcPr>
            <w:tcW w:w="1403" w:type="pct"/>
            <w:shd w:val="clear" w:color="000000" w:fill="DCE6F1"/>
            <w:noWrap/>
            <w:vAlign w:val="center"/>
            <w:hideMark/>
          </w:tcPr>
          <w:p w:rsidR="00133DBE" w:rsidRPr="00942C19" w:rsidRDefault="00133DBE"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Consumer categories</w:t>
            </w:r>
          </w:p>
        </w:tc>
        <w:tc>
          <w:tcPr>
            <w:tcW w:w="452"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08-09</w:t>
            </w:r>
          </w:p>
        </w:tc>
        <w:tc>
          <w:tcPr>
            <w:tcW w:w="452"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09-10</w:t>
            </w:r>
          </w:p>
        </w:tc>
        <w:tc>
          <w:tcPr>
            <w:tcW w:w="452"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10-11</w:t>
            </w:r>
          </w:p>
        </w:tc>
        <w:tc>
          <w:tcPr>
            <w:tcW w:w="452"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11-12</w:t>
            </w:r>
          </w:p>
        </w:tc>
        <w:tc>
          <w:tcPr>
            <w:tcW w:w="452"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12-13</w:t>
            </w:r>
          </w:p>
        </w:tc>
        <w:tc>
          <w:tcPr>
            <w:tcW w:w="387"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5-yr CAGR</w:t>
            </w:r>
          </w:p>
        </w:tc>
        <w:tc>
          <w:tcPr>
            <w:tcW w:w="476"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Approved for FY 13-14</w:t>
            </w:r>
          </w:p>
        </w:tc>
        <w:tc>
          <w:tcPr>
            <w:tcW w:w="474" w:type="pct"/>
            <w:shd w:val="clear" w:color="000000" w:fill="DCE6F1"/>
            <w:vAlign w:val="center"/>
            <w:hideMark/>
          </w:tcPr>
          <w:p w:rsidR="00133DBE" w:rsidRPr="00942C19" w:rsidRDefault="00133DBE"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Growth: FY 14 over FY 13</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 Domestic</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3169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3390</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3209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3794</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4023</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4402</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9%</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LMV-2:Non-Domestic</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605</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702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731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822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909</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1006</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11%</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LMV-3: Public Lamps </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226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238</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252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308</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399</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478</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20%</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LMV-4: Institutions</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375</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332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283</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316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415</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482</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16%</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LMV-5: Private Tube Wells</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519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606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619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604</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720</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761</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 6: Small and Medium Power</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371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296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328</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457</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578</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656</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LMV-7: Public Water Works </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194</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222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209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306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413</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508</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23%</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LMV-8: State Tube Wells</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441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495</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552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784</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861</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480</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-44%</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LMV-9: Temporary Supply </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19</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12%</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LMV-10: Departmental Employees</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109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103</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117</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122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144</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166</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15%</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HV-1: Non-Industrial Bulk Loads</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203</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364</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395</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472</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533</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13%</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HV-2: Large and Heavy Power</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878</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821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1020</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1128</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1468</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1713</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17%</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HV-3: Railway Traction</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30</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31</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33</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HV-4: Lift Irrigation</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68</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93</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110</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130</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147</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6986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7514</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7821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9189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10583</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11385</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8%</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Extra state &amp; Bulk</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29</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33</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43</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51</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59</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17%</w:t>
            </w:r>
          </w:p>
        </w:tc>
      </w:tr>
      <w:tr w:rsidR="007B4E42" w:rsidRPr="00942C19" w:rsidTr="007B4E42">
        <w:trPr>
          <w:trHeight w:val="300"/>
        </w:trPr>
        <w:tc>
          <w:tcPr>
            <w:tcW w:w="1403" w:type="pct"/>
            <w:shd w:val="clear" w:color="auto" w:fill="auto"/>
            <w:noWrap/>
            <w:hideMark/>
          </w:tcPr>
          <w:p w:rsidR="007B4E42" w:rsidRPr="00942C19" w:rsidRDefault="007B4E42" w:rsidP="00133DBE">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Total</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7016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7546</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7871</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9232</w:t>
            </w:r>
          </w:p>
        </w:tc>
        <w:tc>
          <w:tcPr>
            <w:tcW w:w="452"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10634</w:t>
            </w:r>
          </w:p>
        </w:tc>
        <w:tc>
          <w:tcPr>
            <w:tcW w:w="387"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476" w:type="pct"/>
            <w:shd w:val="clear" w:color="auto" w:fill="auto"/>
            <w:noWrap/>
            <w:vAlign w:val="center"/>
            <w:hideMark/>
          </w:tcPr>
          <w:p w:rsidR="007B4E42" w:rsidRPr="00942C19" w:rsidRDefault="007B4E42" w:rsidP="00133DBE">
            <w:pPr>
              <w:spacing w:before="0" w:line="240" w:lineRule="auto"/>
              <w:jc w:val="center"/>
              <w:rPr>
                <w:rFonts w:cs="Calibri"/>
                <w:b/>
                <w:bCs/>
                <w:color w:val="000000"/>
                <w:sz w:val="22"/>
                <w:szCs w:val="22"/>
                <w:lang w:val="en-IN" w:eastAsia="en-IN"/>
              </w:rPr>
            </w:pPr>
            <w:r w:rsidRPr="00942C19">
              <w:rPr>
                <w:rFonts w:cs="Calibri"/>
                <w:b/>
                <w:bCs/>
                <w:color w:val="000000"/>
                <w:sz w:val="22"/>
                <w:szCs w:val="22"/>
              </w:rPr>
              <w:t>11444</w:t>
            </w:r>
          </w:p>
        </w:tc>
        <w:tc>
          <w:tcPr>
            <w:tcW w:w="474" w:type="pct"/>
            <w:shd w:val="clear" w:color="auto" w:fill="auto"/>
            <w:noWrap/>
            <w:vAlign w:val="center"/>
            <w:hideMark/>
          </w:tcPr>
          <w:p w:rsidR="007B4E42" w:rsidRPr="00942C19" w:rsidRDefault="007B4E42" w:rsidP="00133DBE">
            <w:pPr>
              <w:spacing w:before="0" w:line="240" w:lineRule="auto"/>
              <w:jc w:val="center"/>
              <w:rPr>
                <w:rFonts w:cs="Calibri"/>
                <w:color w:val="000000"/>
                <w:sz w:val="22"/>
                <w:szCs w:val="22"/>
                <w:lang w:val="en-IN" w:eastAsia="en-IN"/>
              </w:rPr>
            </w:pPr>
            <w:r w:rsidRPr="00942C19">
              <w:rPr>
                <w:rFonts w:cs="Calibri"/>
                <w:color w:val="000000"/>
                <w:sz w:val="22"/>
                <w:szCs w:val="22"/>
              </w:rPr>
              <w:t>8%</w:t>
            </w:r>
          </w:p>
        </w:tc>
      </w:tr>
    </w:tbl>
    <w:p w:rsidR="00222C32" w:rsidRPr="00942C19" w:rsidRDefault="00222C32" w:rsidP="00222C32">
      <w:pPr>
        <w:spacing w:line="240" w:lineRule="auto"/>
        <w:jc w:val="center"/>
      </w:pPr>
    </w:p>
    <w:p w:rsidR="00222C32" w:rsidRPr="00942C19" w:rsidRDefault="00222C32" w:rsidP="00222C32">
      <w:pPr>
        <w:spacing w:line="240" w:lineRule="auto"/>
        <w:jc w:val="left"/>
        <w:sectPr w:rsidR="00222C32" w:rsidRPr="00942C19" w:rsidSect="003F5C37">
          <w:headerReference w:type="default" r:id="rId15"/>
          <w:footerReference w:type="default" r:id="rId16"/>
          <w:pgSz w:w="16834" w:h="11909" w:orient="landscape"/>
          <w:pgMar w:top="165" w:right="1440" w:bottom="1440" w:left="1440" w:header="624" w:footer="624" w:gutter="0"/>
          <w:pgNumType w:chapSep="colon"/>
          <w:cols w:space="720"/>
          <w:docGrid w:linePitch="326"/>
        </w:sectPr>
      </w:pPr>
    </w:p>
    <w:p w:rsidR="00222C32" w:rsidRPr="00942C19" w:rsidRDefault="00222C32" w:rsidP="00A818DC">
      <w:pPr>
        <w:pStyle w:val="Heading2"/>
        <w:keepNext/>
        <w:numPr>
          <w:ilvl w:val="1"/>
          <w:numId w:val="49"/>
        </w:numPr>
        <w:autoSpaceDE/>
        <w:autoSpaceDN/>
        <w:adjustRightInd/>
        <w:spacing w:before="0" w:line="276" w:lineRule="auto"/>
        <w:contextualSpacing w:val="0"/>
      </w:pPr>
      <w:bookmarkStart w:id="460" w:name="_Toc356322587"/>
      <w:bookmarkStart w:id="461" w:name="_Toc357714393"/>
      <w:r w:rsidRPr="00942C19">
        <w:t>DISTRIBUTION LOSSES AND ENERGY BALANCE</w:t>
      </w:r>
      <w:bookmarkEnd w:id="460"/>
      <w:bookmarkEnd w:id="461"/>
    </w:p>
    <w:p w:rsidR="00222C32" w:rsidRPr="00942C19" w:rsidRDefault="00222C32" w:rsidP="00222C32"/>
    <w:p w:rsidR="00D05C4B" w:rsidRPr="00942C19" w:rsidRDefault="00222C32" w:rsidP="00A818DC">
      <w:pPr>
        <w:pStyle w:val="Heading3"/>
        <w:numPr>
          <w:ilvl w:val="2"/>
          <w:numId w:val="49"/>
        </w:numPr>
      </w:pPr>
      <w:bookmarkStart w:id="462" w:name="_Toc357349053"/>
      <w:bookmarkStart w:id="463" w:name="_Toc357356106"/>
      <w:r w:rsidRPr="00942C19">
        <w:t>The Commission feels there is ample room for reduction in distribution losses</w:t>
      </w:r>
      <w:r w:rsidR="00220216" w:rsidRPr="00942C19">
        <w:t xml:space="preserve">; </w:t>
      </w:r>
      <w:r w:rsidRPr="00942C19">
        <w:t>however</w:t>
      </w:r>
      <w:r w:rsidR="00220216" w:rsidRPr="00942C19">
        <w:t>,</w:t>
      </w:r>
      <w:r w:rsidRPr="00942C19">
        <w:t xml:space="preserve"> the </w:t>
      </w:r>
      <w:r w:rsidR="009A3804" w:rsidRPr="00942C19">
        <w:t>Licensee</w:t>
      </w:r>
      <w:r w:rsidRPr="00942C19">
        <w:t xml:space="preserve"> has failed to act upon the same. There is an urgent need to have an appreciable loss reduction trajectory and aggressive follow-up efforts to achieve it.</w:t>
      </w:r>
      <w:bookmarkEnd w:id="462"/>
      <w:bookmarkEnd w:id="463"/>
      <w:r w:rsidRPr="00942C19">
        <w:t xml:space="preserve"> </w:t>
      </w:r>
    </w:p>
    <w:p w:rsidR="00025FB6" w:rsidRPr="00942C19" w:rsidRDefault="00025FB6" w:rsidP="00025FB6">
      <w:pPr>
        <w:pStyle w:val="Heading3"/>
        <w:numPr>
          <w:ilvl w:val="0"/>
          <w:numId w:val="0"/>
        </w:numPr>
        <w:spacing w:before="0"/>
        <w:ind w:left="720"/>
      </w:pPr>
      <w:bookmarkStart w:id="464" w:name="_Toc357349054"/>
      <w:bookmarkStart w:id="465" w:name="_Toc357356107"/>
    </w:p>
    <w:p w:rsidR="00222C32" w:rsidRPr="00942C19" w:rsidRDefault="00222C32" w:rsidP="00A818DC">
      <w:pPr>
        <w:pStyle w:val="Heading3"/>
        <w:numPr>
          <w:ilvl w:val="2"/>
          <w:numId w:val="49"/>
        </w:numPr>
      </w:pPr>
      <w:r w:rsidRPr="00942C19">
        <w:t xml:space="preserve">The Commission in its last Tariff Order had directed the </w:t>
      </w:r>
      <w:r w:rsidR="009A3804" w:rsidRPr="00942C19">
        <w:t>Licensee</w:t>
      </w:r>
      <w:r w:rsidRPr="00942C19">
        <w:t xml:space="preserve"> to carry out the energy audit / estimation study with voltage wise break up of distribution losses into technical loss and commercial loss within 6 months from the date of the issue of the said Tariff Order. Further the </w:t>
      </w:r>
      <w:r w:rsidR="009A3804" w:rsidRPr="00942C19">
        <w:t>Licensee</w:t>
      </w:r>
      <w:r w:rsidRPr="00942C19">
        <w:t xml:space="preserve"> was also directed to keep the Commission abreast regarding the study to be undertaken, scope of work, methodology being adopted, whether the study is being undertaken departmentally or assistance of experts in the field is being availed etc.</w:t>
      </w:r>
      <w:bookmarkEnd w:id="464"/>
      <w:bookmarkEnd w:id="465"/>
      <w:r w:rsidRPr="00942C19">
        <w:t xml:space="preserve"> </w:t>
      </w:r>
    </w:p>
    <w:p w:rsidR="00222C32" w:rsidRPr="00942C19" w:rsidRDefault="00222C32" w:rsidP="00025FB6">
      <w:pPr>
        <w:spacing w:before="0"/>
      </w:pPr>
    </w:p>
    <w:p w:rsidR="00222C32" w:rsidRPr="00942C19" w:rsidRDefault="00222C32" w:rsidP="00A818DC">
      <w:pPr>
        <w:pStyle w:val="Heading3"/>
        <w:numPr>
          <w:ilvl w:val="2"/>
          <w:numId w:val="49"/>
        </w:numPr>
      </w:pPr>
      <w:bookmarkStart w:id="466" w:name="_Toc357349055"/>
      <w:bookmarkStart w:id="467" w:name="_Toc357356108"/>
      <w:r w:rsidRPr="00942C19">
        <w:t xml:space="preserve">However no such study was carried out and no report was submitted for perusal of the Commission. The Commission would like to reiterate that the distribution loss proposal of the </w:t>
      </w:r>
      <w:r w:rsidR="009A3804" w:rsidRPr="00942C19">
        <w:t>Licensee</w:t>
      </w:r>
      <w:r w:rsidRPr="00942C19">
        <w:t xml:space="preserve"> should be based on correct energy audit data and supported by a report on the study carried out on such data. The Commission has reiterated this issue vide Letter No. UPERC/Secy./D(Tariff)/13-074 dated 11</w:t>
      </w:r>
      <w:r w:rsidRPr="00942C19">
        <w:rPr>
          <w:vertAlign w:val="superscript"/>
        </w:rPr>
        <w:t>th</w:t>
      </w:r>
      <w:r w:rsidRPr="00942C19">
        <w:t xml:space="preserve"> April, 2013 and has directed the </w:t>
      </w:r>
      <w:r w:rsidR="009A3804" w:rsidRPr="00942C19">
        <w:t>Licensee</w:t>
      </w:r>
      <w:r w:rsidRPr="00942C19">
        <w:t xml:space="preserve"> for conducting the base line loss estimation studies for assessment of </w:t>
      </w:r>
      <w:r w:rsidR="00220216" w:rsidRPr="00942C19">
        <w:t>technical</w:t>
      </w:r>
      <w:r w:rsidRPr="00942C19">
        <w:t xml:space="preserve"> and commercial losses.</w:t>
      </w:r>
      <w:bookmarkEnd w:id="466"/>
      <w:bookmarkEnd w:id="467"/>
      <w:r w:rsidRPr="00942C19">
        <w:t xml:space="preserve"> </w:t>
      </w:r>
    </w:p>
    <w:p w:rsidR="00222C32" w:rsidRPr="00942C19" w:rsidRDefault="00222C32" w:rsidP="00025FB6">
      <w:pPr>
        <w:spacing w:before="0"/>
      </w:pPr>
    </w:p>
    <w:p w:rsidR="00222C32" w:rsidRPr="00942C19" w:rsidRDefault="00D10EC6" w:rsidP="00A818DC">
      <w:pPr>
        <w:pStyle w:val="Heading3"/>
        <w:numPr>
          <w:ilvl w:val="2"/>
          <w:numId w:val="49"/>
        </w:numPr>
      </w:pPr>
      <w:bookmarkStart w:id="468" w:name="_Toc357349056"/>
      <w:bookmarkStart w:id="469" w:name="_Toc357356109"/>
      <w:r w:rsidRPr="00942C19">
        <w:t xml:space="preserve">In FY 2012-13, the Commission had approved distribution loss target of </w:t>
      </w:r>
      <w:r w:rsidR="0084795B" w:rsidRPr="00942C19">
        <w:t>23.63</w:t>
      </w:r>
      <w:r w:rsidRPr="00942C19">
        <w:t xml:space="preserve">% against the Licensee’s claim of </w:t>
      </w:r>
      <w:r w:rsidR="0084795B" w:rsidRPr="00942C19">
        <w:t>24</w:t>
      </w:r>
      <w:r w:rsidRPr="00942C19">
        <w:t>.</w:t>
      </w:r>
      <w:r w:rsidR="0084795B" w:rsidRPr="00942C19">
        <w:t>00</w:t>
      </w:r>
      <w:r w:rsidRPr="00942C19">
        <w:t>%.</w:t>
      </w:r>
      <w:r w:rsidR="0084795B" w:rsidRPr="00942C19">
        <w:t xml:space="preserve"> </w:t>
      </w:r>
      <w:r w:rsidR="00785E17" w:rsidRPr="00942C19">
        <w:t>Further the Licensee has also submitted a Financial Restructuring Plan (FRP) before the Commission on 14</w:t>
      </w:r>
      <w:r w:rsidR="00785E17" w:rsidRPr="00942C19">
        <w:rPr>
          <w:vertAlign w:val="superscript"/>
        </w:rPr>
        <w:t>th</w:t>
      </w:r>
      <w:r w:rsidR="00785E17" w:rsidRPr="00942C19">
        <w:t xml:space="preserve"> March, 2013. The Licensee in its FRP has proposed a Distribution loss level of 2</w:t>
      </w:r>
      <w:r w:rsidR="0084795B" w:rsidRPr="00942C19">
        <w:t>3</w:t>
      </w:r>
      <w:r w:rsidR="00112A2A" w:rsidRPr="00942C19">
        <w:t>.00</w:t>
      </w:r>
      <w:r w:rsidR="00785E17" w:rsidRPr="00942C19">
        <w:t>% for FY 2013-14.</w:t>
      </w:r>
      <w:bookmarkEnd w:id="468"/>
      <w:bookmarkEnd w:id="469"/>
    </w:p>
    <w:p w:rsidR="00222C32" w:rsidRPr="00942C19" w:rsidRDefault="00222C32" w:rsidP="00025FB6">
      <w:pPr>
        <w:spacing w:before="0"/>
      </w:pPr>
    </w:p>
    <w:p w:rsidR="00222C32" w:rsidRPr="00942C19" w:rsidRDefault="00785E17" w:rsidP="007C08A7">
      <w:pPr>
        <w:pStyle w:val="Heading3"/>
        <w:numPr>
          <w:ilvl w:val="2"/>
          <w:numId w:val="49"/>
        </w:numPr>
      </w:pPr>
      <w:bookmarkStart w:id="470" w:name="_Toc357349057"/>
      <w:bookmarkStart w:id="471" w:name="_Toc357356110"/>
      <w:r w:rsidRPr="00942C19">
        <w:t>The Commission considers the estimates provided by the Licensee in its FRP for approval of Distribution losses.</w:t>
      </w:r>
      <w:r w:rsidR="00222C32" w:rsidRPr="00942C19">
        <w:t xml:space="preserve"> The Commission’s approved energy balance for FY 2013-14 is given in </w:t>
      </w:r>
      <w:r w:rsidR="007C08A7" w:rsidRPr="00942C19">
        <w:t>table</w:t>
      </w:r>
      <w:r w:rsidR="00222C32" w:rsidRPr="00942C19">
        <w:t xml:space="preserve"> below:</w:t>
      </w:r>
      <w:bookmarkEnd w:id="470"/>
      <w:bookmarkEnd w:id="471"/>
    </w:p>
    <w:p w:rsidR="00111E35" w:rsidRPr="00942C19" w:rsidRDefault="00111E35">
      <w:pPr>
        <w:spacing w:before="0" w:line="240" w:lineRule="auto"/>
        <w:jc w:val="left"/>
        <w:rPr>
          <w:b/>
          <w:bCs/>
          <w:szCs w:val="20"/>
        </w:rPr>
      </w:pPr>
      <w:bookmarkStart w:id="472" w:name="_Ref325534563"/>
      <w:bookmarkStart w:id="473" w:name="_Toc338310674"/>
      <w:bookmarkStart w:id="474" w:name="_Toc338419504"/>
      <w:r w:rsidRPr="00942C19">
        <w:br w:type="page"/>
      </w:r>
    </w:p>
    <w:p w:rsidR="00222C32" w:rsidRPr="00942C19" w:rsidRDefault="00785E17" w:rsidP="00222C32">
      <w:pPr>
        <w:pStyle w:val="Caption"/>
        <w:keepNext/>
        <w:jc w:val="center"/>
      </w:pPr>
      <w:bookmarkStart w:id="475" w:name="_Toc357719701"/>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7</w:t>
      </w:r>
      <w:r w:rsidR="000C642E" w:rsidRPr="00942C19">
        <w:fldChar w:fldCharType="end"/>
      </w:r>
      <w:bookmarkEnd w:id="472"/>
      <w:r w:rsidRPr="00942C19">
        <w:t xml:space="preserve">: APPROVED ENERGY BALANCE FOR FY </w:t>
      </w:r>
      <w:bookmarkEnd w:id="473"/>
      <w:bookmarkEnd w:id="474"/>
      <w:r w:rsidRPr="00942C19">
        <w:t>2013-14</w:t>
      </w:r>
      <w:bookmarkEnd w:id="475"/>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067"/>
        <w:gridCol w:w="1640"/>
        <w:gridCol w:w="2178"/>
      </w:tblGrid>
      <w:tr w:rsidR="00D10EC6" w:rsidRPr="00942C19" w:rsidTr="00FA1E6B">
        <w:trPr>
          <w:trHeight w:val="600"/>
          <w:tblHeader/>
          <w:jc w:val="center"/>
        </w:trPr>
        <w:tc>
          <w:tcPr>
            <w:tcW w:w="5067" w:type="dxa"/>
            <w:shd w:val="clear" w:color="000000" w:fill="DBE5F1"/>
            <w:noWrap/>
            <w:vAlign w:val="center"/>
            <w:hideMark/>
          </w:tcPr>
          <w:p w:rsidR="00D10EC6" w:rsidRPr="00942C19" w:rsidRDefault="00D10EC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1640" w:type="dxa"/>
            <w:shd w:val="clear" w:color="000000" w:fill="DBE5F1"/>
            <w:vAlign w:val="center"/>
            <w:hideMark/>
          </w:tcPr>
          <w:p w:rsidR="00155FB3" w:rsidRPr="00942C19" w:rsidRDefault="00785E17" w:rsidP="00155FB3">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 xml:space="preserve">Approved for </w:t>
            </w:r>
            <w:r w:rsidR="007B4E42" w:rsidRPr="00942C19">
              <w:rPr>
                <w:rFonts w:cs="Calibri"/>
                <w:b/>
                <w:bCs/>
                <w:color w:val="000000"/>
                <w:sz w:val="22"/>
                <w:szCs w:val="22"/>
                <w:lang w:val="en-IN" w:eastAsia="en-IN"/>
              </w:rPr>
              <w:t>MVVNL</w:t>
            </w:r>
          </w:p>
        </w:tc>
        <w:tc>
          <w:tcPr>
            <w:tcW w:w="2178" w:type="dxa"/>
            <w:shd w:val="clear" w:color="000000" w:fill="DBE5F1"/>
            <w:vAlign w:val="center"/>
          </w:tcPr>
          <w:p w:rsidR="00155FB3" w:rsidRPr="00942C19" w:rsidRDefault="00785E17" w:rsidP="00155FB3">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 for Consolidated</w:t>
            </w:r>
            <w:r w:rsidR="009A2B89" w:rsidRPr="00942C19">
              <w:rPr>
                <w:rFonts w:cs="Calibri"/>
                <w:b/>
                <w:bCs/>
                <w:color w:val="000000"/>
                <w:sz w:val="22"/>
                <w:szCs w:val="22"/>
                <w:lang w:val="en-IN" w:eastAsia="en-IN"/>
              </w:rPr>
              <w:t xml:space="preserve"> State Sector</w:t>
            </w:r>
            <w:r w:rsidRPr="00942C19">
              <w:rPr>
                <w:rFonts w:cs="Calibri"/>
                <w:b/>
                <w:bCs/>
                <w:color w:val="000000"/>
                <w:sz w:val="22"/>
                <w:szCs w:val="22"/>
                <w:lang w:val="en-IN" w:eastAsia="en-IN"/>
              </w:rPr>
              <w:t xml:space="preserve"> *</w:t>
            </w:r>
          </w:p>
        </w:tc>
      </w:tr>
      <w:tr w:rsidR="00FA1E6B" w:rsidRPr="00942C19" w:rsidTr="00FA1E6B">
        <w:trPr>
          <w:trHeight w:val="300"/>
          <w:jc w:val="center"/>
        </w:trPr>
        <w:tc>
          <w:tcPr>
            <w:tcW w:w="5067" w:type="dxa"/>
            <w:shd w:val="clear" w:color="auto" w:fill="auto"/>
            <w:noWrap/>
            <w:vAlign w:val="bottom"/>
            <w:hideMark/>
          </w:tcPr>
          <w:p w:rsidR="00FA1E6B" w:rsidRPr="00942C19" w:rsidRDefault="00FA1E6B"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Retail Sales (MU)</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 xml:space="preserve">11,444 </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 xml:space="preserve">58,058 </w:t>
            </w:r>
          </w:p>
        </w:tc>
      </w:tr>
      <w:tr w:rsidR="00FA1E6B" w:rsidRPr="00942C19" w:rsidTr="00FA1E6B">
        <w:trPr>
          <w:trHeight w:val="300"/>
          <w:jc w:val="center"/>
        </w:trPr>
        <w:tc>
          <w:tcPr>
            <w:tcW w:w="5067" w:type="dxa"/>
            <w:shd w:val="clear" w:color="auto" w:fill="auto"/>
            <w:noWrap/>
            <w:vAlign w:val="bottom"/>
            <w:hideMark/>
          </w:tcPr>
          <w:p w:rsidR="00FA1E6B" w:rsidRPr="00942C19" w:rsidRDefault="00FA1E6B"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Bulk Sales (MU)</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 xml:space="preserve">3,832 </w:t>
            </w:r>
          </w:p>
        </w:tc>
      </w:tr>
      <w:tr w:rsidR="00FA1E6B" w:rsidRPr="00942C19" w:rsidTr="00FA1E6B">
        <w:trPr>
          <w:trHeight w:val="300"/>
          <w:jc w:val="center"/>
        </w:trPr>
        <w:tc>
          <w:tcPr>
            <w:tcW w:w="5067" w:type="dxa"/>
            <w:shd w:val="clear" w:color="auto" w:fill="auto"/>
            <w:noWrap/>
            <w:vAlign w:val="bottom"/>
            <w:hideMark/>
          </w:tcPr>
          <w:p w:rsidR="00FA1E6B" w:rsidRPr="00942C19" w:rsidRDefault="00FA1E6B"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Distribution Losses (%)</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23.00%</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22.81%</w:t>
            </w:r>
          </w:p>
        </w:tc>
      </w:tr>
      <w:tr w:rsidR="00FA1E6B" w:rsidRPr="00942C19" w:rsidTr="00FA1E6B">
        <w:trPr>
          <w:trHeight w:val="300"/>
          <w:jc w:val="center"/>
        </w:trPr>
        <w:tc>
          <w:tcPr>
            <w:tcW w:w="5067" w:type="dxa"/>
            <w:shd w:val="clear" w:color="auto" w:fill="auto"/>
            <w:noWrap/>
            <w:vAlign w:val="bottom"/>
            <w:hideMark/>
          </w:tcPr>
          <w:p w:rsidR="00FA1E6B" w:rsidRPr="00942C19" w:rsidRDefault="00FA1E6B"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Energy at Discom Periphery for Retail Sales (MU)</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 xml:space="preserve">14,863 </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 xml:space="preserve">80,181 </w:t>
            </w:r>
          </w:p>
        </w:tc>
      </w:tr>
      <w:tr w:rsidR="00FA1E6B" w:rsidRPr="00942C19" w:rsidTr="00FA1E6B">
        <w:trPr>
          <w:trHeight w:val="300"/>
          <w:jc w:val="center"/>
        </w:trPr>
        <w:tc>
          <w:tcPr>
            <w:tcW w:w="5067" w:type="dxa"/>
            <w:shd w:val="clear" w:color="auto" w:fill="auto"/>
            <w:noWrap/>
            <w:vAlign w:val="bottom"/>
            <w:hideMark/>
          </w:tcPr>
          <w:p w:rsidR="00FA1E6B" w:rsidRPr="00942C19" w:rsidRDefault="00FA1E6B"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Inter-State Transmission Losses %</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3.67%</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3.67%</w:t>
            </w:r>
          </w:p>
        </w:tc>
      </w:tr>
      <w:tr w:rsidR="00FA1E6B" w:rsidRPr="00942C19" w:rsidTr="00FA1E6B">
        <w:trPr>
          <w:trHeight w:val="300"/>
          <w:jc w:val="center"/>
        </w:trPr>
        <w:tc>
          <w:tcPr>
            <w:tcW w:w="5067" w:type="dxa"/>
            <w:shd w:val="clear" w:color="auto" w:fill="auto"/>
            <w:vAlign w:val="center"/>
            <w:hideMark/>
          </w:tcPr>
          <w:p w:rsidR="00FA1E6B" w:rsidRPr="00942C19" w:rsidRDefault="00FA1E6B" w:rsidP="00B54756">
            <w:pPr>
              <w:spacing w:before="0" w:line="240" w:lineRule="auto"/>
              <w:jc w:val="left"/>
              <w:rPr>
                <w:rFonts w:cs="Calibri"/>
                <w:sz w:val="22"/>
                <w:szCs w:val="22"/>
                <w:lang w:val="en-IN" w:eastAsia="en-IN"/>
              </w:rPr>
            </w:pPr>
            <w:r w:rsidRPr="00942C19">
              <w:rPr>
                <w:rFonts w:cs="Calibri"/>
                <w:sz w:val="22"/>
                <w:szCs w:val="22"/>
                <w:lang w:val="en-IN" w:eastAsia="en-IN"/>
              </w:rPr>
              <w:t>Energy Available at State periphery for Transmission(MU)</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 xml:space="preserve">15,429 </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 xml:space="preserve">83,235 </w:t>
            </w:r>
          </w:p>
        </w:tc>
      </w:tr>
      <w:tr w:rsidR="00FA1E6B" w:rsidRPr="00942C19" w:rsidTr="00FA1E6B">
        <w:trPr>
          <w:trHeight w:val="300"/>
          <w:jc w:val="center"/>
        </w:trPr>
        <w:tc>
          <w:tcPr>
            <w:tcW w:w="5067" w:type="dxa"/>
            <w:shd w:val="clear" w:color="auto" w:fill="auto"/>
            <w:vAlign w:val="center"/>
            <w:hideMark/>
          </w:tcPr>
          <w:p w:rsidR="00FA1E6B" w:rsidRPr="00942C19" w:rsidRDefault="00FA1E6B" w:rsidP="00B54756">
            <w:pPr>
              <w:spacing w:before="0" w:line="240" w:lineRule="auto"/>
              <w:jc w:val="left"/>
              <w:rPr>
                <w:rFonts w:cs="Calibri"/>
                <w:sz w:val="22"/>
                <w:szCs w:val="22"/>
                <w:lang w:val="en-IN" w:eastAsia="en-IN"/>
              </w:rPr>
            </w:pPr>
            <w:r w:rsidRPr="00942C19">
              <w:rPr>
                <w:rFonts w:cs="Calibri"/>
                <w:sz w:val="22"/>
                <w:szCs w:val="22"/>
                <w:lang w:val="en-IN" w:eastAsia="en-IN"/>
              </w:rPr>
              <w:t>Periphery Loss (Up to inter connection Point) (%)</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1.65%</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1.65%</w:t>
            </w:r>
          </w:p>
        </w:tc>
      </w:tr>
      <w:tr w:rsidR="00FA1E6B" w:rsidRPr="00942C19" w:rsidTr="00FA1E6B">
        <w:trPr>
          <w:trHeight w:val="300"/>
          <w:jc w:val="center"/>
        </w:trPr>
        <w:tc>
          <w:tcPr>
            <w:tcW w:w="5067" w:type="dxa"/>
            <w:shd w:val="clear" w:color="auto" w:fill="auto"/>
            <w:vAlign w:val="center"/>
            <w:hideMark/>
          </w:tcPr>
          <w:p w:rsidR="00FA1E6B" w:rsidRPr="00942C19" w:rsidRDefault="00FA1E6B" w:rsidP="00B54756">
            <w:pPr>
              <w:spacing w:before="0" w:line="240" w:lineRule="auto"/>
              <w:jc w:val="left"/>
              <w:rPr>
                <w:rFonts w:cs="Calibri"/>
                <w:sz w:val="22"/>
                <w:szCs w:val="22"/>
                <w:lang w:val="en-IN" w:eastAsia="en-IN"/>
              </w:rPr>
            </w:pPr>
            <w:r w:rsidRPr="00942C19">
              <w:rPr>
                <w:rFonts w:cs="Calibri"/>
                <w:sz w:val="22"/>
                <w:szCs w:val="22"/>
                <w:lang w:val="en-IN" w:eastAsia="en-IN"/>
              </w:rPr>
              <w:t>Purchases Required &amp; Billed Energy (MU)</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 xml:space="preserve">15,688 </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 xml:space="preserve">84,632 </w:t>
            </w:r>
          </w:p>
        </w:tc>
      </w:tr>
      <w:tr w:rsidR="00FA1E6B" w:rsidRPr="00942C19" w:rsidTr="00FA1E6B">
        <w:trPr>
          <w:trHeight w:val="300"/>
          <w:jc w:val="center"/>
        </w:trPr>
        <w:tc>
          <w:tcPr>
            <w:tcW w:w="5067" w:type="dxa"/>
            <w:shd w:val="clear" w:color="auto" w:fill="auto"/>
            <w:noWrap/>
            <w:vAlign w:val="bottom"/>
            <w:hideMark/>
          </w:tcPr>
          <w:p w:rsidR="00FA1E6B" w:rsidRPr="00942C19" w:rsidRDefault="00FA1E6B"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Total Inter &amp; Intra State Transmission Losses (%)</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5.26%</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5.26%</w:t>
            </w:r>
          </w:p>
        </w:tc>
      </w:tr>
      <w:tr w:rsidR="00FA1E6B" w:rsidRPr="00942C19" w:rsidTr="00FA1E6B">
        <w:trPr>
          <w:trHeight w:val="300"/>
          <w:jc w:val="center"/>
        </w:trPr>
        <w:tc>
          <w:tcPr>
            <w:tcW w:w="5067" w:type="dxa"/>
            <w:shd w:val="clear" w:color="auto" w:fill="auto"/>
            <w:noWrap/>
            <w:vAlign w:val="bottom"/>
            <w:hideMark/>
          </w:tcPr>
          <w:p w:rsidR="00FA1E6B" w:rsidRPr="00942C19" w:rsidRDefault="00FA1E6B" w:rsidP="00926A81">
            <w:pPr>
              <w:spacing w:before="0" w:line="240" w:lineRule="auto"/>
              <w:jc w:val="left"/>
              <w:rPr>
                <w:rFonts w:cs="Calibri"/>
                <w:bCs/>
                <w:color w:val="000000"/>
                <w:sz w:val="22"/>
                <w:szCs w:val="22"/>
                <w:lang w:val="en-IN" w:eastAsia="en-IN"/>
              </w:rPr>
            </w:pPr>
            <w:r w:rsidRPr="00942C19">
              <w:rPr>
                <w:rFonts w:cs="Calibri"/>
                <w:bCs/>
                <w:color w:val="000000"/>
                <w:sz w:val="22"/>
                <w:szCs w:val="22"/>
                <w:lang w:val="en-IN" w:eastAsia="en-IN"/>
              </w:rPr>
              <w:t>Total T&amp;D Losses in Retail Sales (%)</w:t>
            </w:r>
          </w:p>
        </w:tc>
        <w:tc>
          <w:tcPr>
            <w:tcW w:w="1640" w:type="dxa"/>
            <w:shd w:val="clear" w:color="auto" w:fill="auto"/>
            <w:noWrap/>
            <w:vAlign w:val="center"/>
            <w:hideMark/>
          </w:tcPr>
          <w:p w:rsidR="008A6B42" w:rsidRPr="00942C19" w:rsidRDefault="00FA1E6B">
            <w:pPr>
              <w:spacing w:before="0"/>
              <w:jc w:val="right"/>
              <w:rPr>
                <w:color w:val="000000"/>
                <w:sz w:val="22"/>
                <w:szCs w:val="22"/>
              </w:rPr>
            </w:pPr>
            <w:r w:rsidRPr="00942C19">
              <w:rPr>
                <w:color w:val="000000"/>
                <w:sz w:val="22"/>
                <w:szCs w:val="22"/>
              </w:rPr>
              <w:t>27.05%</w:t>
            </w:r>
          </w:p>
        </w:tc>
        <w:tc>
          <w:tcPr>
            <w:tcW w:w="2178" w:type="dxa"/>
            <w:vAlign w:val="center"/>
          </w:tcPr>
          <w:p w:rsidR="008A6B42" w:rsidRPr="00942C19" w:rsidRDefault="00FA1E6B">
            <w:pPr>
              <w:spacing w:before="0"/>
              <w:jc w:val="right"/>
              <w:rPr>
                <w:color w:val="000000"/>
                <w:sz w:val="22"/>
                <w:szCs w:val="22"/>
              </w:rPr>
            </w:pPr>
            <w:r w:rsidRPr="00942C19">
              <w:rPr>
                <w:color w:val="000000"/>
                <w:sz w:val="22"/>
                <w:szCs w:val="22"/>
              </w:rPr>
              <w:t>26.87%</w:t>
            </w:r>
          </w:p>
        </w:tc>
      </w:tr>
    </w:tbl>
    <w:p w:rsidR="00A44CA7" w:rsidRPr="004E2AB9" w:rsidRDefault="00155FB3" w:rsidP="004E2AB9">
      <w:pPr>
        <w:spacing w:before="0"/>
        <w:rPr>
          <w:i/>
          <w:sz w:val="22"/>
          <w:szCs w:val="23"/>
        </w:rPr>
      </w:pPr>
      <w:r w:rsidRPr="004E2AB9">
        <w:rPr>
          <w:i/>
          <w:sz w:val="22"/>
          <w:szCs w:val="23"/>
        </w:rPr>
        <w:t xml:space="preserve">  *Consolidated State Sector includes DVVNL, MVVNL, PVVNL, PuVVNL</w:t>
      </w:r>
      <w:r w:rsidR="004E2AB9" w:rsidRPr="004E2AB9">
        <w:rPr>
          <w:i/>
          <w:sz w:val="22"/>
          <w:szCs w:val="23"/>
        </w:rPr>
        <w:t xml:space="preserve"> &amp; Bulk Sales to </w:t>
      </w:r>
      <w:r w:rsidRPr="004E2AB9">
        <w:rPr>
          <w:i/>
          <w:sz w:val="22"/>
          <w:szCs w:val="23"/>
        </w:rPr>
        <w:t>Kesco &amp; NPCL</w:t>
      </w:r>
    </w:p>
    <w:p w:rsidR="00A44CA7" w:rsidRPr="00942C19" w:rsidRDefault="00A44CA7">
      <w:pPr>
        <w:spacing w:before="0"/>
        <w:jc w:val="center"/>
      </w:pPr>
    </w:p>
    <w:p w:rsidR="00D47B3B" w:rsidRPr="00942C19" w:rsidRDefault="00222C32">
      <w:pPr>
        <w:pStyle w:val="Heading2"/>
        <w:keepNext/>
        <w:numPr>
          <w:ilvl w:val="1"/>
          <w:numId w:val="1"/>
        </w:numPr>
        <w:autoSpaceDE/>
        <w:autoSpaceDN/>
        <w:adjustRightInd/>
        <w:spacing w:before="0" w:line="276" w:lineRule="auto"/>
        <w:contextualSpacing w:val="0"/>
      </w:pPr>
      <w:bookmarkStart w:id="476" w:name="_Toc356322588"/>
      <w:bookmarkStart w:id="477" w:name="_Toc357714394"/>
      <w:r w:rsidRPr="00942C19">
        <w:t>ENERGY AVAILABILITY</w:t>
      </w:r>
      <w:bookmarkEnd w:id="476"/>
      <w:bookmarkEnd w:id="477"/>
      <w:r w:rsidRPr="00942C19">
        <w:t xml:space="preserve"> </w:t>
      </w:r>
    </w:p>
    <w:p w:rsidR="00111E35" w:rsidRPr="00942C19" w:rsidRDefault="00111E35" w:rsidP="00111E35">
      <w:pPr>
        <w:pStyle w:val="Heading2"/>
        <w:keepNext/>
        <w:numPr>
          <w:ilvl w:val="0"/>
          <w:numId w:val="0"/>
        </w:numPr>
        <w:autoSpaceDE/>
        <w:autoSpaceDN/>
        <w:adjustRightInd/>
        <w:spacing w:before="0" w:line="276" w:lineRule="auto"/>
        <w:ind w:left="576"/>
        <w:contextualSpacing w:val="0"/>
      </w:pPr>
    </w:p>
    <w:p w:rsidR="00A44CA7" w:rsidRPr="00942C19" w:rsidRDefault="00220216">
      <w:pPr>
        <w:pStyle w:val="Heading3"/>
        <w:numPr>
          <w:ilvl w:val="2"/>
          <w:numId w:val="49"/>
        </w:numPr>
        <w:spacing w:before="0"/>
      </w:pPr>
      <w:bookmarkStart w:id="478" w:name="_Toc357349059"/>
      <w:bookmarkStart w:id="479" w:name="_Toc357356112"/>
      <w:r w:rsidRPr="00942C19">
        <w:t xml:space="preserve">Clause </w:t>
      </w:r>
      <w:r w:rsidR="00222C32" w:rsidRPr="00942C19">
        <w:t xml:space="preserve">3.4 of the Distribution Tariff Regulations states that the estimation of the power requirement for the Distribution </w:t>
      </w:r>
      <w:r w:rsidR="009A3804" w:rsidRPr="00942C19">
        <w:t>Licensee</w:t>
      </w:r>
      <w:r w:rsidR="00222C32" w:rsidRPr="00942C19">
        <w:t xml:space="preserve"> for sale to its consumers shall be estimated based on the approved sales, approved transmission losses and proposed distribution losses for the tariff year.</w:t>
      </w:r>
      <w:bookmarkEnd w:id="478"/>
      <w:bookmarkEnd w:id="479"/>
    </w:p>
    <w:p w:rsidR="00D05C4B" w:rsidRPr="00942C19"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A818DC">
      <w:pPr>
        <w:pStyle w:val="Heading3"/>
        <w:numPr>
          <w:ilvl w:val="2"/>
          <w:numId w:val="49"/>
        </w:numPr>
      </w:pPr>
      <w:bookmarkStart w:id="480" w:name="_Toc357349060"/>
      <w:bookmarkStart w:id="481" w:name="_Toc357356113"/>
      <w:r w:rsidRPr="00942C19">
        <w:t xml:space="preserve">The </w:t>
      </w:r>
      <w:r w:rsidR="009A3804" w:rsidRPr="00942C19">
        <w:t>Licensee</w:t>
      </w:r>
      <w:r w:rsidRPr="00942C19">
        <w:t xml:space="preserve"> has proposed power procurement through State generating stations, Central generating stations based on the allocation to the State, obligatory purchases from state Co-generation facilities, other sources based on bilateral contracts and other emergency purchases.</w:t>
      </w:r>
      <w:bookmarkEnd w:id="480"/>
      <w:bookmarkEnd w:id="481"/>
    </w:p>
    <w:p w:rsidR="00D05C4B" w:rsidRPr="00942C19"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A818DC">
      <w:pPr>
        <w:pStyle w:val="Heading3"/>
        <w:numPr>
          <w:ilvl w:val="2"/>
          <w:numId w:val="49"/>
        </w:numPr>
      </w:pPr>
      <w:bookmarkStart w:id="482" w:name="_Toc357349061"/>
      <w:bookmarkStart w:id="483" w:name="_Toc357356114"/>
      <w:r w:rsidRPr="00942C19">
        <w:t xml:space="preserve">The UPPCL has drawn a merit dispatch order schedule and has projected to procure 87,173 MUs of power for FY 2013-14 in its ARR / Tariff </w:t>
      </w:r>
      <w:r w:rsidR="00220216" w:rsidRPr="00942C19">
        <w:t>P</w:t>
      </w:r>
      <w:r w:rsidRPr="00942C19">
        <w:t xml:space="preserve">etition filed by the </w:t>
      </w:r>
      <w:r w:rsidR="009A3804" w:rsidRPr="00942C19">
        <w:t>Licensee</w:t>
      </w:r>
      <w:r w:rsidRPr="00942C19">
        <w:t>.</w:t>
      </w:r>
      <w:bookmarkEnd w:id="482"/>
      <w:bookmarkEnd w:id="483"/>
    </w:p>
    <w:p w:rsidR="00D05C4B" w:rsidRPr="00942C19" w:rsidRDefault="00D05C4B" w:rsidP="00D05C4B">
      <w:pPr>
        <w:pStyle w:val="Heading2"/>
        <w:keepNext/>
        <w:numPr>
          <w:ilvl w:val="0"/>
          <w:numId w:val="0"/>
        </w:numPr>
        <w:autoSpaceDE/>
        <w:autoSpaceDN/>
        <w:adjustRightInd/>
        <w:spacing w:before="0" w:line="276" w:lineRule="auto"/>
        <w:ind w:left="720"/>
        <w:contextualSpacing w:val="0"/>
        <w:rPr>
          <w:b w:val="0"/>
        </w:rPr>
      </w:pPr>
    </w:p>
    <w:p w:rsidR="006A3988" w:rsidRPr="00942C19" w:rsidRDefault="006A3988" w:rsidP="00A818DC">
      <w:pPr>
        <w:pStyle w:val="Heading3"/>
        <w:numPr>
          <w:ilvl w:val="2"/>
          <w:numId w:val="49"/>
        </w:numPr>
      </w:pPr>
      <w:bookmarkStart w:id="484" w:name="_Toc357349062"/>
      <w:bookmarkStart w:id="485" w:name="_Toc357356115"/>
      <w:r w:rsidRPr="00942C19">
        <w:t>The Commission has considered the data in respect of power procurement plan provided in the ARR / Tariff Petition for FY 2013-14, as it is the most relevant data available for projecting the power purchase cost for FY 2013-14. Suitable modifications, wherever deemed necessary, have been passed by the Commission to arrive at the approved power purchase cost.</w:t>
      </w:r>
    </w:p>
    <w:p w:rsidR="00A44CA7" w:rsidRPr="00942C19" w:rsidRDefault="00A44CA7">
      <w:pPr>
        <w:pStyle w:val="Heading3"/>
        <w:numPr>
          <w:ilvl w:val="0"/>
          <w:numId w:val="0"/>
        </w:numPr>
        <w:ind w:left="720"/>
      </w:pPr>
    </w:p>
    <w:p w:rsidR="00222C32" w:rsidRPr="00942C19" w:rsidRDefault="00222C32" w:rsidP="00A818DC">
      <w:pPr>
        <w:pStyle w:val="Heading3"/>
        <w:numPr>
          <w:ilvl w:val="2"/>
          <w:numId w:val="49"/>
        </w:numPr>
      </w:pPr>
      <w:r w:rsidRPr="00942C19">
        <w:t xml:space="preserve">The Commission has also run the merit order </w:t>
      </w:r>
      <w:r w:rsidR="000D3A3C" w:rsidRPr="00942C19">
        <w:t xml:space="preserve">dispatch </w:t>
      </w:r>
      <w:r w:rsidRPr="00942C19">
        <w:t>schedule for power purchase for the FY 2013-14 after considering the availability of power and monthly sales trend pro</w:t>
      </w:r>
      <w:r w:rsidR="00056C28" w:rsidRPr="00942C19">
        <w:t xml:space="preserve">jection of the Licensee. The final merit order dispatch showing the approved power purchase quantum by the Commission for FY 2013-14 is given in </w:t>
      </w:r>
      <w:fldSimple w:instr=" REF _Ref323374995 \h  \* MERGEFORMAT ">
        <w:r w:rsidR="00785E17" w:rsidRPr="00942C19">
          <w:rPr>
            <w:lang w:val="en-US"/>
          </w:rPr>
          <w:t>Table 4</w:t>
        </w:r>
        <w:r w:rsidR="00785E17" w:rsidRPr="00942C19">
          <w:rPr>
            <w:lang w:val="en-US"/>
          </w:rPr>
          <w:noBreakHyphen/>
          <w:t>35</w:t>
        </w:r>
      </w:fldSimple>
      <w:r w:rsidR="00056C28" w:rsidRPr="00942C19">
        <w:rPr>
          <w:bCs w:val="0"/>
        </w:rPr>
        <w:t>.</w:t>
      </w:r>
      <w:bookmarkEnd w:id="484"/>
      <w:bookmarkEnd w:id="485"/>
    </w:p>
    <w:p w:rsidR="00D05C4B" w:rsidRPr="00942C19"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A818DC">
      <w:pPr>
        <w:pStyle w:val="Heading3"/>
        <w:numPr>
          <w:ilvl w:val="2"/>
          <w:numId w:val="49"/>
        </w:numPr>
      </w:pPr>
      <w:bookmarkStart w:id="486" w:name="_Toc357349063"/>
      <w:bookmarkStart w:id="487" w:name="_Toc357356116"/>
      <w:r w:rsidRPr="00942C19">
        <w:t xml:space="preserve">Since, the power purchase expense is the single largest component in the ARR of a Distribution </w:t>
      </w:r>
      <w:r w:rsidR="009A3804" w:rsidRPr="00942C19">
        <w:t>Licensee</w:t>
      </w:r>
      <w:r w:rsidRPr="00942C19">
        <w:t xml:space="preserve">; it becomes imperative that this element of cost is incurred with utmost care based on the most efficient way of power procurement from the generating stations through long term / short term power purchase arrangements or through bilateral power purchase agreements. Power Purchase cost being un-controllable component of the ARR, the Commission has approved the Fuel and Power Purchase Cost Adjustment (FPPCA) formula which would enable the Distribution </w:t>
      </w:r>
      <w:r w:rsidR="009A3804" w:rsidRPr="00942C19">
        <w:t>Licensee</w:t>
      </w:r>
      <w:r w:rsidRPr="00942C19">
        <w:t xml:space="preserve"> to claim legitimate variances on account of power purchase cost.</w:t>
      </w:r>
      <w:bookmarkEnd w:id="486"/>
      <w:bookmarkEnd w:id="487"/>
    </w:p>
    <w:p w:rsidR="00A44CA7" w:rsidRPr="00942C19" w:rsidRDefault="00A44CA7">
      <w:pPr>
        <w:tabs>
          <w:tab w:val="left" w:pos="360"/>
        </w:tabs>
        <w:spacing w:before="0"/>
        <w:rPr>
          <w:bCs/>
          <w:sz w:val="23"/>
          <w:szCs w:val="23"/>
        </w:rPr>
      </w:pPr>
    </w:p>
    <w:p w:rsidR="00A44CA7" w:rsidRPr="00942C19" w:rsidRDefault="00A44CA7">
      <w:pPr>
        <w:tabs>
          <w:tab w:val="left" w:pos="360"/>
        </w:tabs>
        <w:spacing w:before="0"/>
        <w:rPr>
          <w:bCs/>
          <w:sz w:val="23"/>
          <w:szCs w:val="23"/>
        </w:rPr>
      </w:pPr>
    </w:p>
    <w:p w:rsidR="00D47B3B" w:rsidRPr="00942C19" w:rsidRDefault="00222C32">
      <w:pPr>
        <w:pStyle w:val="Heading2"/>
        <w:keepNext/>
        <w:numPr>
          <w:ilvl w:val="1"/>
          <w:numId w:val="1"/>
        </w:numPr>
        <w:autoSpaceDE/>
        <w:autoSpaceDN/>
        <w:adjustRightInd/>
        <w:spacing w:before="0" w:line="276" w:lineRule="auto"/>
        <w:contextualSpacing w:val="0"/>
      </w:pPr>
      <w:bookmarkStart w:id="488" w:name="_Toc325475521"/>
      <w:bookmarkStart w:id="489" w:name="_Toc356322589"/>
      <w:bookmarkStart w:id="490" w:name="_Toc357714395"/>
      <w:r w:rsidRPr="00942C19">
        <w:t>POWER PROCUREMENT FROM STATE GENERATING STATIONS</w:t>
      </w:r>
      <w:bookmarkEnd w:id="488"/>
      <w:bookmarkEnd w:id="489"/>
      <w:bookmarkEnd w:id="490"/>
    </w:p>
    <w:p w:rsidR="00222C32" w:rsidRPr="00942C19" w:rsidRDefault="00222C32" w:rsidP="00222C32">
      <w:pPr>
        <w:pStyle w:val="Heading2"/>
        <w:numPr>
          <w:ilvl w:val="0"/>
          <w:numId w:val="0"/>
        </w:numPr>
        <w:ind w:left="576"/>
      </w:pPr>
    </w:p>
    <w:p w:rsidR="00222C32" w:rsidRPr="00942C19" w:rsidRDefault="00222C32" w:rsidP="00222C32">
      <w:pPr>
        <w:pStyle w:val="Heading3"/>
        <w:numPr>
          <w:ilvl w:val="2"/>
          <w:numId w:val="1"/>
        </w:numPr>
        <w:spacing w:before="0"/>
        <w:rPr>
          <w:b/>
        </w:rPr>
      </w:pPr>
      <w:r w:rsidRPr="00942C19">
        <w:rPr>
          <w:b/>
        </w:rPr>
        <w:t xml:space="preserve">The </w:t>
      </w:r>
      <w:r w:rsidR="009A3804" w:rsidRPr="00942C19">
        <w:rPr>
          <w:b/>
        </w:rPr>
        <w:t>Licensee</w:t>
      </w:r>
      <w:r w:rsidRPr="00942C19">
        <w:rPr>
          <w:b/>
        </w:rPr>
        <w:t>’s Submission:</w:t>
      </w:r>
    </w:p>
    <w:p w:rsidR="00777CFB" w:rsidRPr="00942C19" w:rsidRDefault="00777CFB" w:rsidP="00777CFB">
      <w:pPr>
        <w:pStyle w:val="Heading4"/>
        <w:numPr>
          <w:ilvl w:val="0"/>
          <w:numId w:val="0"/>
        </w:numPr>
        <w:ind w:left="864"/>
      </w:pPr>
    </w:p>
    <w:p w:rsidR="00D05C4B" w:rsidRPr="00942C19" w:rsidRDefault="00222C32" w:rsidP="00D05C4B">
      <w:pPr>
        <w:pStyle w:val="Heading4"/>
      </w:pPr>
      <w:r w:rsidRPr="00942C19">
        <w:t xml:space="preserve">The State of Uttar Pradesh has got both thermal as well as hydro generating stations. UPRVUNL owns all the thermal generating stations within the State and the Hydro Stations are owned by UPJVNL. The Multi Year Tariff (MYT) orders issued by the Commission for UPRVUNL and UPJVNL for their respective power stations for FY 2009-10 to 2013-14 form the basis for determining the costs for FY 2013-14. </w:t>
      </w:r>
    </w:p>
    <w:p w:rsidR="00222C32" w:rsidRPr="00942C19" w:rsidRDefault="00222C32" w:rsidP="00D05C4B">
      <w:pPr>
        <w:pStyle w:val="Heading4"/>
      </w:pPr>
      <w:r w:rsidRPr="00942C19">
        <w:t xml:space="preserve">The </w:t>
      </w:r>
      <w:r w:rsidR="009A3804" w:rsidRPr="00942C19">
        <w:t>Licensee</w:t>
      </w:r>
      <w:r w:rsidRPr="00942C19">
        <w:t xml:space="preserve">’s in </w:t>
      </w:r>
      <w:r w:rsidR="00700278" w:rsidRPr="00942C19">
        <w:t xml:space="preserve">the submission in regard to the </w:t>
      </w:r>
      <w:r w:rsidRPr="00942C19">
        <w:t xml:space="preserve">petition for FY 2013-14 </w:t>
      </w:r>
      <w:r w:rsidR="00700278" w:rsidRPr="00942C19">
        <w:t xml:space="preserve">has stated </w:t>
      </w:r>
      <w:r w:rsidRPr="00942C19">
        <w:t xml:space="preserve">that computation </w:t>
      </w:r>
      <w:r w:rsidR="00700278" w:rsidRPr="00942C19">
        <w:t xml:space="preserve">of </w:t>
      </w:r>
      <w:r w:rsidRPr="00942C19">
        <w:t xml:space="preserve">cost of power procurement for FY 2013-14 has been done based on </w:t>
      </w:r>
    </w:p>
    <w:p w:rsidR="00222C32" w:rsidRPr="00942C19" w:rsidRDefault="00222C32" w:rsidP="00A818DC">
      <w:pPr>
        <w:pStyle w:val="ListParagraph"/>
        <w:numPr>
          <w:ilvl w:val="0"/>
          <w:numId w:val="52"/>
        </w:numPr>
        <w:tabs>
          <w:tab w:val="left" w:pos="360"/>
        </w:tabs>
        <w:spacing w:before="0"/>
      </w:pPr>
      <w:r w:rsidRPr="00942C19">
        <w:t>Provisional power purchase cost and units of FY 2011-12</w:t>
      </w:r>
    </w:p>
    <w:p w:rsidR="00222C32" w:rsidRPr="00942C19" w:rsidRDefault="00222C32" w:rsidP="00A818DC">
      <w:pPr>
        <w:pStyle w:val="ListParagraph"/>
        <w:numPr>
          <w:ilvl w:val="0"/>
          <w:numId w:val="52"/>
        </w:numPr>
        <w:tabs>
          <w:tab w:val="left" w:pos="360"/>
        </w:tabs>
        <w:spacing w:before="0"/>
      </w:pPr>
      <w:r w:rsidRPr="00942C19">
        <w:t>Trend observed in the previous and current year.</w:t>
      </w:r>
    </w:p>
    <w:p w:rsidR="00222C32" w:rsidRPr="00942C19" w:rsidRDefault="00222C32" w:rsidP="00A818DC">
      <w:pPr>
        <w:pStyle w:val="ListParagraph"/>
        <w:numPr>
          <w:ilvl w:val="0"/>
          <w:numId w:val="52"/>
        </w:numPr>
        <w:tabs>
          <w:tab w:val="left" w:pos="360"/>
        </w:tabs>
        <w:spacing w:before="0"/>
      </w:pPr>
      <w:r w:rsidRPr="00942C19">
        <w:t>Impact of loss reduction initiatives.</w:t>
      </w:r>
    </w:p>
    <w:p w:rsidR="00222C32" w:rsidRPr="00942C19" w:rsidRDefault="00222C32" w:rsidP="00A818DC">
      <w:pPr>
        <w:pStyle w:val="ListParagraph"/>
        <w:numPr>
          <w:ilvl w:val="0"/>
          <w:numId w:val="52"/>
        </w:numPr>
        <w:tabs>
          <w:tab w:val="left" w:pos="360"/>
        </w:tabs>
        <w:spacing w:before="0"/>
      </w:pPr>
      <w:r w:rsidRPr="00942C19">
        <w:t>Estimated growth in sales.</w:t>
      </w:r>
    </w:p>
    <w:p w:rsidR="00222C32" w:rsidRPr="00942C19" w:rsidRDefault="00222C32" w:rsidP="00A818DC">
      <w:pPr>
        <w:pStyle w:val="ListParagraph"/>
        <w:numPr>
          <w:ilvl w:val="0"/>
          <w:numId w:val="52"/>
        </w:numPr>
        <w:tabs>
          <w:tab w:val="left" w:pos="360"/>
        </w:tabs>
        <w:spacing w:before="0"/>
      </w:pPr>
      <w:r w:rsidRPr="00942C19">
        <w:t>Share of expected capacity available from various Generators to the UPPCL / Discoms.</w:t>
      </w:r>
    </w:p>
    <w:p w:rsidR="00222C32" w:rsidRPr="00942C19" w:rsidRDefault="00222C32" w:rsidP="00222C32">
      <w:pPr>
        <w:tabs>
          <w:tab w:val="left" w:pos="360"/>
        </w:tabs>
      </w:pPr>
    </w:p>
    <w:p w:rsidR="00222C32" w:rsidRPr="00942C19" w:rsidRDefault="00222C32" w:rsidP="00D05C4B">
      <w:pPr>
        <w:pStyle w:val="Heading4"/>
      </w:pPr>
      <w:r w:rsidRPr="00942C19">
        <w:t xml:space="preserve">The cost of energy available from State Thermal and Hydro generating stations has been derived by the </w:t>
      </w:r>
      <w:r w:rsidR="009A3804" w:rsidRPr="00942C19">
        <w:t>Licensee</w:t>
      </w:r>
      <w:r w:rsidRPr="00942C19">
        <w:t xml:space="preserve"> from tariffs approved by the State Commission </w:t>
      </w:r>
      <w:r w:rsidR="006A3988" w:rsidRPr="00942C19">
        <w:t xml:space="preserve">in </w:t>
      </w:r>
      <w:r w:rsidRPr="00942C19">
        <w:t>Review Order dated 20</w:t>
      </w:r>
      <w:r w:rsidRPr="00942C19">
        <w:rPr>
          <w:vertAlign w:val="superscript"/>
        </w:rPr>
        <w:t>th</w:t>
      </w:r>
      <w:r w:rsidRPr="00942C19">
        <w:t xml:space="preserve"> March, 2012. </w:t>
      </w:r>
      <w:r w:rsidR="006A3988" w:rsidRPr="00942C19">
        <w:t xml:space="preserve">The </w:t>
      </w:r>
      <w:r w:rsidR="009A3804" w:rsidRPr="00942C19">
        <w:t>Licensee</w:t>
      </w:r>
      <w:r w:rsidRPr="00942C19">
        <w:t xml:space="preserve">’s submission of power purchased from State Thermal and Hydro Generating Stations for FY 2013- 14 is given in </w:t>
      </w:r>
      <w:fldSimple w:instr=" REF _Ref325470084 \h  \* MERGEFORMAT ">
        <w:r w:rsidR="00984AA4" w:rsidRPr="00942C19">
          <w:t xml:space="preserve">Table </w:t>
        </w:r>
        <w:r w:rsidR="00984AA4" w:rsidRPr="00942C19">
          <w:rPr>
            <w:noProof/>
          </w:rPr>
          <w:t>4</w:t>
        </w:r>
        <w:r w:rsidR="00984AA4" w:rsidRPr="00942C19">
          <w:rPr>
            <w:noProof/>
          </w:rPr>
          <w:noBreakHyphen/>
          <w:t>8</w:t>
        </w:r>
      </w:fldSimple>
      <w:r w:rsidRPr="00942C19">
        <w:t xml:space="preserve"> and </w:t>
      </w:r>
      <w:fldSimple w:instr=" REF _Ref325470108 \h  \* MERGEFORMAT ">
        <w:r w:rsidR="00984AA4" w:rsidRPr="00942C19">
          <w:t xml:space="preserve">Table </w:t>
        </w:r>
        <w:r w:rsidR="00984AA4" w:rsidRPr="00942C19">
          <w:rPr>
            <w:noProof/>
          </w:rPr>
          <w:t>4</w:t>
        </w:r>
        <w:r w:rsidR="00984AA4" w:rsidRPr="00942C19">
          <w:rPr>
            <w:noProof/>
          </w:rPr>
          <w:noBreakHyphen/>
          <w:t>9</w:t>
        </w:r>
      </w:fldSimple>
      <w:r w:rsidRPr="00942C19">
        <w:t xml:space="preserve"> below:</w:t>
      </w:r>
    </w:p>
    <w:p w:rsidR="00825862" w:rsidRPr="00942C19" w:rsidRDefault="00825862" w:rsidP="00825862">
      <w:pPr>
        <w:pStyle w:val="Heading4"/>
        <w:numPr>
          <w:ilvl w:val="0"/>
          <w:numId w:val="0"/>
        </w:numPr>
        <w:ind w:left="864"/>
      </w:pPr>
    </w:p>
    <w:p w:rsidR="00222C32" w:rsidRPr="00942C19" w:rsidRDefault="00222C32" w:rsidP="00222C32">
      <w:pPr>
        <w:pStyle w:val="Caption"/>
        <w:keepNext/>
        <w:spacing w:before="0"/>
        <w:jc w:val="center"/>
      </w:pPr>
      <w:bookmarkStart w:id="491" w:name="_Ref325470084"/>
      <w:bookmarkStart w:id="492" w:name="_Toc357719702"/>
      <w:bookmarkStart w:id="493" w:name="_Toc325475660"/>
      <w:bookmarkStart w:id="494" w:name="_Toc338310675"/>
      <w:bookmarkStart w:id="495" w:name="_Toc338419505"/>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8</w:t>
      </w:r>
      <w:r w:rsidR="000C642E" w:rsidRPr="00942C19">
        <w:fldChar w:fldCharType="end"/>
      </w:r>
      <w:bookmarkEnd w:id="491"/>
      <w:r w:rsidRPr="00942C19">
        <w:t>: DETAILS OF POWER PURCHASE COST FROM UPRUVNL STATIONS</w:t>
      </w:r>
      <w:r w:rsidR="00777CFB" w:rsidRPr="00942C19">
        <w:t xml:space="preserve"> FOR FY2013-14 - PETITION</w:t>
      </w:r>
      <w:bookmarkEnd w:id="492"/>
    </w:p>
    <w:tbl>
      <w:tblPr>
        <w:tblW w:w="5664"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51"/>
        <w:gridCol w:w="1131"/>
        <w:gridCol w:w="851"/>
        <w:gridCol w:w="711"/>
        <w:gridCol w:w="1133"/>
        <w:gridCol w:w="709"/>
        <w:gridCol w:w="992"/>
        <w:gridCol w:w="709"/>
        <w:gridCol w:w="992"/>
        <w:gridCol w:w="986"/>
      </w:tblGrid>
      <w:tr w:rsidR="009354AE" w:rsidRPr="00942C19" w:rsidTr="009354AE">
        <w:trPr>
          <w:trHeight w:val="600"/>
        </w:trPr>
        <w:tc>
          <w:tcPr>
            <w:tcW w:w="919" w:type="pct"/>
            <w:vMerge w:val="restart"/>
            <w:shd w:val="clear" w:color="000000" w:fill="DBE5F1"/>
            <w:vAlign w:val="center"/>
            <w:hideMark/>
          </w:tcPr>
          <w:bookmarkEnd w:id="493"/>
          <w:bookmarkEnd w:id="494"/>
          <w:bookmarkEnd w:id="495"/>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62"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423"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16"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845"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845"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491" w:type="pct"/>
            <w:shd w:val="clear" w:color="000000" w:fill="DBE5F1"/>
            <w:vAlign w:val="center"/>
            <w:hideMark/>
          </w:tcPr>
          <w:p w:rsidR="00D47B3B" w:rsidRPr="00942C19" w:rsidRDefault="00921892">
            <w:pPr>
              <w:spacing w:before="0" w:line="240" w:lineRule="auto"/>
              <w:jc w:val="center"/>
              <w:rPr>
                <w:rFonts w:cs="Calibri"/>
                <w:b/>
                <w:bCs/>
                <w:sz w:val="22"/>
                <w:szCs w:val="22"/>
                <w:lang w:val="en-IN" w:eastAsia="en-IN"/>
              </w:rPr>
            </w:pPr>
            <w:r w:rsidRPr="00942C19">
              <w:rPr>
                <w:rFonts w:cs="Calibri"/>
                <w:b/>
                <w:bCs/>
                <w:sz w:val="22"/>
                <w:szCs w:val="22"/>
                <w:lang w:val="en-IN" w:eastAsia="en-IN"/>
              </w:rPr>
              <w:t>Av</w:t>
            </w:r>
            <w:r w:rsidR="009354AE" w:rsidRPr="00942C19">
              <w:rPr>
                <w:rFonts w:cs="Calibri"/>
                <w:b/>
                <w:bCs/>
                <w:sz w:val="22"/>
                <w:szCs w:val="22"/>
                <w:lang w:val="en-IN" w:eastAsia="en-IN"/>
              </w:rPr>
              <w:t xml:space="preserve">erage </w:t>
            </w:r>
            <w:r w:rsidRPr="00942C19">
              <w:rPr>
                <w:rFonts w:cs="Calibri"/>
                <w:b/>
                <w:bCs/>
                <w:sz w:val="22"/>
                <w:szCs w:val="22"/>
                <w:lang w:val="en-IN" w:eastAsia="en-IN"/>
              </w:rPr>
              <w:t>Cost</w:t>
            </w:r>
          </w:p>
        </w:tc>
      </w:tr>
      <w:tr w:rsidR="009354AE" w:rsidRPr="00942C19" w:rsidTr="009354AE">
        <w:trPr>
          <w:trHeight w:val="600"/>
        </w:trPr>
        <w:tc>
          <w:tcPr>
            <w:tcW w:w="919"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562"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23"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353"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63"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52"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93"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52"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93"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91"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Anpara A</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630</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4004</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0.60</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239.50</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1.62</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650.61</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2.22</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890.11</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2.22</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Anpara B</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1000</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6333</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1.14</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723.14</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1.45</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917.07</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2.59</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1640.20</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2.59</w:t>
            </w:r>
          </w:p>
        </w:tc>
      </w:tr>
      <w:tr w:rsidR="009354AE" w:rsidRPr="00942C19" w:rsidTr="009354AE">
        <w:trPr>
          <w:trHeight w:val="300"/>
        </w:trPr>
        <w:tc>
          <w:tcPr>
            <w:tcW w:w="919" w:type="pct"/>
            <w:shd w:val="clear" w:color="auto" w:fill="auto"/>
            <w:hideMark/>
          </w:tcPr>
          <w:p w:rsidR="00921892" w:rsidRPr="00942C19" w:rsidRDefault="007C4D9D" w:rsidP="00921892">
            <w:pPr>
              <w:spacing w:before="0" w:line="240" w:lineRule="auto"/>
              <w:rPr>
                <w:rFonts w:cs="Calibri"/>
                <w:sz w:val="22"/>
                <w:szCs w:val="22"/>
                <w:lang w:val="en-IN" w:eastAsia="en-IN"/>
              </w:rPr>
            </w:pPr>
            <w:r w:rsidRPr="00942C19">
              <w:rPr>
                <w:rFonts w:cs="Calibri"/>
                <w:sz w:val="22"/>
                <w:szCs w:val="22"/>
                <w:lang w:val="en-IN" w:eastAsia="en-IN"/>
              </w:rPr>
              <w:t>Harduaganj</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165</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796</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2.97</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236.52</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3.58</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285.02</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6.55</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521.54</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6.55</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Obra A</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288</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1038</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1.88</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195.65</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222.46</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4.03</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418.12</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4.03</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Obra B</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1016</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2794</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1.47</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411.11</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1.99</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555.42</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3.46</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966.53</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3.46</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Panki</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210</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1050</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1.41</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147.74</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3.55</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372.87</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4.96</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520.60</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4.96</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Parichha</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220</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805</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1.52</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122.65</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3.41</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274.13</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4.93</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396.78</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4.93</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Parichha Extn.</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420</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2526</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1.54</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388.02</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2.79</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705.78</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4.33</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1093.80</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4.33</w:t>
            </w:r>
          </w:p>
        </w:tc>
      </w:tr>
      <w:tr w:rsidR="009354AE" w:rsidRPr="00942C19" w:rsidTr="009354AE">
        <w:trPr>
          <w:trHeight w:val="900"/>
        </w:trPr>
        <w:tc>
          <w:tcPr>
            <w:tcW w:w="919"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Parichha Extn. Stage II (2X250MW)</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500</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2405</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2.23</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536.62</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2.82</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677.94</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5.05</w:t>
            </w:r>
          </w:p>
        </w:tc>
        <w:tc>
          <w:tcPr>
            <w:tcW w:w="493" w:type="pct"/>
            <w:shd w:val="clear" w:color="auto" w:fill="auto"/>
            <w:vAlign w:val="center"/>
            <w:hideMark/>
          </w:tcPr>
          <w:p w:rsidR="00D47B3B" w:rsidRPr="00942C19" w:rsidRDefault="00921892">
            <w:pPr>
              <w:spacing w:before="0" w:line="240" w:lineRule="auto"/>
              <w:jc w:val="center"/>
              <w:rPr>
                <w:rFonts w:cs="Calibri"/>
                <w:sz w:val="22"/>
                <w:szCs w:val="22"/>
                <w:lang w:val="en-IN" w:eastAsia="en-IN"/>
              </w:rPr>
            </w:pPr>
            <w:r w:rsidRPr="00942C19">
              <w:rPr>
                <w:rFonts w:cs="Calibri"/>
                <w:sz w:val="22"/>
                <w:szCs w:val="22"/>
                <w:lang w:val="en-IN" w:eastAsia="en-IN"/>
              </w:rPr>
              <w:t>1214.56</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5.05</w:t>
            </w:r>
          </w:p>
        </w:tc>
      </w:tr>
      <w:tr w:rsidR="009354AE" w:rsidRPr="00942C19" w:rsidTr="009354AE">
        <w:trPr>
          <w:trHeight w:val="600"/>
        </w:trPr>
        <w:tc>
          <w:tcPr>
            <w:tcW w:w="919"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Harduaganj Ext. (2X250MW)</w:t>
            </w:r>
          </w:p>
        </w:tc>
        <w:tc>
          <w:tcPr>
            <w:tcW w:w="56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500</w:t>
            </w:r>
          </w:p>
        </w:tc>
        <w:tc>
          <w:tcPr>
            <w:tcW w:w="42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2344</w:t>
            </w:r>
          </w:p>
        </w:tc>
        <w:tc>
          <w:tcPr>
            <w:tcW w:w="35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2.47</w:t>
            </w:r>
          </w:p>
        </w:tc>
        <w:tc>
          <w:tcPr>
            <w:tcW w:w="56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579.73</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2.76</w:t>
            </w:r>
          </w:p>
        </w:tc>
        <w:tc>
          <w:tcPr>
            <w:tcW w:w="49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647.30</w:t>
            </w:r>
          </w:p>
        </w:tc>
        <w:tc>
          <w:tcPr>
            <w:tcW w:w="35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5.24</w:t>
            </w:r>
          </w:p>
        </w:tc>
        <w:tc>
          <w:tcPr>
            <w:tcW w:w="493" w:type="pct"/>
            <w:shd w:val="clear" w:color="auto" w:fill="auto"/>
            <w:vAlign w:val="center"/>
            <w:hideMark/>
          </w:tcPr>
          <w:p w:rsidR="00D47B3B" w:rsidRPr="00942C19" w:rsidRDefault="00921892">
            <w:pPr>
              <w:spacing w:before="0" w:line="240" w:lineRule="auto"/>
              <w:jc w:val="center"/>
              <w:rPr>
                <w:rFonts w:cs="Calibri"/>
                <w:sz w:val="22"/>
                <w:szCs w:val="22"/>
                <w:lang w:val="en-IN" w:eastAsia="en-IN"/>
              </w:rPr>
            </w:pPr>
            <w:r w:rsidRPr="00942C19">
              <w:rPr>
                <w:rFonts w:cs="Calibri"/>
                <w:sz w:val="22"/>
                <w:szCs w:val="22"/>
                <w:lang w:val="en-IN" w:eastAsia="en-IN"/>
              </w:rPr>
              <w:t>1227.03</w:t>
            </w:r>
          </w:p>
        </w:tc>
        <w:tc>
          <w:tcPr>
            <w:tcW w:w="4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5.24</w:t>
            </w:r>
          </w:p>
        </w:tc>
      </w:tr>
      <w:tr w:rsidR="009354AE" w:rsidRPr="00942C19" w:rsidTr="009354AE">
        <w:trPr>
          <w:trHeight w:val="300"/>
        </w:trPr>
        <w:tc>
          <w:tcPr>
            <w:tcW w:w="919" w:type="pct"/>
            <w:shd w:val="clear" w:color="auto" w:fill="auto"/>
            <w:hideMark/>
          </w:tcPr>
          <w:p w:rsidR="00921892" w:rsidRPr="00942C19" w:rsidRDefault="00921892" w:rsidP="00921892">
            <w:pPr>
              <w:spacing w:before="0" w:line="240" w:lineRule="auto"/>
              <w:rPr>
                <w:rFonts w:cs="Calibri"/>
                <w:b/>
                <w:bCs/>
                <w:sz w:val="22"/>
                <w:szCs w:val="22"/>
                <w:lang w:val="en-IN" w:eastAsia="en-IN"/>
              </w:rPr>
            </w:pPr>
            <w:r w:rsidRPr="00942C19">
              <w:rPr>
                <w:rFonts w:cs="Calibri"/>
                <w:b/>
                <w:bCs/>
                <w:sz w:val="22"/>
                <w:szCs w:val="22"/>
                <w:lang w:val="en-IN" w:eastAsia="en-IN"/>
              </w:rPr>
              <w:t>Total</w:t>
            </w:r>
          </w:p>
        </w:tc>
        <w:tc>
          <w:tcPr>
            <w:tcW w:w="562"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4949</w:t>
            </w:r>
          </w:p>
        </w:tc>
        <w:tc>
          <w:tcPr>
            <w:tcW w:w="423"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24094</w:t>
            </w:r>
          </w:p>
        </w:tc>
        <w:tc>
          <w:tcPr>
            <w:tcW w:w="353"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63"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3580.68</w:t>
            </w:r>
          </w:p>
        </w:tc>
        <w:tc>
          <w:tcPr>
            <w:tcW w:w="352"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93"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5308.59</w:t>
            </w:r>
          </w:p>
        </w:tc>
        <w:tc>
          <w:tcPr>
            <w:tcW w:w="352"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93"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8889.27</w:t>
            </w:r>
          </w:p>
        </w:tc>
        <w:tc>
          <w:tcPr>
            <w:tcW w:w="491"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3.69</w:t>
            </w:r>
          </w:p>
        </w:tc>
      </w:tr>
    </w:tbl>
    <w:p w:rsidR="00222C32" w:rsidRPr="00942C19" w:rsidRDefault="00222C32" w:rsidP="00222C32">
      <w:pPr>
        <w:jc w:val="center"/>
      </w:pPr>
    </w:p>
    <w:p w:rsidR="00B736BC" w:rsidRPr="00942C19" w:rsidRDefault="00222C32">
      <w:pPr>
        <w:pStyle w:val="Caption"/>
        <w:keepNext/>
        <w:spacing w:before="0"/>
        <w:jc w:val="center"/>
      </w:pPr>
      <w:bookmarkStart w:id="496" w:name="_Ref325470108"/>
      <w:bookmarkStart w:id="497" w:name="_Toc325475661"/>
      <w:bookmarkStart w:id="498" w:name="_Toc338310676"/>
      <w:bookmarkStart w:id="499" w:name="_Toc338419506"/>
      <w:bookmarkStart w:id="500" w:name="_Toc357719703"/>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9</w:t>
      </w:r>
      <w:r w:rsidR="000C642E" w:rsidRPr="00942C19">
        <w:fldChar w:fldCharType="end"/>
      </w:r>
      <w:bookmarkEnd w:id="496"/>
      <w:r w:rsidRPr="00942C19">
        <w:t>: DETAILS OF POWER PURCHASE COST FROM UPJVNL STATIONS</w:t>
      </w:r>
      <w:r w:rsidR="00777CFB" w:rsidRPr="00942C19">
        <w:t xml:space="preserve"> </w:t>
      </w:r>
      <w:r w:rsidRPr="00942C19">
        <w:t>FOR FY 2013-14 - PETITION</w:t>
      </w:r>
      <w:bookmarkEnd w:id="497"/>
      <w:bookmarkEnd w:id="498"/>
      <w:bookmarkEnd w:id="499"/>
      <w:bookmarkEnd w:id="500"/>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70"/>
        <w:gridCol w:w="1062"/>
        <w:gridCol w:w="591"/>
        <w:gridCol w:w="718"/>
        <w:gridCol w:w="870"/>
        <w:gridCol w:w="718"/>
        <w:gridCol w:w="915"/>
        <w:gridCol w:w="708"/>
        <w:gridCol w:w="966"/>
        <w:gridCol w:w="967"/>
      </w:tblGrid>
      <w:tr w:rsidR="00921892" w:rsidRPr="00942C19" w:rsidTr="009354AE">
        <w:trPr>
          <w:trHeight w:val="600"/>
          <w:tblHeader/>
        </w:trPr>
        <w:tc>
          <w:tcPr>
            <w:tcW w:w="786"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35"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348"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24"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949"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971"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487"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921892" w:rsidRPr="00942C19" w:rsidTr="009354AE">
        <w:trPr>
          <w:trHeight w:val="600"/>
          <w:tblHeader/>
        </w:trPr>
        <w:tc>
          <w:tcPr>
            <w:tcW w:w="786"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535"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348"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19"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05"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19"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29"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10"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61"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87"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921892" w:rsidRPr="00942C19" w:rsidTr="00921892">
        <w:trPr>
          <w:trHeight w:val="300"/>
        </w:trPr>
        <w:tc>
          <w:tcPr>
            <w:tcW w:w="786"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Khara</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58</w:t>
            </w:r>
          </w:p>
        </w:tc>
        <w:tc>
          <w:tcPr>
            <w:tcW w:w="34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208</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1.04</w:t>
            </w:r>
          </w:p>
        </w:tc>
        <w:tc>
          <w:tcPr>
            <w:tcW w:w="50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21.69</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2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1.04</w:t>
            </w:r>
          </w:p>
        </w:tc>
        <w:tc>
          <w:tcPr>
            <w:tcW w:w="56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21.69</w:t>
            </w:r>
          </w:p>
        </w:tc>
        <w:tc>
          <w:tcPr>
            <w:tcW w:w="4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1.04</w:t>
            </w:r>
          </w:p>
        </w:tc>
      </w:tr>
      <w:tr w:rsidR="00921892" w:rsidRPr="00942C19" w:rsidTr="00921892">
        <w:trPr>
          <w:trHeight w:val="300"/>
        </w:trPr>
        <w:tc>
          <w:tcPr>
            <w:tcW w:w="786"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Matatila</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20</w:t>
            </w:r>
          </w:p>
        </w:tc>
        <w:tc>
          <w:tcPr>
            <w:tcW w:w="34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67</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0.81</w:t>
            </w:r>
          </w:p>
        </w:tc>
        <w:tc>
          <w:tcPr>
            <w:tcW w:w="50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5.43</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2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0.81</w:t>
            </w:r>
          </w:p>
        </w:tc>
        <w:tc>
          <w:tcPr>
            <w:tcW w:w="56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5.43</w:t>
            </w:r>
          </w:p>
        </w:tc>
        <w:tc>
          <w:tcPr>
            <w:tcW w:w="4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0.81</w:t>
            </w:r>
          </w:p>
        </w:tc>
      </w:tr>
      <w:tr w:rsidR="00921892" w:rsidRPr="00942C19" w:rsidTr="00921892">
        <w:trPr>
          <w:trHeight w:val="300"/>
        </w:trPr>
        <w:tc>
          <w:tcPr>
            <w:tcW w:w="786"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Obra (Hydel)</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99</w:t>
            </w:r>
          </w:p>
        </w:tc>
        <w:tc>
          <w:tcPr>
            <w:tcW w:w="34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175</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0.99</w:t>
            </w:r>
          </w:p>
        </w:tc>
        <w:tc>
          <w:tcPr>
            <w:tcW w:w="50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17.27</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2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0.99</w:t>
            </w:r>
          </w:p>
        </w:tc>
        <w:tc>
          <w:tcPr>
            <w:tcW w:w="56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17.27</w:t>
            </w:r>
          </w:p>
        </w:tc>
        <w:tc>
          <w:tcPr>
            <w:tcW w:w="4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0.99</w:t>
            </w:r>
          </w:p>
        </w:tc>
      </w:tr>
      <w:tr w:rsidR="00921892" w:rsidRPr="00942C19" w:rsidTr="00921892">
        <w:trPr>
          <w:trHeight w:val="300"/>
        </w:trPr>
        <w:tc>
          <w:tcPr>
            <w:tcW w:w="786"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Rihand</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255</w:t>
            </w:r>
          </w:p>
        </w:tc>
        <w:tc>
          <w:tcPr>
            <w:tcW w:w="34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417</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1.01</w:t>
            </w:r>
          </w:p>
        </w:tc>
        <w:tc>
          <w:tcPr>
            <w:tcW w:w="50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42.20</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2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1.01</w:t>
            </w:r>
          </w:p>
        </w:tc>
        <w:tc>
          <w:tcPr>
            <w:tcW w:w="56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42.20</w:t>
            </w:r>
          </w:p>
        </w:tc>
        <w:tc>
          <w:tcPr>
            <w:tcW w:w="4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1.01</w:t>
            </w:r>
          </w:p>
        </w:tc>
      </w:tr>
      <w:tr w:rsidR="00921892" w:rsidRPr="00942C19" w:rsidTr="00921892">
        <w:trPr>
          <w:trHeight w:val="600"/>
        </w:trPr>
        <w:tc>
          <w:tcPr>
            <w:tcW w:w="786"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UGC Power Stations</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w:t>
            </w:r>
          </w:p>
        </w:tc>
        <w:tc>
          <w:tcPr>
            <w:tcW w:w="34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2.64</w:t>
            </w:r>
          </w:p>
        </w:tc>
        <w:tc>
          <w:tcPr>
            <w:tcW w:w="50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6.61</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2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2.64</w:t>
            </w:r>
          </w:p>
        </w:tc>
        <w:tc>
          <w:tcPr>
            <w:tcW w:w="56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6.61</w:t>
            </w:r>
          </w:p>
        </w:tc>
        <w:tc>
          <w:tcPr>
            <w:tcW w:w="4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2.64</w:t>
            </w:r>
          </w:p>
        </w:tc>
      </w:tr>
      <w:tr w:rsidR="00921892" w:rsidRPr="00942C19" w:rsidTr="00921892">
        <w:trPr>
          <w:trHeight w:val="300"/>
        </w:trPr>
        <w:tc>
          <w:tcPr>
            <w:tcW w:w="786"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Belka &amp; Babail</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w:t>
            </w:r>
          </w:p>
        </w:tc>
        <w:tc>
          <w:tcPr>
            <w:tcW w:w="34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0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2.25</w:t>
            </w:r>
          </w:p>
        </w:tc>
        <w:tc>
          <w:tcPr>
            <w:tcW w:w="52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2.48</w:t>
            </w:r>
          </w:p>
        </w:tc>
        <w:tc>
          <w:tcPr>
            <w:tcW w:w="41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2.25</w:t>
            </w:r>
          </w:p>
        </w:tc>
        <w:tc>
          <w:tcPr>
            <w:tcW w:w="56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2.48</w:t>
            </w:r>
          </w:p>
        </w:tc>
        <w:tc>
          <w:tcPr>
            <w:tcW w:w="4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2.25</w:t>
            </w:r>
          </w:p>
        </w:tc>
      </w:tr>
      <w:tr w:rsidR="00921892" w:rsidRPr="00942C19" w:rsidTr="00921892">
        <w:trPr>
          <w:trHeight w:val="300"/>
        </w:trPr>
        <w:tc>
          <w:tcPr>
            <w:tcW w:w="786"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Sheetla</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w:t>
            </w:r>
          </w:p>
        </w:tc>
        <w:tc>
          <w:tcPr>
            <w:tcW w:w="34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0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2.81</w:t>
            </w:r>
          </w:p>
        </w:tc>
        <w:tc>
          <w:tcPr>
            <w:tcW w:w="52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2.68</w:t>
            </w:r>
          </w:p>
        </w:tc>
        <w:tc>
          <w:tcPr>
            <w:tcW w:w="41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2.81</w:t>
            </w:r>
          </w:p>
        </w:tc>
        <w:tc>
          <w:tcPr>
            <w:tcW w:w="56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2.68</w:t>
            </w:r>
          </w:p>
        </w:tc>
        <w:tc>
          <w:tcPr>
            <w:tcW w:w="4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2.81</w:t>
            </w:r>
          </w:p>
        </w:tc>
      </w:tr>
      <w:tr w:rsidR="00921892" w:rsidRPr="00942C19" w:rsidTr="00921892">
        <w:trPr>
          <w:trHeight w:val="300"/>
        </w:trPr>
        <w:tc>
          <w:tcPr>
            <w:tcW w:w="786" w:type="pct"/>
            <w:shd w:val="clear" w:color="auto" w:fill="auto"/>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535"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457</w:t>
            </w:r>
          </w:p>
        </w:tc>
        <w:tc>
          <w:tcPr>
            <w:tcW w:w="348"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912</w:t>
            </w:r>
          </w:p>
        </w:tc>
        <w:tc>
          <w:tcPr>
            <w:tcW w:w="419"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05"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93.20</w:t>
            </w:r>
          </w:p>
        </w:tc>
        <w:tc>
          <w:tcPr>
            <w:tcW w:w="419"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29"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5.15</w:t>
            </w:r>
          </w:p>
        </w:tc>
        <w:tc>
          <w:tcPr>
            <w:tcW w:w="410"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61"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98.35</w:t>
            </w:r>
          </w:p>
        </w:tc>
        <w:tc>
          <w:tcPr>
            <w:tcW w:w="487"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1.08</w:t>
            </w:r>
          </w:p>
        </w:tc>
      </w:tr>
    </w:tbl>
    <w:p w:rsidR="00222C32" w:rsidRPr="00942C19" w:rsidRDefault="00222C32" w:rsidP="00222C32">
      <w:pPr>
        <w:pStyle w:val="Heading3"/>
        <w:numPr>
          <w:ilvl w:val="0"/>
          <w:numId w:val="0"/>
        </w:numPr>
        <w:tabs>
          <w:tab w:val="clear" w:pos="720"/>
          <w:tab w:val="left" w:pos="864"/>
        </w:tabs>
        <w:jc w:val="center"/>
      </w:pPr>
    </w:p>
    <w:p w:rsidR="00222C32" w:rsidRPr="00942C19" w:rsidRDefault="00222C32" w:rsidP="00222C32">
      <w:pPr>
        <w:pStyle w:val="Heading3"/>
        <w:numPr>
          <w:ilvl w:val="2"/>
          <w:numId w:val="1"/>
        </w:numPr>
        <w:spacing w:before="0"/>
        <w:rPr>
          <w:b/>
        </w:rPr>
      </w:pPr>
      <w:r w:rsidRPr="00942C19">
        <w:rPr>
          <w:b/>
        </w:rPr>
        <w:t>The Commission’s Analysis:</w:t>
      </w:r>
    </w:p>
    <w:p w:rsidR="00222C32" w:rsidRPr="00942C19" w:rsidRDefault="00222C32" w:rsidP="00D05C4B">
      <w:pPr>
        <w:pStyle w:val="Heading4"/>
      </w:pPr>
      <w:r w:rsidRPr="00942C19">
        <w:t xml:space="preserve">The assumptions considered by Commission while approving the power purchase from the State owned thermal generating stations </w:t>
      </w:r>
      <w:r w:rsidR="006A3988" w:rsidRPr="00942C19">
        <w:t xml:space="preserve">and Hydro stations </w:t>
      </w:r>
      <w:r w:rsidRPr="00942C19">
        <w:t xml:space="preserve">are given </w:t>
      </w:r>
      <w:r w:rsidR="00C8350E" w:rsidRPr="00942C19">
        <w:t xml:space="preserve">below </w:t>
      </w:r>
      <w:r w:rsidRPr="00942C19">
        <w:t xml:space="preserve">in </w:t>
      </w:r>
      <w:fldSimple w:instr=" REF _Ref325470159 \h  \* MERGEFORMAT ">
        <w:r w:rsidR="00984AA4" w:rsidRPr="00942C19">
          <w:t xml:space="preserve">Table </w:t>
        </w:r>
        <w:r w:rsidR="00984AA4" w:rsidRPr="00942C19">
          <w:rPr>
            <w:noProof/>
          </w:rPr>
          <w:t>4</w:t>
        </w:r>
        <w:r w:rsidR="00984AA4" w:rsidRPr="00942C19">
          <w:rPr>
            <w:noProof/>
          </w:rPr>
          <w:noBreakHyphen/>
          <w:t>10</w:t>
        </w:r>
      </w:fldSimple>
      <w:r w:rsidRPr="00942C19">
        <w:t xml:space="preserve"> </w:t>
      </w:r>
      <w:r w:rsidR="006A3988" w:rsidRPr="00942C19">
        <w:t>and Table 4-11 respectively</w:t>
      </w:r>
      <w:r w:rsidRPr="00942C19">
        <w:t>:</w:t>
      </w:r>
    </w:p>
    <w:p w:rsidR="00A44CA7" w:rsidRPr="00942C19" w:rsidRDefault="00222C32">
      <w:pPr>
        <w:pStyle w:val="Caption"/>
        <w:keepNext/>
        <w:jc w:val="center"/>
      </w:pPr>
      <w:bookmarkStart w:id="501" w:name="_Ref325470159"/>
      <w:bookmarkStart w:id="502" w:name="_Toc325475662"/>
      <w:bookmarkStart w:id="503" w:name="_Toc338310677"/>
      <w:bookmarkStart w:id="504" w:name="_Toc338419507"/>
      <w:bookmarkStart w:id="505" w:name="_Toc357719704"/>
      <w:r w:rsidRPr="00942C19">
        <w:t xml:space="preserve">Table </w:t>
      </w:r>
      <w:r w:rsidR="000C642E" w:rsidRPr="00942C19">
        <w:rPr>
          <w:b w:val="0"/>
          <w:bCs w:val="0"/>
        </w:rPr>
        <w:fldChar w:fldCharType="begin"/>
      </w:r>
      <w:r w:rsidRPr="00942C19">
        <w:instrText xml:space="preserve"> STYLEREF 1 \s </w:instrText>
      </w:r>
      <w:r w:rsidR="000C642E" w:rsidRPr="00942C19">
        <w:rPr>
          <w:b w:val="0"/>
          <w:bCs w:val="0"/>
        </w:rPr>
        <w:fldChar w:fldCharType="separate"/>
      </w:r>
      <w:r w:rsidR="00984AA4" w:rsidRPr="00942C19">
        <w:rPr>
          <w:noProof/>
        </w:rPr>
        <w:t>4</w:t>
      </w:r>
      <w:r w:rsidR="000C642E" w:rsidRPr="00942C19">
        <w:rPr>
          <w:b w:val="0"/>
          <w:bCs w:val="0"/>
        </w:rPr>
        <w:fldChar w:fldCharType="end"/>
      </w:r>
      <w:r w:rsidRPr="00942C19">
        <w:noBreakHyphen/>
      </w:r>
      <w:r w:rsidR="000C642E" w:rsidRPr="00942C19">
        <w:rPr>
          <w:b w:val="0"/>
          <w:bCs w:val="0"/>
        </w:rPr>
        <w:fldChar w:fldCharType="begin"/>
      </w:r>
      <w:r w:rsidRPr="00942C19">
        <w:instrText xml:space="preserve"> SEQ Table \* ARABIC \s 1 </w:instrText>
      </w:r>
      <w:r w:rsidR="000C642E" w:rsidRPr="00942C19">
        <w:rPr>
          <w:b w:val="0"/>
          <w:bCs w:val="0"/>
        </w:rPr>
        <w:fldChar w:fldCharType="separate"/>
      </w:r>
      <w:r w:rsidR="00984AA4" w:rsidRPr="00942C19">
        <w:rPr>
          <w:noProof/>
        </w:rPr>
        <w:t>10</w:t>
      </w:r>
      <w:r w:rsidR="000C642E" w:rsidRPr="00942C19">
        <w:rPr>
          <w:b w:val="0"/>
          <w:bCs w:val="0"/>
        </w:rPr>
        <w:fldChar w:fldCharType="end"/>
      </w:r>
      <w:bookmarkEnd w:id="501"/>
      <w:r w:rsidRPr="00942C19">
        <w:t xml:space="preserve">: ASSUMPTIONS FOR POWER PURCHASE FROM UPRVUNL - FY </w:t>
      </w:r>
      <w:bookmarkEnd w:id="502"/>
      <w:bookmarkEnd w:id="503"/>
      <w:bookmarkEnd w:id="504"/>
      <w:r w:rsidRPr="00942C19">
        <w:t>2013-14</w:t>
      </w:r>
      <w:bookmarkEnd w:id="505"/>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942C19" w:rsidTr="00921892">
        <w:trPr>
          <w:trHeight w:val="311"/>
        </w:trPr>
        <w:tc>
          <w:tcPr>
            <w:tcW w:w="322" w:type="pct"/>
            <w:shd w:val="clear" w:color="000000" w:fill="DBE5F1"/>
            <w:noWrap/>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S. No.</w:t>
            </w:r>
          </w:p>
        </w:tc>
        <w:tc>
          <w:tcPr>
            <w:tcW w:w="1497" w:type="pct"/>
            <w:shd w:val="clear" w:color="000000" w:fill="DBE5F1"/>
            <w:noWrap/>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Particulars</w:t>
            </w:r>
          </w:p>
        </w:tc>
        <w:tc>
          <w:tcPr>
            <w:tcW w:w="3182" w:type="pct"/>
            <w:shd w:val="clear" w:color="000000" w:fill="DBE5F1"/>
            <w:noWrap/>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Assumption</w:t>
            </w:r>
          </w:p>
        </w:tc>
      </w:tr>
      <w:tr w:rsidR="00921892" w:rsidRPr="00942C19" w:rsidTr="00921892">
        <w:trPr>
          <w:trHeight w:val="300"/>
        </w:trPr>
        <w:tc>
          <w:tcPr>
            <w:tcW w:w="322" w:type="pct"/>
            <w:vMerge w:val="restart"/>
            <w:shd w:val="clear" w:color="auto" w:fill="auto"/>
            <w:noWrap/>
            <w:hideMark/>
          </w:tcPr>
          <w:p w:rsidR="00921892" w:rsidRPr="00942C19" w:rsidRDefault="00921892" w:rsidP="00921892">
            <w:pPr>
              <w:spacing w:before="0" w:line="240" w:lineRule="auto"/>
              <w:contextualSpacing/>
              <w:jc w:val="center"/>
              <w:rPr>
                <w:rFonts w:cs="Calibri"/>
                <w:sz w:val="22"/>
                <w:szCs w:val="22"/>
                <w:lang w:val="en-IN" w:eastAsia="en-IN"/>
              </w:rPr>
            </w:pPr>
            <w:r w:rsidRPr="00942C19">
              <w:rPr>
                <w:rFonts w:cs="Calibri"/>
                <w:sz w:val="22"/>
                <w:szCs w:val="22"/>
                <w:lang w:val="en-IN" w:eastAsia="en-IN"/>
              </w:rPr>
              <w:t>1</w:t>
            </w:r>
          </w:p>
        </w:tc>
        <w:tc>
          <w:tcPr>
            <w:tcW w:w="1497" w:type="pct"/>
            <w:vMerge w:val="restart"/>
            <w:shd w:val="clear" w:color="auto" w:fill="auto"/>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Power Purchase Quantum</w:t>
            </w:r>
          </w:p>
        </w:tc>
        <w:tc>
          <w:tcPr>
            <w:tcW w:w="3182" w:type="pct"/>
            <w:vMerge w:val="restart"/>
            <w:shd w:val="clear" w:color="auto" w:fill="auto"/>
            <w:hideMark/>
          </w:tcPr>
          <w:p w:rsidR="00155FB3" w:rsidRPr="00942C19" w:rsidRDefault="00921892" w:rsidP="00155FB3">
            <w:pPr>
              <w:spacing w:before="0" w:line="240" w:lineRule="auto"/>
              <w:contextualSpacing/>
              <w:rPr>
                <w:rFonts w:cs="Calibri"/>
                <w:b/>
                <w:bCs/>
                <w:color w:val="333399"/>
                <w:kern w:val="32"/>
                <w:sz w:val="22"/>
                <w:szCs w:val="22"/>
                <w:lang w:val="en-IN" w:eastAsia="en-IN"/>
              </w:rPr>
            </w:pPr>
            <w:r w:rsidRPr="00942C19">
              <w:rPr>
                <w:rFonts w:cs="Calibri"/>
                <w:sz w:val="22"/>
                <w:szCs w:val="22"/>
                <w:lang w:val="en-IN" w:eastAsia="en-IN"/>
              </w:rPr>
              <w:t xml:space="preserve">1. Net Power Purchase Quantum is considered as per the </w:t>
            </w:r>
            <w:r w:rsidR="009A3804" w:rsidRPr="00942C19">
              <w:rPr>
                <w:rFonts w:cs="Calibri"/>
                <w:sz w:val="22"/>
                <w:szCs w:val="22"/>
                <w:lang w:val="en-IN" w:eastAsia="en-IN"/>
              </w:rPr>
              <w:t>Licensee</w:t>
            </w:r>
            <w:r w:rsidRPr="00942C19">
              <w:rPr>
                <w:rFonts w:cs="Calibri"/>
                <w:sz w:val="22"/>
                <w:szCs w:val="22"/>
                <w:lang w:val="en-IN" w:eastAsia="en-IN"/>
              </w:rPr>
              <w:t>'s Submission for old power stations, whereas for New Power Stations namely Harduaganj Extn. &amp; Parichha Extn. Stage 2 - UPERC's Review Order dated 20.03.2012 for UPRVUNL for FY 2009-10 to 2013-14 has been considered</w:t>
            </w:r>
            <w:r w:rsidR="00700278" w:rsidRPr="00942C19">
              <w:rPr>
                <w:rFonts w:cs="Calibri"/>
                <w:sz w:val="22"/>
                <w:szCs w:val="22"/>
                <w:lang w:val="en-IN" w:eastAsia="en-IN"/>
              </w:rPr>
              <w:t>.</w:t>
            </w:r>
            <w:r w:rsidRPr="00942C19">
              <w:rPr>
                <w:rFonts w:cs="Calibri"/>
                <w:sz w:val="22"/>
                <w:szCs w:val="22"/>
                <w:lang w:val="en-IN" w:eastAsia="en-IN"/>
              </w:rPr>
              <w:br/>
              <w:t xml:space="preserve">2. Merit Order </w:t>
            </w:r>
            <w:r w:rsidR="00C8350E" w:rsidRPr="00942C19">
              <w:rPr>
                <w:rFonts w:cs="Calibri"/>
                <w:sz w:val="22"/>
                <w:szCs w:val="22"/>
                <w:lang w:val="en-IN" w:eastAsia="en-IN"/>
              </w:rPr>
              <w:t>Dispatch</w:t>
            </w:r>
            <w:r w:rsidRPr="00942C19">
              <w:rPr>
                <w:rFonts w:cs="Calibri"/>
                <w:sz w:val="22"/>
                <w:szCs w:val="22"/>
                <w:lang w:val="en-IN" w:eastAsia="en-IN"/>
              </w:rPr>
              <w:t xml:space="preserve"> is Must-run for approval of quantum.</w:t>
            </w: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222B59">
        <w:trPr>
          <w:trHeight w:val="269"/>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restart"/>
            <w:shd w:val="clear" w:color="auto" w:fill="auto"/>
            <w:noWrap/>
            <w:hideMark/>
          </w:tcPr>
          <w:p w:rsidR="00921892" w:rsidRPr="00942C19" w:rsidRDefault="00921892" w:rsidP="00921892">
            <w:pPr>
              <w:spacing w:before="0" w:line="240" w:lineRule="auto"/>
              <w:contextualSpacing/>
              <w:jc w:val="center"/>
              <w:rPr>
                <w:rFonts w:cs="Calibri"/>
                <w:sz w:val="22"/>
                <w:szCs w:val="22"/>
                <w:lang w:val="en-IN" w:eastAsia="en-IN"/>
              </w:rPr>
            </w:pPr>
            <w:r w:rsidRPr="00942C19">
              <w:rPr>
                <w:rFonts w:cs="Calibri"/>
                <w:sz w:val="22"/>
                <w:szCs w:val="22"/>
                <w:lang w:val="en-IN" w:eastAsia="en-IN"/>
              </w:rPr>
              <w:t>2</w:t>
            </w:r>
          </w:p>
        </w:tc>
        <w:tc>
          <w:tcPr>
            <w:tcW w:w="1497" w:type="pct"/>
            <w:vMerge w:val="restart"/>
            <w:shd w:val="clear" w:color="auto" w:fill="auto"/>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Fixed &amp; Variable Charges</w:t>
            </w:r>
          </w:p>
        </w:tc>
        <w:tc>
          <w:tcPr>
            <w:tcW w:w="3182" w:type="pct"/>
            <w:vMerge w:val="restart"/>
            <w:shd w:val="clear" w:color="auto" w:fill="auto"/>
            <w:hideMark/>
          </w:tcPr>
          <w:p w:rsidR="00155FB3" w:rsidRPr="00942C19" w:rsidRDefault="00921892" w:rsidP="00155FB3">
            <w:pPr>
              <w:spacing w:before="0" w:line="240" w:lineRule="auto"/>
              <w:contextualSpacing/>
              <w:rPr>
                <w:rFonts w:cs="Calibri"/>
                <w:b/>
                <w:bCs/>
                <w:color w:val="333399"/>
                <w:kern w:val="32"/>
                <w:sz w:val="22"/>
                <w:szCs w:val="22"/>
                <w:lang w:val="en-IN" w:eastAsia="en-IN"/>
              </w:rPr>
            </w:pPr>
            <w:r w:rsidRPr="00942C19">
              <w:rPr>
                <w:rFonts w:cs="Calibri"/>
                <w:sz w:val="22"/>
                <w:szCs w:val="22"/>
                <w:lang w:val="en-IN" w:eastAsia="en-IN"/>
              </w:rPr>
              <w:t>As per UPERC's Review Order dated 20.03.2012 for UPRVUNL for FY 2009-10 to 2013-14</w:t>
            </w:r>
            <w:r w:rsidR="00700278" w:rsidRPr="00942C19">
              <w:rPr>
                <w:rFonts w:cs="Calibri"/>
                <w:sz w:val="22"/>
                <w:szCs w:val="22"/>
                <w:lang w:val="en-IN" w:eastAsia="en-IN"/>
              </w:rPr>
              <w:t>.</w:t>
            </w:r>
          </w:p>
        </w:tc>
      </w:tr>
      <w:tr w:rsidR="00921892" w:rsidRPr="00942C19" w:rsidTr="00921892">
        <w:trPr>
          <w:trHeight w:val="269"/>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15"/>
        </w:trPr>
        <w:tc>
          <w:tcPr>
            <w:tcW w:w="322" w:type="pct"/>
            <w:vMerge w:val="restart"/>
            <w:shd w:val="clear" w:color="auto" w:fill="auto"/>
            <w:noWrap/>
            <w:hideMark/>
          </w:tcPr>
          <w:p w:rsidR="00921892" w:rsidRPr="00942C19" w:rsidRDefault="00921892" w:rsidP="00921892">
            <w:pPr>
              <w:spacing w:before="0" w:line="240" w:lineRule="auto"/>
              <w:contextualSpacing/>
              <w:jc w:val="center"/>
              <w:rPr>
                <w:rFonts w:cs="Calibri"/>
                <w:sz w:val="22"/>
                <w:szCs w:val="22"/>
                <w:lang w:val="en-IN" w:eastAsia="en-IN"/>
              </w:rPr>
            </w:pPr>
            <w:r w:rsidRPr="00942C19">
              <w:rPr>
                <w:rFonts w:cs="Calibri"/>
                <w:sz w:val="22"/>
                <w:szCs w:val="22"/>
                <w:lang w:val="en-IN" w:eastAsia="en-IN"/>
              </w:rPr>
              <w:t>3</w:t>
            </w:r>
          </w:p>
        </w:tc>
        <w:tc>
          <w:tcPr>
            <w:tcW w:w="1497" w:type="pct"/>
            <w:vMerge w:val="restart"/>
            <w:shd w:val="clear" w:color="auto" w:fill="auto"/>
            <w:hideMark/>
          </w:tcPr>
          <w:p w:rsidR="00921892" w:rsidRPr="00942C19" w:rsidRDefault="00D31494"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Harduaganj</w:t>
            </w:r>
            <w:r w:rsidR="00921892" w:rsidRPr="00942C19">
              <w:rPr>
                <w:rFonts w:cs="Calibri"/>
                <w:b/>
                <w:bCs/>
                <w:sz w:val="22"/>
                <w:szCs w:val="22"/>
                <w:lang w:val="en-IN" w:eastAsia="en-IN"/>
              </w:rPr>
              <w:t xml:space="preserve"> Extn. U#2 and </w:t>
            </w:r>
            <w:r w:rsidR="00921892" w:rsidRPr="00942C19">
              <w:rPr>
                <w:rFonts w:cs="Calibri"/>
                <w:b/>
                <w:bCs/>
                <w:sz w:val="22"/>
                <w:szCs w:val="22"/>
                <w:lang w:val="en-IN" w:eastAsia="en-IN"/>
              </w:rPr>
              <w:br/>
            </w:r>
            <w:r w:rsidRPr="00942C19">
              <w:rPr>
                <w:rFonts w:cs="Calibri"/>
                <w:b/>
                <w:bCs/>
                <w:sz w:val="22"/>
                <w:szCs w:val="22"/>
                <w:lang w:val="en-IN" w:eastAsia="en-IN"/>
              </w:rPr>
              <w:t>Parichha</w:t>
            </w:r>
            <w:r w:rsidR="00921892" w:rsidRPr="00942C19">
              <w:rPr>
                <w:rFonts w:cs="Calibri"/>
                <w:b/>
                <w:bCs/>
                <w:sz w:val="22"/>
                <w:szCs w:val="22"/>
                <w:lang w:val="en-IN" w:eastAsia="en-IN"/>
              </w:rPr>
              <w:t xml:space="preserve"> Extn. Stage 2 U#2</w:t>
            </w:r>
          </w:p>
        </w:tc>
        <w:tc>
          <w:tcPr>
            <w:tcW w:w="3182" w:type="pct"/>
            <w:vMerge w:val="restart"/>
            <w:shd w:val="clear" w:color="auto" w:fill="auto"/>
            <w:hideMark/>
          </w:tcPr>
          <w:p w:rsidR="00A44CA7" w:rsidRPr="00942C19" w:rsidRDefault="00921892">
            <w:pPr>
              <w:spacing w:before="0" w:line="240" w:lineRule="auto"/>
              <w:contextualSpacing/>
              <w:jc w:val="left"/>
              <w:rPr>
                <w:rFonts w:cs="Calibri"/>
                <w:sz w:val="22"/>
                <w:szCs w:val="22"/>
                <w:lang w:val="en-IN" w:eastAsia="en-IN"/>
              </w:rPr>
            </w:pPr>
            <w:r w:rsidRPr="00942C19">
              <w:rPr>
                <w:rFonts w:cs="Calibri"/>
                <w:sz w:val="22"/>
                <w:szCs w:val="22"/>
                <w:lang w:val="en-IN" w:eastAsia="en-IN"/>
              </w:rPr>
              <w:t xml:space="preserve">1. As per </w:t>
            </w:r>
            <w:r w:rsidR="009A3804" w:rsidRPr="00942C19">
              <w:rPr>
                <w:rFonts w:cs="Calibri"/>
                <w:sz w:val="22"/>
                <w:szCs w:val="22"/>
                <w:lang w:val="en-IN" w:eastAsia="en-IN"/>
              </w:rPr>
              <w:t>Licensee</w:t>
            </w:r>
            <w:r w:rsidRPr="00942C19">
              <w:rPr>
                <w:rFonts w:cs="Calibri"/>
                <w:sz w:val="22"/>
                <w:szCs w:val="22"/>
                <w:lang w:val="en-IN" w:eastAsia="en-IN"/>
              </w:rPr>
              <w:t xml:space="preserve"> Submission</w:t>
            </w:r>
            <w:r w:rsidR="006A3988" w:rsidRPr="00942C19">
              <w:rPr>
                <w:rFonts w:cs="Calibri"/>
                <w:sz w:val="22"/>
                <w:szCs w:val="22"/>
                <w:lang w:val="en-IN" w:eastAsia="en-IN"/>
              </w:rPr>
              <w:t>,</w:t>
            </w:r>
            <w:r w:rsidRPr="00942C19">
              <w:rPr>
                <w:rFonts w:cs="Calibri"/>
                <w:sz w:val="22"/>
                <w:szCs w:val="22"/>
                <w:lang w:val="en-IN" w:eastAsia="en-IN"/>
              </w:rPr>
              <w:t xml:space="preserve"> the Unit </w:t>
            </w:r>
            <w:r w:rsidR="006A3988" w:rsidRPr="00942C19">
              <w:rPr>
                <w:rFonts w:cs="Calibri"/>
                <w:sz w:val="22"/>
                <w:szCs w:val="22"/>
                <w:lang w:val="en-IN" w:eastAsia="en-IN"/>
              </w:rPr>
              <w:t xml:space="preserve">No. </w:t>
            </w:r>
            <w:r w:rsidRPr="00942C19">
              <w:rPr>
                <w:rFonts w:cs="Calibri"/>
                <w:sz w:val="22"/>
                <w:szCs w:val="22"/>
                <w:lang w:val="en-IN" w:eastAsia="en-IN"/>
              </w:rPr>
              <w:t xml:space="preserve">2 </w:t>
            </w:r>
            <w:r w:rsidR="006A3988" w:rsidRPr="00942C19">
              <w:rPr>
                <w:rFonts w:cs="Calibri"/>
                <w:sz w:val="22"/>
                <w:szCs w:val="22"/>
                <w:lang w:val="en-IN" w:eastAsia="en-IN"/>
              </w:rPr>
              <w:t xml:space="preserve">of </w:t>
            </w:r>
            <w:r w:rsidRPr="00942C19">
              <w:rPr>
                <w:rFonts w:cs="Calibri"/>
                <w:sz w:val="22"/>
                <w:szCs w:val="22"/>
                <w:lang w:val="en-IN" w:eastAsia="en-IN"/>
              </w:rPr>
              <w:t>Harduaganj Ext</w:t>
            </w:r>
            <w:r w:rsidR="006A3988" w:rsidRPr="00942C19">
              <w:rPr>
                <w:rFonts w:cs="Calibri"/>
                <w:sz w:val="22"/>
                <w:szCs w:val="22"/>
                <w:lang w:val="en-IN" w:eastAsia="en-IN"/>
              </w:rPr>
              <w:t>n</w:t>
            </w:r>
            <w:r w:rsidRPr="00942C19">
              <w:rPr>
                <w:rFonts w:cs="Calibri"/>
                <w:sz w:val="22"/>
                <w:szCs w:val="22"/>
                <w:lang w:val="en-IN" w:eastAsia="en-IN"/>
              </w:rPr>
              <w:t>. is expected to get commissioned by 30</w:t>
            </w:r>
            <w:r w:rsidR="00785E17" w:rsidRPr="00942C19">
              <w:rPr>
                <w:rFonts w:cs="Calibri"/>
                <w:sz w:val="22"/>
                <w:szCs w:val="22"/>
                <w:vertAlign w:val="superscript"/>
                <w:lang w:val="en-IN" w:eastAsia="en-IN"/>
              </w:rPr>
              <w:t>th</w:t>
            </w:r>
            <w:r w:rsidR="006A3988" w:rsidRPr="00942C19">
              <w:rPr>
                <w:rFonts w:cs="Calibri"/>
                <w:sz w:val="22"/>
                <w:szCs w:val="22"/>
                <w:lang w:val="en-IN" w:eastAsia="en-IN"/>
              </w:rPr>
              <w:t xml:space="preserve"> </w:t>
            </w:r>
            <w:r w:rsidRPr="00942C19">
              <w:rPr>
                <w:rFonts w:cs="Calibri"/>
                <w:sz w:val="22"/>
                <w:szCs w:val="22"/>
                <w:lang w:val="en-IN" w:eastAsia="en-IN"/>
              </w:rPr>
              <w:t xml:space="preserve">June, 2013 and Unit </w:t>
            </w:r>
            <w:r w:rsidR="006A3988" w:rsidRPr="00942C19">
              <w:rPr>
                <w:rFonts w:cs="Calibri"/>
                <w:sz w:val="22"/>
                <w:szCs w:val="22"/>
                <w:lang w:val="en-IN" w:eastAsia="en-IN"/>
              </w:rPr>
              <w:t xml:space="preserve">No. </w:t>
            </w:r>
            <w:r w:rsidRPr="00942C19">
              <w:rPr>
                <w:rFonts w:cs="Calibri"/>
                <w:sz w:val="22"/>
                <w:szCs w:val="22"/>
                <w:lang w:val="en-IN" w:eastAsia="en-IN"/>
              </w:rPr>
              <w:t>2 of Parichha Ext</w:t>
            </w:r>
            <w:r w:rsidR="006A3988" w:rsidRPr="00942C19">
              <w:rPr>
                <w:rFonts w:cs="Calibri"/>
                <w:sz w:val="22"/>
                <w:szCs w:val="22"/>
                <w:lang w:val="en-IN" w:eastAsia="en-IN"/>
              </w:rPr>
              <w:t>n</w:t>
            </w:r>
            <w:r w:rsidRPr="00942C19">
              <w:rPr>
                <w:rFonts w:cs="Calibri"/>
                <w:sz w:val="22"/>
                <w:szCs w:val="22"/>
                <w:lang w:val="en-IN" w:eastAsia="en-IN"/>
              </w:rPr>
              <w:t xml:space="preserve"> Stage 2. has been commissioned on 18</w:t>
            </w:r>
            <w:r w:rsidR="00785E17" w:rsidRPr="00942C19">
              <w:rPr>
                <w:rFonts w:cs="Calibri"/>
                <w:sz w:val="22"/>
                <w:szCs w:val="22"/>
                <w:vertAlign w:val="superscript"/>
                <w:lang w:val="en-IN" w:eastAsia="en-IN"/>
              </w:rPr>
              <w:t>th</w:t>
            </w:r>
            <w:r w:rsidR="006A3988" w:rsidRPr="00942C19">
              <w:rPr>
                <w:rFonts w:cs="Calibri"/>
                <w:sz w:val="22"/>
                <w:szCs w:val="22"/>
                <w:lang w:val="en-IN" w:eastAsia="en-IN"/>
              </w:rPr>
              <w:t xml:space="preserve"> </w:t>
            </w:r>
            <w:r w:rsidRPr="00942C19">
              <w:rPr>
                <w:rFonts w:cs="Calibri"/>
                <w:sz w:val="22"/>
                <w:szCs w:val="22"/>
                <w:lang w:val="en-IN" w:eastAsia="en-IN"/>
              </w:rPr>
              <w:t>April, 2013</w:t>
            </w:r>
            <w:r w:rsidR="00700278" w:rsidRPr="00942C19">
              <w:rPr>
                <w:rFonts w:cs="Calibri"/>
                <w:sz w:val="22"/>
                <w:szCs w:val="22"/>
                <w:lang w:val="en-IN" w:eastAsia="en-IN"/>
              </w:rPr>
              <w:t>.</w:t>
            </w:r>
            <w:r w:rsidRPr="00942C19">
              <w:rPr>
                <w:rFonts w:cs="Calibri"/>
                <w:sz w:val="22"/>
                <w:szCs w:val="22"/>
                <w:lang w:val="en-IN" w:eastAsia="en-IN"/>
              </w:rPr>
              <w:br/>
              <w:t xml:space="preserve">2. Net Power Purchase Quantum for these two stations has been prorated based on their expected </w:t>
            </w:r>
            <w:r w:rsidR="00222B59" w:rsidRPr="00942C19">
              <w:rPr>
                <w:rFonts w:cs="Calibri"/>
                <w:sz w:val="22"/>
                <w:szCs w:val="22"/>
                <w:lang w:val="en-IN" w:eastAsia="en-IN"/>
              </w:rPr>
              <w:t>COD</w:t>
            </w:r>
            <w:r w:rsidRPr="00942C19">
              <w:rPr>
                <w:rFonts w:cs="Calibri"/>
                <w:sz w:val="22"/>
                <w:szCs w:val="22"/>
                <w:lang w:val="en-IN" w:eastAsia="en-IN"/>
              </w:rPr>
              <w:t xml:space="preserve"> dates.</w:t>
            </w: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r w:rsidR="00921892" w:rsidRPr="00942C19" w:rsidTr="00921892">
        <w:trPr>
          <w:trHeight w:val="269"/>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r>
    </w:tbl>
    <w:p w:rsidR="00222C32" w:rsidRPr="00942C19" w:rsidRDefault="00222C32" w:rsidP="00222C32">
      <w:pPr>
        <w:pStyle w:val="Caption"/>
        <w:keepNext/>
        <w:jc w:val="center"/>
      </w:pPr>
      <w:bookmarkStart w:id="506" w:name="_Toc325475663"/>
      <w:bookmarkStart w:id="507" w:name="_Toc338310678"/>
      <w:bookmarkStart w:id="508" w:name="_Toc338419508"/>
      <w:bookmarkStart w:id="509" w:name="_Toc357719705"/>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11</w:t>
      </w:r>
      <w:r w:rsidR="000C642E" w:rsidRPr="00942C19">
        <w:fldChar w:fldCharType="end"/>
      </w:r>
      <w:r w:rsidRPr="00942C19">
        <w:t xml:space="preserve">: ASSUMPTIONS FOR POWER PURCHASE FROM UPJVNL - FY </w:t>
      </w:r>
      <w:bookmarkEnd w:id="506"/>
      <w:bookmarkEnd w:id="507"/>
      <w:bookmarkEnd w:id="508"/>
      <w:r w:rsidRPr="00942C19">
        <w:t>2013-14</w:t>
      </w:r>
      <w:bookmarkEnd w:id="509"/>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942C19" w:rsidTr="00921892">
        <w:trPr>
          <w:trHeight w:val="600"/>
        </w:trPr>
        <w:tc>
          <w:tcPr>
            <w:tcW w:w="322" w:type="pct"/>
            <w:shd w:val="clear" w:color="000000" w:fill="DBE5F1"/>
            <w:noWrap/>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S. No.</w:t>
            </w:r>
          </w:p>
        </w:tc>
        <w:tc>
          <w:tcPr>
            <w:tcW w:w="1497" w:type="pct"/>
            <w:shd w:val="clear" w:color="000000" w:fill="DBE5F1"/>
            <w:noWrap/>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3182" w:type="pct"/>
            <w:shd w:val="clear" w:color="000000" w:fill="DBE5F1"/>
            <w:noWrap/>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Assumption</w:t>
            </w:r>
          </w:p>
        </w:tc>
      </w:tr>
      <w:tr w:rsidR="00921892" w:rsidRPr="00942C19" w:rsidTr="00921892">
        <w:trPr>
          <w:trHeight w:val="300"/>
        </w:trPr>
        <w:tc>
          <w:tcPr>
            <w:tcW w:w="322" w:type="pct"/>
            <w:vMerge w:val="restart"/>
            <w:shd w:val="clear" w:color="auto" w:fill="auto"/>
            <w:noWrap/>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w:t>
            </w:r>
          </w:p>
        </w:tc>
        <w:tc>
          <w:tcPr>
            <w:tcW w:w="1497" w:type="pct"/>
            <w:vMerge w:val="restart"/>
            <w:shd w:val="clear" w:color="auto" w:fill="auto"/>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Power Purchase Quantum</w:t>
            </w:r>
          </w:p>
        </w:tc>
        <w:tc>
          <w:tcPr>
            <w:tcW w:w="3182" w:type="pct"/>
            <w:vMerge w:val="restart"/>
            <w:shd w:val="clear" w:color="auto" w:fill="auto"/>
            <w:hideMark/>
          </w:tcPr>
          <w:p w:rsidR="00155FB3" w:rsidRPr="00942C19" w:rsidRDefault="00921892" w:rsidP="00155FB3">
            <w:pPr>
              <w:spacing w:before="0" w:line="240" w:lineRule="auto"/>
              <w:jc w:val="left"/>
              <w:rPr>
                <w:rFonts w:cs="Calibri"/>
                <w:b/>
                <w:bCs/>
                <w:color w:val="333399"/>
                <w:kern w:val="32"/>
                <w:sz w:val="22"/>
                <w:szCs w:val="22"/>
                <w:lang w:val="en-IN" w:eastAsia="en-IN"/>
              </w:rPr>
            </w:pPr>
            <w:r w:rsidRPr="00942C19">
              <w:rPr>
                <w:rFonts w:cs="Calibri"/>
                <w:sz w:val="22"/>
                <w:szCs w:val="22"/>
                <w:lang w:val="en-IN" w:eastAsia="en-IN"/>
              </w:rPr>
              <w:t>1. Net Power Purchase Quantum form all power stations expect Belka &amp; Babail is considered as per UPERC's MYT Tariff Order dated 20.10.2011 for UPJVNL for FY 2009-10 to 2013-14.</w:t>
            </w:r>
            <w:r w:rsidRPr="00942C19">
              <w:rPr>
                <w:rFonts w:cs="Calibri"/>
                <w:sz w:val="22"/>
                <w:szCs w:val="22"/>
                <w:lang w:val="en-IN" w:eastAsia="en-IN"/>
              </w:rPr>
              <w:br/>
              <w:t xml:space="preserve">2. Net Power Purchase from Belka &amp; Babail is taken as provided by </w:t>
            </w:r>
            <w:r w:rsidR="009A3804" w:rsidRPr="00942C19">
              <w:rPr>
                <w:rFonts w:cs="Calibri"/>
                <w:sz w:val="22"/>
                <w:szCs w:val="22"/>
                <w:lang w:val="en-IN" w:eastAsia="en-IN"/>
              </w:rPr>
              <w:t>Licensee</w:t>
            </w:r>
            <w:r w:rsidRPr="00942C19">
              <w:rPr>
                <w:rFonts w:cs="Calibri"/>
                <w:sz w:val="22"/>
                <w:szCs w:val="22"/>
                <w:lang w:val="en-IN" w:eastAsia="en-IN"/>
              </w:rPr>
              <w:br/>
              <w:t xml:space="preserve">3. Hydro Stations are considered Must-run in Merit Order </w:t>
            </w:r>
            <w:r w:rsidR="00C8350E" w:rsidRPr="00942C19">
              <w:rPr>
                <w:rFonts w:cs="Calibri"/>
                <w:sz w:val="22"/>
                <w:szCs w:val="22"/>
                <w:lang w:val="en-IN" w:eastAsia="en-IN"/>
              </w:rPr>
              <w:t>Dispatch</w:t>
            </w: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r w:rsidR="00921892" w:rsidRPr="00942C19" w:rsidTr="00921892">
        <w:trPr>
          <w:trHeight w:val="6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r w:rsidR="00921892" w:rsidRPr="00942C19" w:rsidTr="00921892">
        <w:trPr>
          <w:trHeight w:val="300"/>
        </w:trPr>
        <w:tc>
          <w:tcPr>
            <w:tcW w:w="322" w:type="pct"/>
            <w:vMerge w:val="restart"/>
            <w:shd w:val="clear" w:color="auto" w:fill="auto"/>
            <w:noWrap/>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w:t>
            </w:r>
          </w:p>
        </w:tc>
        <w:tc>
          <w:tcPr>
            <w:tcW w:w="1497" w:type="pct"/>
            <w:vMerge w:val="restart"/>
            <w:shd w:val="clear" w:color="auto" w:fill="auto"/>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Fixed &amp; Variable Charges</w:t>
            </w:r>
          </w:p>
        </w:tc>
        <w:tc>
          <w:tcPr>
            <w:tcW w:w="3182" w:type="pct"/>
            <w:vMerge w:val="restar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1. The tariff for all power stations has been taken from the UPERC's  MYT Tariff Order dated 20.10.2011 for UPJVNL  for FY 2009-10 to 2013-14</w:t>
            </w: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jc w:val="left"/>
              <w:rPr>
                <w:rFonts w:cs="Calibri"/>
                <w:sz w:val="22"/>
                <w:szCs w:val="22"/>
                <w:lang w:val="en-IN" w:eastAsia="en-IN"/>
              </w:rPr>
            </w:pPr>
          </w:p>
        </w:tc>
      </w:tr>
    </w:tbl>
    <w:p w:rsidR="00A44CA7" w:rsidRPr="00942C19" w:rsidRDefault="00A44CA7">
      <w:pPr>
        <w:pStyle w:val="Heading4"/>
        <w:numPr>
          <w:ilvl w:val="0"/>
          <w:numId w:val="0"/>
        </w:numPr>
        <w:ind w:left="864"/>
      </w:pPr>
    </w:p>
    <w:p w:rsidR="00D47B3B" w:rsidRPr="00942C19" w:rsidRDefault="00222C32">
      <w:pPr>
        <w:pStyle w:val="Heading4"/>
      </w:pPr>
      <w:r w:rsidRPr="00942C19">
        <w:t xml:space="preserve">Based on above approach, the summary of approved costs of UPRVUNL and UPJVNL generating stations is given in </w:t>
      </w:r>
      <w:fldSimple w:instr=" REF _Ref325470209 \h  \* MERGEFORMAT ">
        <w:r w:rsidR="00984AA4" w:rsidRPr="00942C19">
          <w:t xml:space="preserve">Table </w:t>
        </w:r>
        <w:r w:rsidR="00984AA4" w:rsidRPr="00942C19">
          <w:rPr>
            <w:noProof/>
          </w:rPr>
          <w:t>4</w:t>
        </w:r>
        <w:r w:rsidR="00984AA4" w:rsidRPr="00942C19">
          <w:rPr>
            <w:noProof/>
          </w:rPr>
          <w:noBreakHyphen/>
          <w:t>12</w:t>
        </w:r>
      </w:fldSimple>
      <w:r w:rsidRPr="00942C19">
        <w:t xml:space="preserve"> </w:t>
      </w:r>
      <w:r w:rsidR="00D31494" w:rsidRPr="00942C19">
        <w:t xml:space="preserve">and </w:t>
      </w:r>
      <w:fldSimple w:instr=" REF _Ref325470229 \h  \* MERGEFORMAT ">
        <w:r w:rsidR="00984AA4" w:rsidRPr="00942C19">
          <w:t xml:space="preserve">Table </w:t>
        </w:r>
        <w:r w:rsidR="00984AA4" w:rsidRPr="00942C19">
          <w:rPr>
            <w:noProof/>
          </w:rPr>
          <w:t>4</w:t>
        </w:r>
        <w:r w:rsidR="00984AA4" w:rsidRPr="00942C19">
          <w:rPr>
            <w:noProof/>
          </w:rPr>
          <w:noBreakHyphen/>
          <w:t>13</w:t>
        </w:r>
      </w:fldSimple>
      <w:r w:rsidRPr="00942C19">
        <w:t xml:space="preserve"> below:</w:t>
      </w:r>
    </w:p>
    <w:p w:rsidR="004D0E04" w:rsidRPr="00942C19" w:rsidRDefault="00222C32" w:rsidP="004D0E04">
      <w:pPr>
        <w:pStyle w:val="Caption"/>
        <w:keepNext/>
        <w:ind w:left="-142" w:right="-687"/>
        <w:jc w:val="center"/>
      </w:pPr>
      <w:bookmarkStart w:id="510" w:name="_Ref325470209"/>
      <w:bookmarkStart w:id="511" w:name="_Toc325475664"/>
      <w:bookmarkStart w:id="512" w:name="_Toc338310679"/>
      <w:bookmarkStart w:id="513" w:name="_Toc338419509"/>
      <w:bookmarkStart w:id="514" w:name="_Toc357719706"/>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12</w:t>
      </w:r>
      <w:r w:rsidR="000C642E" w:rsidRPr="00942C19">
        <w:fldChar w:fldCharType="end"/>
      </w:r>
      <w:bookmarkEnd w:id="510"/>
      <w:r w:rsidRPr="00942C19">
        <w:t xml:space="preserve">: APPROVED COST OF POWER PURCHASE FROM UPRUVNL STATIONS FOR FY </w:t>
      </w:r>
      <w:bookmarkEnd w:id="511"/>
      <w:bookmarkEnd w:id="512"/>
      <w:bookmarkEnd w:id="513"/>
      <w:r w:rsidRPr="00942C19">
        <w:t>2013-14</w:t>
      </w:r>
      <w:bookmarkEnd w:id="514"/>
    </w:p>
    <w:tbl>
      <w:tblPr>
        <w:tblW w:w="5565"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703"/>
        <w:gridCol w:w="1133"/>
        <w:gridCol w:w="821"/>
        <w:gridCol w:w="708"/>
        <w:gridCol w:w="991"/>
        <w:gridCol w:w="850"/>
        <w:gridCol w:w="993"/>
        <w:gridCol w:w="708"/>
        <w:gridCol w:w="993"/>
        <w:gridCol w:w="989"/>
      </w:tblGrid>
      <w:tr w:rsidR="009354AE" w:rsidRPr="00942C19" w:rsidTr="00222B59">
        <w:trPr>
          <w:trHeight w:val="600"/>
        </w:trPr>
        <w:tc>
          <w:tcPr>
            <w:tcW w:w="861"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73"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415"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859"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932"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860"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500"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9354AE" w:rsidRPr="00942C19" w:rsidTr="00222B59">
        <w:trPr>
          <w:trHeight w:val="600"/>
        </w:trPr>
        <w:tc>
          <w:tcPr>
            <w:tcW w:w="861"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573"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15"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358"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01"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30"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02"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58"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02"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500"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Anpara A</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630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4004</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0.59</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236.25</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1.33</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531.13</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1.92</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767.38</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1.92</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Anpara B</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1000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6333</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1.11</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703.00</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1.36</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859.50</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2.47</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1562.49</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2.47</w:t>
            </w:r>
          </w:p>
        </w:tc>
      </w:tr>
      <w:tr w:rsidR="009354AE" w:rsidRPr="00942C19" w:rsidTr="00222B59">
        <w:trPr>
          <w:trHeight w:val="300"/>
        </w:trPr>
        <w:tc>
          <w:tcPr>
            <w:tcW w:w="861" w:type="pct"/>
            <w:shd w:val="clear" w:color="auto" w:fill="auto"/>
            <w:hideMark/>
          </w:tcPr>
          <w:p w:rsidR="00921892" w:rsidRPr="00942C19" w:rsidRDefault="007C4D9D" w:rsidP="00921892">
            <w:pPr>
              <w:spacing w:before="0" w:line="240" w:lineRule="auto"/>
              <w:rPr>
                <w:rFonts w:cs="Calibri"/>
                <w:sz w:val="22"/>
                <w:szCs w:val="22"/>
                <w:lang w:val="en-IN" w:eastAsia="en-IN"/>
              </w:rPr>
            </w:pPr>
            <w:r w:rsidRPr="00942C19">
              <w:rPr>
                <w:rFonts w:cs="Calibri"/>
                <w:sz w:val="22"/>
                <w:szCs w:val="22"/>
                <w:lang w:val="en-IN" w:eastAsia="en-IN"/>
              </w:rPr>
              <w:t>Harduaganj</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165</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597</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127.73</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3.13</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186.64</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5.27</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314.38</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5.27</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Obra A</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288</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783</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1.00</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78.28</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1.87</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146.73</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2.87</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225.02</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2.87</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Obra B</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1000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2750</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0.69</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189.75</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1.72</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472.37</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2.41</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662.12</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2.41</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Panki</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1050</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1.35</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141.75</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3.21</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336.84</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4.56</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478.59</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4.56</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Parichha</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805</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1.02</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82.08</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2.98</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239.50</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4.00</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321.59</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4.00</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sz w:val="22"/>
                <w:szCs w:val="22"/>
                <w:lang w:val="en-IN" w:eastAsia="en-IN"/>
              </w:rPr>
            </w:pPr>
            <w:r w:rsidRPr="00942C19">
              <w:rPr>
                <w:rFonts w:cs="Calibri"/>
                <w:sz w:val="22"/>
                <w:szCs w:val="22"/>
                <w:lang w:val="en-IN" w:eastAsia="en-IN"/>
              </w:rPr>
              <w:t>Parichha Extn.</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2526</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1.45</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366.22</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2.62</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662.01</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4.07</w:t>
            </w:r>
          </w:p>
        </w:tc>
        <w:tc>
          <w:tcPr>
            <w:tcW w:w="502" w:type="pct"/>
            <w:shd w:val="clear" w:color="auto" w:fill="auto"/>
            <w:vAlign w:val="center"/>
            <w:hideMark/>
          </w:tcPr>
          <w:p w:rsidR="00D47B3B" w:rsidRPr="00942C19" w:rsidRDefault="00921892">
            <w:pPr>
              <w:spacing w:before="0" w:line="240" w:lineRule="auto"/>
              <w:jc w:val="center"/>
              <w:rPr>
                <w:rFonts w:cs="Calibri"/>
                <w:sz w:val="22"/>
                <w:szCs w:val="22"/>
                <w:lang w:val="en-IN" w:eastAsia="en-IN"/>
              </w:rPr>
            </w:pPr>
            <w:r w:rsidRPr="00942C19">
              <w:rPr>
                <w:rFonts w:cs="Calibri"/>
                <w:sz w:val="22"/>
                <w:szCs w:val="22"/>
                <w:lang w:val="en-IN" w:eastAsia="en-IN"/>
              </w:rPr>
              <w:t>1028.23</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4.07</w:t>
            </w:r>
          </w:p>
        </w:tc>
      </w:tr>
      <w:tr w:rsidR="009354AE" w:rsidRPr="00942C19" w:rsidTr="00222B59">
        <w:trPr>
          <w:trHeight w:val="360"/>
        </w:trPr>
        <w:tc>
          <w:tcPr>
            <w:tcW w:w="861"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Parichha Extn. Stage II</w:t>
            </w:r>
            <w:r w:rsidR="00C8350E" w:rsidRPr="00942C19">
              <w:rPr>
                <w:rFonts w:cs="Calibri"/>
                <w:sz w:val="22"/>
                <w:szCs w:val="22"/>
                <w:lang w:val="en-IN" w:eastAsia="en-IN"/>
              </w:rPr>
              <w:t xml:space="preserve"> </w:t>
            </w:r>
            <w:r w:rsidRPr="00942C19">
              <w:rPr>
                <w:rFonts w:cs="Calibri"/>
                <w:sz w:val="22"/>
                <w:szCs w:val="22"/>
                <w:lang w:val="en-IN" w:eastAsia="en-IN"/>
              </w:rPr>
              <w:t>(2X250MW)</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3309</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1.58</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522.83</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2.59</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857.50</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4.17</w:t>
            </w:r>
          </w:p>
        </w:tc>
        <w:tc>
          <w:tcPr>
            <w:tcW w:w="502" w:type="pct"/>
            <w:shd w:val="clear" w:color="auto" w:fill="auto"/>
            <w:vAlign w:val="center"/>
            <w:hideMark/>
          </w:tcPr>
          <w:p w:rsidR="00D47B3B" w:rsidRPr="00942C19" w:rsidRDefault="00921892">
            <w:pPr>
              <w:spacing w:before="0" w:line="240" w:lineRule="auto"/>
              <w:jc w:val="center"/>
              <w:rPr>
                <w:rFonts w:cs="Calibri"/>
                <w:sz w:val="22"/>
                <w:szCs w:val="22"/>
                <w:lang w:val="en-IN" w:eastAsia="en-IN"/>
              </w:rPr>
            </w:pPr>
            <w:r w:rsidRPr="00942C19">
              <w:rPr>
                <w:rFonts w:cs="Calibri"/>
                <w:sz w:val="22"/>
                <w:szCs w:val="22"/>
                <w:lang w:val="en-IN" w:eastAsia="en-IN"/>
              </w:rPr>
              <w:t>1380.33</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4.17</w:t>
            </w:r>
          </w:p>
        </w:tc>
      </w:tr>
      <w:tr w:rsidR="009354AE" w:rsidRPr="00942C19" w:rsidTr="00222B59">
        <w:trPr>
          <w:trHeight w:val="315"/>
        </w:trPr>
        <w:tc>
          <w:tcPr>
            <w:tcW w:w="861"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Harduaganj Ext.(2X250MW)</w:t>
            </w:r>
          </w:p>
        </w:tc>
        <w:tc>
          <w:tcPr>
            <w:tcW w:w="573"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500</w:t>
            </w:r>
          </w:p>
        </w:tc>
        <w:tc>
          <w:tcPr>
            <w:tcW w:w="41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2970</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1.71</w:t>
            </w:r>
          </w:p>
        </w:tc>
        <w:tc>
          <w:tcPr>
            <w:tcW w:w="50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507.91</w:t>
            </w:r>
          </w:p>
        </w:tc>
        <w:tc>
          <w:tcPr>
            <w:tcW w:w="43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2.39</w:t>
            </w:r>
          </w:p>
        </w:tc>
        <w:tc>
          <w:tcPr>
            <w:tcW w:w="50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708.52</w:t>
            </w:r>
          </w:p>
        </w:tc>
        <w:tc>
          <w:tcPr>
            <w:tcW w:w="35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4.10</w:t>
            </w:r>
          </w:p>
        </w:tc>
        <w:tc>
          <w:tcPr>
            <w:tcW w:w="502" w:type="pct"/>
            <w:shd w:val="clear" w:color="auto" w:fill="auto"/>
            <w:vAlign w:val="center"/>
            <w:hideMark/>
          </w:tcPr>
          <w:p w:rsidR="00D47B3B" w:rsidRPr="00942C19" w:rsidRDefault="00921892">
            <w:pPr>
              <w:spacing w:before="0" w:line="240" w:lineRule="auto"/>
              <w:jc w:val="center"/>
              <w:rPr>
                <w:rFonts w:cs="Calibri"/>
                <w:sz w:val="22"/>
                <w:szCs w:val="22"/>
                <w:lang w:val="en-IN" w:eastAsia="en-IN"/>
              </w:rPr>
            </w:pPr>
            <w:r w:rsidRPr="00942C19">
              <w:rPr>
                <w:rFonts w:cs="Calibri"/>
                <w:sz w:val="22"/>
                <w:szCs w:val="22"/>
                <w:lang w:val="en-IN" w:eastAsia="en-IN"/>
              </w:rPr>
              <w:t>1216.43</w:t>
            </w:r>
          </w:p>
        </w:tc>
        <w:tc>
          <w:tcPr>
            <w:tcW w:w="50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4.10</w:t>
            </w:r>
          </w:p>
        </w:tc>
      </w:tr>
      <w:tr w:rsidR="009354AE" w:rsidRPr="00942C19" w:rsidTr="00222B59">
        <w:trPr>
          <w:trHeight w:val="300"/>
        </w:trPr>
        <w:tc>
          <w:tcPr>
            <w:tcW w:w="861" w:type="pct"/>
            <w:shd w:val="clear" w:color="auto" w:fill="auto"/>
            <w:hideMark/>
          </w:tcPr>
          <w:p w:rsidR="00921892" w:rsidRPr="00942C19" w:rsidRDefault="00921892" w:rsidP="00921892">
            <w:pPr>
              <w:spacing w:before="0" w:line="240" w:lineRule="auto"/>
              <w:rPr>
                <w:rFonts w:cs="Calibri"/>
                <w:b/>
                <w:bCs/>
                <w:sz w:val="22"/>
                <w:szCs w:val="22"/>
                <w:lang w:val="en-IN" w:eastAsia="en-IN"/>
              </w:rPr>
            </w:pPr>
            <w:r w:rsidRPr="00942C19">
              <w:rPr>
                <w:rFonts w:cs="Calibri"/>
                <w:b/>
                <w:bCs/>
                <w:sz w:val="22"/>
                <w:szCs w:val="22"/>
                <w:lang w:val="en-IN" w:eastAsia="en-IN"/>
              </w:rPr>
              <w:t>Total</w:t>
            </w:r>
          </w:p>
        </w:tc>
        <w:tc>
          <w:tcPr>
            <w:tcW w:w="573"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4933</w:t>
            </w:r>
          </w:p>
        </w:tc>
        <w:tc>
          <w:tcPr>
            <w:tcW w:w="415"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25127</w:t>
            </w:r>
          </w:p>
        </w:tc>
        <w:tc>
          <w:tcPr>
            <w:tcW w:w="358"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01"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2955.81</w:t>
            </w:r>
          </w:p>
        </w:tc>
        <w:tc>
          <w:tcPr>
            <w:tcW w:w="430"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02"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5000.74</w:t>
            </w:r>
          </w:p>
        </w:tc>
        <w:tc>
          <w:tcPr>
            <w:tcW w:w="358"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02"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7956.55</w:t>
            </w:r>
          </w:p>
        </w:tc>
        <w:tc>
          <w:tcPr>
            <w:tcW w:w="500"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3.17</w:t>
            </w:r>
          </w:p>
        </w:tc>
      </w:tr>
    </w:tbl>
    <w:p w:rsidR="00222C32" w:rsidRPr="00942C19" w:rsidRDefault="00222C32" w:rsidP="002D7CDF">
      <w:pPr>
        <w:pStyle w:val="Caption"/>
        <w:keepNext/>
        <w:ind w:firstLine="720"/>
        <w:jc w:val="center"/>
      </w:pPr>
      <w:bookmarkStart w:id="515" w:name="_Ref325470229"/>
      <w:bookmarkStart w:id="516" w:name="_Toc325475665"/>
      <w:bookmarkStart w:id="517" w:name="_Toc338310680"/>
      <w:bookmarkStart w:id="518" w:name="_Toc338419510"/>
      <w:bookmarkStart w:id="519" w:name="_Toc357719707"/>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13</w:t>
      </w:r>
      <w:r w:rsidR="000C642E" w:rsidRPr="00942C19">
        <w:fldChar w:fldCharType="end"/>
      </w:r>
      <w:bookmarkEnd w:id="515"/>
      <w:r w:rsidRPr="00942C19">
        <w:t>: APPROVED COST OF POWER PURCHASE FROM UPJVNL STATIONS</w:t>
      </w:r>
      <w:r w:rsidR="002D7CDF" w:rsidRPr="00942C19">
        <w:t xml:space="preserve"> </w:t>
      </w:r>
      <w:r w:rsidRPr="00942C19">
        <w:t xml:space="preserve">FOR FY </w:t>
      </w:r>
      <w:bookmarkEnd w:id="516"/>
      <w:bookmarkEnd w:id="517"/>
      <w:bookmarkEnd w:id="518"/>
      <w:r w:rsidRPr="00942C19">
        <w:t>2013-14</w:t>
      </w:r>
      <w:bookmarkEnd w:id="519"/>
    </w:p>
    <w:tbl>
      <w:tblPr>
        <w:tblW w:w="50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525"/>
        <w:gridCol w:w="1062"/>
        <w:gridCol w:w="663"/>
        <w:gridCol w:w="709"/>
        <w:gridCol w:w="860"/>
        <w:gridCol w:w="710"/>
        <w:gridCol w:w="903"/>
        <w:gridCol w:w="708"/>
        <w:gridCol w:w="945"/>
        <w:gridCol w:w="967"/>
      </w:tblGrid>
      <w:tr w:rsidR="00921892" w:rsidRPr="00942C19" w:rsidTr="00327FDD">
        <w:trPr>
          <w:trHeight w:val="600"/>
          <w:tblHeader/>
        </w:trPr>
        <w:tc>
          <w:tcPr>
            <w:tcW w:w="843"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87"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366"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867"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891"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913"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534"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921892" w:rsidRPr="00942C19" w:rsidTr="00327FDD">
        <w:trPr>
          <w:trHeight w:val="600"/>
          <w:tblHeader/>
        </w:trPr>
        <w:tc>
          <w:tcPr>
            <w:tcW w:w="843"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587"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366"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392"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75"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92"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99"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91"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21"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534"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921892" w:rsidRPr="00942C19" w:rsidTr="00921892">
        <w:trPr>
          <w:trHeight w:val="300"/>
        </w:trPr>
        <w:tc>
          <w:tcPr>
            <w:tcW w:w="843"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Khara</w:t>
            </w:r>
          </w:p>
        </w:tc>
        <w:tc>
          <w:tcPr>
            <w:tcW w:w="5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58</w:t>
            </w:r>
          </w:p>
        </w:tc>
        <w:tc>
          <w:tcPr>
            <w:tcW w:w="366"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303</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0.72</w:t>
            </w:r>
          </w:p>
        </w:tc>
        <w:tc>
          <w:tcPr>
            <w:tcW w:w="47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21.83</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0.72</w:t>
            </w:r>
          </w:p>
        </w:tc>
        <w:tc>
          <w:tcPr>
            <w:tcW w:w="52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21.83</w:t>
            </w:r>
          </w:p>
        </w:tc>
        <w:tc>
          <w:tcPr>
            <w:tcW w:w="53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0.72</w:t>
            </w:r>
          </w:p>
        </w:tc>
      </w:tr>
      <w:tr w:rsidR="00921892" w:rsidRPr="00942C19" w:rsidTr="00921892">
        <w:trPr>
          <w:trHeight w:val="300"/>
        </w:trPr>
        <w:tc>
          <w:tcPr>
            <w:tcW w:w="843"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Matatila</w:t>
            </w:r>
          </w:p>
        </w:tc>
        <w:tc>
          <w:tcPr>
            <w:tcW w:w="5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20</w:t>
            </w:r>
          </w:p>
        </w:tc>
        <w:tc>
          <w:tcPr>
            <w:tcW w:w="366"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81</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0.65</w:t>
            </w:r>
          </w:p>
        </w:tc>
        <w:tc>
          <w:tcPr>
            <w:tcW w:w="47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5.24</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0.65</w:t>
            </w:r>
          </w:p>
        </w:tc>
        <w:tc>
          <w:tcPr>
            <w:tcW w:w="52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5.24</w:t>
            </w:r>
          </w:p>
        </w:tc>
        <w:tc>
          <w:tcPr>
            <w:tcW w:w="53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0.65</w:t>
            </w:r>
          </w:p>
        </w:tc>
      </w:tr>
      <w:tr w:rsidR="00921892" w:rsidRPr="00942C19" w:rsidTr="00921892">
        <w:trPr>
          <w:trHeight w:val="300"/>
        </w:trPr>
        <w:tc>
          <w:tcPr>
            <w:tcW w:w="843"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Obra (Hydel)</w:t>
            </w:r>
          </w:p>
        </w:tc>
        <w:tc>
          <w:tcPr>
            <w:tcW w:w="5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99</w:t>
            </w:r>
          </w:p>
        </w:tc>
        <w:tc>
          <w:tcPr>
            <w:tcW w:w="366"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276</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0.63</w:t>
            </w:r>
          </w:p>
        </w:tc>
        <w:tc>
          <w:tcPr>
            <w:tcW w:w="47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17.39</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0.63</w:t>
            </w:r>
          </w:p>
        </w:tc>
        <w:tc>
          <w:tcPr>
            <w:tcW w:w="52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17.39</w:t>
            </w:r>
          </w:p>
        </w:tc>
        <w:tc>
          <w:tcPr>
            <w:tcW w:w="53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0.63</w:t>
            </w:r>
          </w:p>
        </w:tc>
      </w:tr>
      <w:tr w:rsidR="00921892" w:rsidRPr="00942C19" w:rsidTr="00921892">
        <w:trPr>
          <w:trHeight w:val="300"/>
        </w:trPr>
        <w:tc>
          <w:tcPr>
            <w:tcW w:w="843"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Rihand</w:t>
            </w:r>
          </w:p>
        </w:tc>
        <w:tc>
          <w:tcPr>
            <w:tcW w:w="5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255</w:t>
            </w:r>
          </w:p>
        </w:tc>
        <w:tc>
          <w:tcPr>
            <w:tcW w:w="366"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773</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0.55</w:t>
            </w:r>
          </w:p>
        </w:tc>
        <w:tc>
          <w:tcPr>
            <w:tcW w:w="47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42.50</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0.55</w:t>
            </w:r>
          </w:p>
        </w:tc>
        <w:tc>
          <w:tcPr>
            <w:tcW w:w="52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42.50</w:t>
            </w:r>
          </w:p>
        </w:tc>
        <w:tc>
          <w:tcPr>
            <w:tcW w:w="53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0.55</w:t>
            </w:r>
          </w:p>
        </w:tc>
      </w:tr>
      <w:tr w:rsidR="00921892" w:rsidRPr="00942C19" w:rsidTr="00921892">
        <w:trPr>
          <w:trHeight w:val="600"/>
        </w:trPr>
        <w:tc>
          <w:tcPr>
            <w:tcW w:w="843"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UGC Power Stations</w:t>
            </w:r>
          </w:p>
        </w:tc>
        <w:tc>
          <w:tcPr>
            <w:tcW w:w="5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w:t>
            </w:r>
          </w:p>
        </w:tc>
        <w:tc>
          <w:tcPr>
            <w:tcW w:w="366"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31</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2.13</w:t>
            </w:r>
          </w:p>
        </w:tc>
        <w:tc>
          <w:tcPr>
            <w:tcW w:w="47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6.60</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2.13</w:t>
            </w:r>
          </w:p>
        </w:tc>
        <w:tc>
          <w:tcPr>
            <w:tcW w:w="52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6.60</w:t>
            </w:r>
          </w:p>
        </w:tc>
        <w:tc>
          <w:tcPr>
            <w:tcW w:w="53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2.13</w:t>
            </w:r>
          </w:p>
        </w:tc>
      </w:tr>
      <w:tr w:rsidR="00921892" w:rsidRPr="00942C19" w:rsidTr="00921892">
        <w:trPr>
          <w:trHeight w:val="300"/>
        </w:trPr>
        <w:tc>
          <w:tcPr>
            <w:tcW w:w="843"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Belka &amp; Babail</w:t>
            </w:r>
          </w:p>
        </w:tc>
        <w:tc>
          <w:tcPr>
            <w:tcW w:w="5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w:t>
            </w:r>
          </w:p>
        </w:tc>
        <w:tc>
          <w:tcPr>
            <w:tcW w:w="366"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7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2.25</w:t>
            </w:r>
          </w:p>
        </w:tc>
        <w:tc>
          <w:tcPr>
            <w:tcW w:w="49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2.48</w:t>
            </w:r>
          </w:p>
        </w:tc>
        <w:tc>
          <w:tcPr>
            <w:tcW w:w="3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2.25</w:t>
            </w:r>
          </w:p>
        </w:tc>
        <w:tc>
          <w:tcPr>
            <w:tcW w:w="52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2.48</w:t>
            </w:r>
          </w:p>
        </w:tc>
        <w:tc>
          <w:tcPr>
            <w:tcW w:w="53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2.25</w:t>
            </w:r>
          </w:p>
        </w:tc>
      </w:tr>
      <w:tr w:rsidR="00921892" w:rsidRPr="00942C19" w:rsidTr="00921892">
        <w:trPr>
          <w:trHeight w:val="300"/>
        </w:trPr>
        <w:tc>
          <w:tcPr>
            <w:tcW w:w="843"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Sheetla</w:t>
            </w:r>
          </w:p>
        </w:tc>
        <w:tc>
          <w:tcPr>
            <w:tcW w:w="58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w:t>
            </w:r>
          </w:p>
        </w:tc>
        <w:tc>
          <w:tcPr>
            <w:tcW w:w="366"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7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92"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2.73</w:t>
            </w:r>
          </w:p>
        </w:tc>
        <w:tc>
          <w:tcPr>
            <w:tcW w:w="499"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2.73</w:t>
            </w:r>
          </w:p>
        </w:tc>
        <w:tc>
          <w:tcPr>
            <w:tcW w:w="39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2.73</w:t>
            </w:r>
          </w:p>
        </w:tc>
        <w:tc>
          <w:tcPr>
            <w:tcW w:w="521"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2.73</w:t>
            </w:r>
          </w:p>
        </w:tc>
        <w:tc>
          <w:tcPr>
            <w:tcW w:w="53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2.73</w:t>
            </w:r>
          </w:p>
        </w:tc>
      </w:tr>
      <w:tr w:rsidR="00921892" w:rsidRPr="00942C19" w:rsidTr="00921892">
        <w:trPr>
          <w:trHeight w:val="300"/>
        </w:trPr>
        <w:tc>
          <w:tcPr>
            <w:tcW w:w="843" w:type="pct"/>
            <w:shd w:val="clear" w:color="auto" w:fill="auto"/>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587"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463</w:t>
            </w:r>
          </w:p>
        </w:tc>
        <w:tc>
          <w:tcPr>
            <w:tcW w:w="366"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1485</w:t>
            </w:r>
          </w:p>
        </w:tc>
        <w:tc>
          <w:tcPr>
            <w:tcW w:w="392"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75"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93.56</w:t>
            </w:r>
          </w:p>
        </w:tc>
        <w:tc>
          <w:tcPr>
            <w:tcW w:w="392"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99"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5.21</w:t>
            </w:r>
          </w:p>
        </w:tc>
        <w:tc>
          <w:tcPr>
            <w:tcW w:w="391"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21"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98.77</w:t>
            </w:r>
          </w:p>
        </w:tc>
        <w:tc>
          <w:tcPr>
            <w:tcW w:w="534"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0.67</w:t>
            </w:r>
          </w:p>
        </w:tc>
      </w:tr>
    </w:tbl>
    <w:p w:rsidR="00327FDD" w:rsidRPr="00942C19" w:rsidRDefault="00327FDD" w:rsidP="00327FDD">
      <w:pPr>
        <w:pStyle w:val="Heading2"/>
        <w:keepNext/>
        <w:numPr>
          <w:ilvl w:val="0"/>
          <w:numId w:val="0"/>
        </w:numPr>
        <w:autoSpaceDE/>
        <w:autoSpaceDN/>
        <w:adjustRightInd/>
        <w:spacing w:before="0" w:line="276" w:lineRule="auto"/>
        <w:ind w:left="576"/>
        <w:contextualSpacing w:val="0"/>
      </w:pPr>
      <w:bookmarkStart w:id="520" w:name="_Toc356322590"/>
      <w:bookmarkStart w:id="521" w:name="_Toc325475522"/>
      <w:bookmarkStart w:id="522" w:name="_Toc356322591"/>
      <w:bookmarkEnd w:id="520"/>
    </w:p>
    <w:p w:rsidR="00C8350E" w:rsidRPr="00942C19" w:rsidRDefault="00C8350E" w:rsidP="00327FDD">
      <w:pPr>
        <w:pStyle w:val="Heading2"/>
        <w:keepNext/>
        <w:numPr>
          <w:ilvl w:val="0"/>
          <w:numId w:val="0"/>
        </w:numPr>
        <w:autoSpaceDE/>
        <w:autoSpaceDN/>
        <w:adjustRightInd/>
        <w:spacing w:before="0" w:line="276" w:lineRule="auto"/>
        <w:ind w:left="576"/>
        <w:contextualSpacing w:val="0"/>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523" w:name="_Toc357714396"/>
      <w:r w:rsidRPr="00942C19">
        <w:t>CAPACITY ALLOCATION FROM CENTRAL GENERATING STATIONS &amp; OTHER STATIONS</w:t>
      </w:r>
      <w:bookmarkEnd w:id="521"/>
      <w:bookmarkEnd w:id="522"/>
      <w:bookmarkEnd w:id="523"/>
    </w:p>
    <w:p w:rsidR="00222C32" w:rsidRPr="00942C19" w:rsidRDefault="00222C32" w:rsidP="00222C32">
      <w:pPr>
        <w:pStyle w:val="Heading3"/>
        <w:numPr>
          <w:ilvl w:val="0"/>
          <w:numId w:val="0"/>
        </w:numPr>
        <w:tabs>
          <w:tab w:val="clear" w:pos="720"/>
          <w:tab w:val="left" w:pos="864"/>
        </w:tabs>
        <w:ind w:left="-288"/>
      </w:pPr>
    </w:p>
    <w:p w:rsidR="00222C32" w:rsidRPr="00942C19" w:rsidRDefault="00222C32" w:rsidP="00222C32">
      <w:pPr>
        <w:pStyle w:val="Heading3"/>
        <w:numPr>
          <w:ilvl w:val="2"/>
          <w:numId w:val="1"/>
        </w:numPr>
        <w:spacing w:before="0"/>
        <w:rPr>
          <w:b/>
        </w:rPr>
      </w:pPr>
      <w:r w:rsidRPr="00942C19">
        <w:rPr>
          <w:b/>
        </w:rPr>
        <w:t xml:space="preserve">The </w:t>
      </w:r>
      <w:r w:rsidR="009A3804" w:rsidRPr="00942C19">
        <w:rPr>
          <w:b/>
        </w:rPr>
        <w:t>Licensee</w:t>
      </w:r>
      <w:r w:rsidRPr="00942C19">
        <w:rPr>
          <w:b/>
        </w:rPr>
        <w:t>’s Submission:</w:t>
      </w:r>
    </w:p>
    <w:p w:rsidR="00A44CA7" w:rsidRPr="00942C19" w:rsidRDefault="00A44CA7">
      <w:pPr>
        <w:tabs>
          <w:tab w:val="left" w:pos="360"/>
        </w:tabs>
        <w:spacing w:before="0"/>
      </w:pPr>
    </w:p>
    <w:p w:rsidR="00222C32" w:rsidRPr="00942C19" w:rsidRDefault="009A3804" w:rsidP="00D05C4B">
      <w:pPr>
        <w:pStyle w:val="Heading4"/>
      </w:pPr>
      <w:r w:rsidRPr="00942C19">
        <w:t>Licensee</w:t>
      </w:r>
      <w:r w:rsidR="00222C32" w:rsidRPr="00942C19">
        <w:t xml:space="preserve"> procures power from Central Generating Stations (CGS) which includes power from National Thermal Power Corporation Ltd. (NTPC), National Hydro Power Corporation Ltd. (NHPC), </w:t>
      </w:r>
      <w:r w:rsidR="00C8350E" w:rsidRPr="00942C19">
        <w:t>and Nuclear</w:t>
      </w:r>
      <w:r w:rsidR="00222C32" w:rsidRPr="00942C19">
        <w:t xml:space="preserve"> Power Corporation of India Ltd. (NPCIL) as well as from generating station with Joint Ventures and Independent </w:t>
      </w:r>
      <w:r w:rsidR="00C8350E" w:rsidRPr="00942C19">
        <w:t>Power</w:t>
      </w:r>
      <w:r w:rsidR="00222C32" w:rsidRPr="00942C19">
        <w:t xml:space="preserve"> Producer’s (IPPs). The </w:t>
      </w:r>
      <w:r w:rsidRPr="00942C19">
        <w:t>Licensee</w:t>
      </w:r>
      <w:r w:rsidR="00222C32" w:rsidRPr="00942C19">
        <w:t xml:space="preserve"> in its ARR / Tariff </w:t>
      </w:r>
      <w:r w:rsidR="00C8350E" w:rsidRPr="00942C19">
        <w:t>P</w:t>
      </w:r>
      <w:r w:rsidR="00222C32" w:rsidRPr="00942C19">
        <w:t>etition for FY 2013-14 has submitted that the cost of power procurement for FY 2013-14 from these sources has been based on</w:t>
      </w:r>
      <w:r w:rsidR="00C8350E" w:rsidRPr="00942C19">
        <w:t>:</w:t>
      </w:r>
      <w:r w:rsidR="00222C32" w:rsidRPr="00942C19">
        <w:t xml:space="preserve"> </w:t>
      </w:r>
    </w:p>
    <w:p w:rsidR="00222C32" w:rsidRPr="00942C19" w:rsidRDefault="00222C32" w:rsidP="00A818DC">
      <w:pPr>
        <w:pStyle w:val="ListParagraph"/>
        <w:numPr>
          <w:ilvl w:val="0"/>
          <w:numId w:val="53"/>
        </w:numPr>
        <w:tabs>
          <w:tab w:val="left" w:pos="360"/>
        </w:tabs>
        <w:spacing w:before="0"/>
      </w:pPr>
      <w:r w:rsidRPr="00942C19">
        <w:t>Provisional power purchase cost and units of FY 2011- 12</w:t>
      </w:r>
    </w:p>
    <w:p w:rsidR="00222C32" w:rsidRPr="00942C19" w:rsidRDefault="00222C32" w:rsidP="00A818DC">
      <w:pPr>
        <w:pStyle w:val="ListParagraph"/>
        <w:numPr>
          <w:ilvl w:val="0"/>
          <w:numId w:val="53"/>
        </w:numPr>
        <w:tabs>
          <w:tab w:val="left" w:pos="360"/>
        </w:tabs>
        <w:spacing w:before="0"/>
      </w:pPr>
      <w:r w:rsidRPr="00942C19">
        <w:t xml:space="preserve">Trend observed in the previous and current year (Copies of power purchase bills for the month of June 2012 have been furnished by the </w:t>
      </w:r>
      <w:r w:rsidR="009A3804" w:rsidRPr="00942C19">
        <w:t>Licensee</w:t>
      </w:r>
      <w:r w:rsidRPr="00942C19">
        <w:t>)</w:t>
      </w:r>
    </w:p>
    <w:p w:rsidR="00222C32" w:rsidRPr="00942C19" w:rsidRDefault="00222C32" w:rsidP="00A818DC">
      <w:pPr>
        <w:pStyle w:val="ListParagraph"/>
        <w:numPr>
          <w:ilvl w:val="0"/>
          <w:numId w:val="53"/>
        </w:numPr>
        <w:tabs>
          <w:tab w:val="left" w:pos="360"/>
        </w:tabs>
        <w:spacing w:before="0"/>
      </w:pPr>
      <w:r w:rsidRPr="00942C19">
        <w:t>Impact of loss reduction initiatives.</w:t>
      </w:r>
    </w:p>
    <w:p w:rsidR="00222C32" w:rsidRPr="00942C19" w:rsidRDefault="00222C32" w:rsidP="00A818DC">
      <w:pPr>
        <w:pStyle w:val="ListParagraph"/>
        <w:numPr>
          <w:ilvl w:val="0"/>
          <w:numId w:val="53"/>
        </w:numPr>
        <w:tabs>
          <w:tab w:val="left" w:pos="360"/>
        </w:tabs>
        <w:spacing w:before="0"/>
      </w:pPr>
      <w:r w:rsidRPr="00942C19">
        <w:t>Estimated growth in sales.</w:t>
      </w:r>
    </w:p>
    <w:p w:rsidR="00222C32" w:rsidRPr="00942C19" w:rsidRDefault="00222C32" w:rsidP="00A818DC">
      <w:pPr>
        <w:pStyle w:val="ListParagraph"/>
        <w:numPr>
          <w:ilvl w:val="0"/>
          <w:numId w:val="53"/>
        </w:numPr>
        <w:tabs>
          <w:tab w:val="left" w:pos="360"/>
        </w:tabs>
        <w:spacing w:before="0"/>
      </w:pPr>
      <w:r w:rsidRPr="00942C19">
        <w:t xml:space="preserve">Share of expected capacity available from various Generators to the </w:t>
      </w:r>
      <w:r w:rsidR="009A3804" w:rsidRPr="00942C19">
        <w:t>Licensee</w:t>
      </w:r>
      <w:r w:rsidRPr="00942C19">
        <w:t>.</w:t>
      </w:r>
    </w:p>
    <w:p w:rsidR="00222C32" w:rsidRPr="00942C19" w:rsidRDefault="00222C32" w:rsidP="00D05C4B">
      <w:pPr>
        <w:pStyle w:val="Heading4"/>
      </w:pPr>
      <w:r w:rsidRPr="00942C19">
        <w:t xml:space="preserve">The </w:t>
      </w:r>
      <w:r w:rsidR="009A3804" w:rsidRPr="00942C19">
        <w:t>Licensee</w:t>
      </w:r>
      <w:r w:rsidRPr="00942C19">
        <w:t xml:space="preserve"> has mentioned that the cost of energy from Central Sector </w:t>
      </w:r>
      <w:r w:rsidR="00C8350E" w:rsidRPr="00942C19">
        <w:t>s</w:t>
      </w:r>
      <w:r w:rsidRPr="00942C19">
        <w:t>tation</w:t>
      </w:r>
      <w:r w:rsidR="00C8350E" w:rsidRPr="00942C19">
        <w:t>s</w:t>
      </w:r>
      <w:r w:rsidRPr="00942C19">
        <w:t xml:space="preserve"> has been derived from tariffs approved by Central Electricity Regulatory Commission. The cost of power purchase from IPPs within the State has been determined in accordance with UPERC (Terms and Conditions of Generation Tariff) Regulations, 2009. Similarly the cost of power purchase from IPPs outside the State has been derived from tariffs and power purchase agreement approved by the Commission. The cost of energy from other sources has been derived from the power purchase / banking / trading agreements and tariffs approved by the Central / Appropriate Commissions.</w:t>
      </w:r>
    </w:p>
    <w:p w:rsidR="00A44CA7" w:rsidRPr="00942C19" w:rsidRDefault="00A44CA7">
      <w:pPr>
        <w:spacing w:before="0" w:line="240" w:lineRule="auto"/>
        <w:rPr>
          <w:sz w:val="23"/>
          <w:szCs w:val="23"/>
        </w:rPr>
      </w:pPr>
    </w:p>
    <w:p w:rsidR="00222C32" w:rsidRPr="00942C19" w:rsidRDefault="00222C32" w:rsidP="00D05C4B">
      <w:pPr>
        <w:pStyle w:val="Heading4"/>
      </w:pPr>
      <w:r w:rsidRPr="00942C19">
        <w:t xml:space="preserve">The </w:t>
      </w:r>
      <w:r w:rsidR="009A3804" w:rsidRPr="00942C19">
        <w:t>Licensee</w:t>
      </w:r>
      <w:r w:rsidRPr="00942C19">
        <w:t xml:space="preserve">’s submission of power purchased from NTPC generating stations for FY 2013-14 is provided in </w:t>
      </w:r>
      <w:fldSimple w:instr=" REF _Ref325470290 \h  \* MERGEFORMAT ">
        <w:r w:rsidR="00984AA4" w:rsidRPr="00942C19">
          <w:t xml:space="preserve">Table </w:t>
        </w:r>
        <w:r w:rsidR="00984AA4" w:rsidRPr="00942C19">
          <w:rPr>
            <w:noProof/>
          </w:rPr>
          <w:t>4</w:t>
        </w:r>
        <w:r w:rsidR="00984AA4" w:rsidRPr="00942C19">
          <w:rPr>
            <w:noProof/>
          </w:rPr>
          <w:noBreakHyphen/>
          <w:t>14</w:t>
        </w:r>
      </w:fldSimple>
      <w:r w:rsidRPr="00942C19">
        <w:t xml:space="preserve"> given below:</w:t>
      </w:r>
    </w:p>
    <w:p w:rsidR="00222C32" w:rsidRPr="00942C19" w:rsidRDefault="00222C32" w:rsidP="002D7CDF">
      <w:pPr>
        <w:pStyle w:val="Caption"/>
        <w:keepNext/>
        <w:ind w:left="720" w:firstLine="720"/>
        <w:jc w:val="center"/>
      </w:pPr>
      <w:bookmarkStart w:id="524" w:name="_Ref325470290"/>
      <w:bookmarkStart w:id="525" w:name="_Toc325475666"/>
      <w:bookmarkStart w:id="526" w:name="_Toc338310681"/>
      <w:bookmarkStart w:id="527" w:name="_Toc338419511"/>
      <w:bookmarkStart w:id="528" w:name="_Toc357719708"/>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14</w:t>
      </w:r>
      <w:r w:rsidR="000C642E" w:rsidRPr="00942C19">
        <w:fldChar w:fldCharType="end"/>
      </w:r>
      <w:bookmarkEnd w:id="524"/>
      <w:r w:rsidRPr="00942C19">
        <w:t>: DETAILS OF POWER PURCHASE COST FROM NTPC STATIONS</w:t>
      </w:r>
      <w:r w:rsidR="002D7CDF" w:rsidRPr="00942C19">
        <w:t xml:space="preserve"> </w:t>
      </w:r>
      <w:r w:rsidRPr="00942C19">
        <w:t>FOR FY 2013-14 - PETITION</w:t>
      </w:r>
      <w:bookmarkEnd w:id="525"/>
      <w:bookmarkEnd w:id="526"/>
      <w:bookmarkEnd w:id="527"/>
      <w:bookmarkEnd w:id="528"/>
    </w:p>
    <w:tbl>
      <w:tblPr>
        <w:tblW w:w="526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16"/>
        <w:gridCol w:w="1062"/>
        <w:gridCol w:w="774"/>
        <w:gridCol w:w="708"/>
        <w:gridCol w:w="1001"/>
        <w:gridCol w:w="708"/>
        <w:gridCol w:w="1001"/>
        <w:gridCol w:w="708"/>
        <w:gridCol w:w="1113"/>
        <w:gridCol w:w="967"/>
      </w:tblGrid>
      <w:tr w:rsidR="00921892" w:rsidRPr="00942C19" w:rsidTr="00C8350E">
        <w:trPr>
          <w:trHeight w:val="600"/>
          <w:tblHeader/>
          <w:jc w:val="center"/>
        </w:trPr>
        <w:tc>
          <w:tcPr>
            <w:tcW w:w="790"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480"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414" w:type="pct"/>
            <w:vMerge w:val="restar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13"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913"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973" w:type="pct"/>
            <w:gridSpan w:val="2"/>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517"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C8350E" w:rsidRPr="00942C19" w:rsidTr="00C8350E">
        <w:trPr>
          <w:trHeight w:val="600"/>
          <w:tblHeader/>
          <w:jc w:val="center"/>
        </w:trPr>
        <w:tc>
          <w:tcPr>
            <w:tcW w:w="790" w:type="pct"/>
            <w:vMerge/>
            <w:vAlign w:val="center"/>
            <w:hideMark/>
          </w:tcPr>
          <w:p w:rsidR="00921892" w:rsidRPr="00942C19" w:rsidRDefault="00921892" w:rsidP="00921892">
            <w:pPr>
              <w:spacing w:before="0" w:line="240" w:lineRule="auto"/>
              <w:jc w:val="left"/>
              <w:rPr>
                <w:rFonts w:cs="Calibri"/>
                <w:b/>
                <w:bCs/>
                <w:sz w:val="22"/>
                <w:szCs w:val="22"/>
                <w:lang w:val="en-IN" w:eastAsia="en-IN"/>
              </w:rPr>
            </w:pPr>
          </w:p>
        </w:tc>
        <w:tc>
          <w:tcPr>
            <w:tcW w:w="480"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414" w:type="pct"/>
            <w:vMerge/>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378"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35"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78"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35"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78"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95"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517" w:type="pct"/>
            <w:shd w:val="clear" w:color="000000" w:fill="DBE5F1"/>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Anta</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114</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849</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0.71</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60.49</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4.90</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415.83</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5.61</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476.32</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5.61</w:t>
            </w:r>
          </w:p>
        </w:tc>
      </w:tr>
      <w:tr w:rsidR="00C8350E" w:rsidRPr="00942C19" w:rsidTr="00C8350E">
        <w:trPr>
          <w:trHeight w:val="300"/>
          <w:jc w:val="center"/>
        </w:trPr>
        <w:tc>
          <w:tcPr>
            <w:tcW w:w="790" w:type="pct"/>
            <w:shd w:val="clear" w:color="auto" w:fill="auto"/>
            <w:hideMark/>
          </w:tcPr>
          <w:p w:rsidR="00921892" w:rsidRPr="00942C19" w:rsidRDefault="007C4D9D" w:rsidP="00921892">
            <w:pPr>
              <w:spacing w:before="0" w:line="240" w:lineRule="auto"/>
              <w:jc w:val="left"/>
              <w:rPr>
                <w:rFonts w:cs="Calibri"/>
                <w:sz w:val="22"/>
                <w:szCs w:val="22"/>
                <w:lang w:val="en-IN" w:eastAsia="en-IN"/>
              </w:rPr>
            </w:pPr>
            <w:r w:rsidRPr="00942C19">
              <w:rPr>
                <w:rFonts w:cs="Calibri"/>
                <w:sz w:val="22"/>
                <w:szCs w:val="22"/>
                <w:lang w:val="en-IN" w:eastAsia="en-IN"/>
              </w:rPr>
              <w:t>Auraiya</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238</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1769</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0.55</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97.47</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7.06</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1,249.22</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7.61</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1,346.68</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7.61</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Dadri Thermal</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126</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697</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1.15</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80.34</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3.16</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219.93</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4.31</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300.27</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4.31</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Dadri Gas</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267</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1986</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0.62</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123.27</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5.26</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1,044.90</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5.88</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1,168.17</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5.88</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Dadri Extension</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151</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1073</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1.67</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179.52</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3.11</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334.00</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4.78</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513.52</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4.78</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Rihand-I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375</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2828</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0.79</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222.11</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1.35</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383.05</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605.16</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2.14</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Rihand-II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345</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2524</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1.03</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259.70</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1.35</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341.87</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2.38</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601.57</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2.38</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Singrauli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853</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6420</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0.55</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354.35</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1.30</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831.63</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1.85</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1,185.98</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1.85</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Tanda</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440</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3276</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1.20</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392.29</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2.45</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801.89</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3.65</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1,194.18</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3.65</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Unchahar-I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257</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1951</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0.82</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160.72</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2.44</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476.41</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3.27</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637.13</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3.27</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Unchahar-II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150</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1090</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1.02</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111.07</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2.44</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266.30</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3.46</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377.37</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3.46</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Unchahar-III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73</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593</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1.30</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77.34</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2.44</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144.96</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3.75</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222.30</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3.75</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Farakka</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33</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199</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0.98</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19.57</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3.40</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67.79</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4.38</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87.36</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4.38</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Kahalgaon St. 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77</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581</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0.91</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52.82</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3.13</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182.01</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4.04</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234.83</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4.04</w:t>
            </w:r>
          </w:p>
        </w:tc>
      </w:tr>
      <w:tr w:rsidR="00C8350E" w:rsidRPr="00942C19" w:rsidTr="00C8350E">
        <w:trPr>
          <w:trHeight w:val="6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Kahalgaon St.II Ph.I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251</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1712</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1.28</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218.84</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2.96</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506.11</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4.23</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724.95</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4.23</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sz w:val="22"/>
                <w:szCs w:val="22"/>
                <w:lang w:val="en-IN" w:eastAsia="en-IN"/>
              </w:rPr>
            </w:pPr>
            <w:r w:rsidRPr="00942C19">
              <w:rPr>
                <w:rFonts w:cs="Calibri"/>
                <w:sz w:val="22"/>
                <w:szCs w:val="22"/>
                <w:lang w:val="en-IN" w:eastAsia="en-IN"/>
              </w:rPr>
              <w:t>Rihand-III</w:t>
            </w:r>
          </w:p>
        </w:tc>
        <w:tc>
          <w:tcPr>
            <w:tcW w:w="480"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340</w:t>
            </w:r>
          </w:p>
        </w:tc>
        <w:tc>
          <w:tcPr>
            <w:tcW w:w="414"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1523</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3.25</w:t>
            </w:r>
          </w:p>
        </w:tc>
        <w:tc>
          <w:tcPr>
            <w:tcW w:w="53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494.87</w:t>
            </w:r>
          </w:p>
        </w:tc>
        <w:tc>
          <w:tcPr>
            <w:tcW w:w="378"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3.25</w:t>
            </w:r>
          </w:p>
        </w:tc>
        <w:tc>
          <w:tcPr>
            <w:tcW w:w="595"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494.87</w:t>
            </w:r>
          </w:p>
        </w:tc>
        <w:tc>
          <w:tcPr>
            <w:tcW w:w="517" w:type="pct"/>
            <w:shd w:val="clear" w:color="auto" w:fill="auto"/>
            <w:vAlign w:val="center"/>
            <w:hideMark/>
          </w:tcPr>
          <w:p w:rsidR="00921892" w:rsidRPr="00942C19" w:rsidRDefault="00921892" w:rsidP="00921892">
            <w:pPr>
              <w:spacing w:before="0" w:line="240" w:lineRule="auto"/>
              <w:jc w:val="center"/>
              <w:rPr>
                <w:rFonts w:cs="Calibri"/>
                <w:sz w:val="22"/>
                <w:szCs w:val="22"/>
                <w:lang w:val="en-IN" w:eastAsia="en-IN"/>
              </w:rPr>
            </w:pPr>
            <w:r w:rsidRPr="00942C19">
              <w:rPr>
                <w:rFonts w:cs="Calibri"/>
                <w:sz w:val="22"/>
                <w:szCs w:val="22"/>
                <w:lang w:val="en-IN" w:eastAsia="en-IN"/>
              </w:rPr>
              <w:t>3.25</w:t>
            </w:r>
          </w:p>
        </w:tc>
      </w:tr>
      <w:tr w:rsidR="00C8350E" w:rsidRPr="00942C19" w:rsidTr="00C8350E">
        <w:trPr>
          <w:trHeight w:val="300"/>
          <w:jc w:val="center"/>
        </w:trPr>
        <w:tc>
          <w:tcPr>
            <w:tcW w:w="790" w:type="pct"/>
            <w:shd w:val="clear" w:color="auto" w:fill="auto"/>
            <w:hideMark/>
          </w:tcPr>
          <w:p w:rsidR="00921892" w:rsidRPr="00942C19" w:rsidRDefault="00921892" w:rsidP="00921892">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480"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4088</w:t>
            </w:r>
          </w:p>
        </w:tc>
        <w:tc>
          <w:tcPr>
            <w:tcW w:w="414"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29071</w:t>
            </w:r>
          </w:p>
        </w:tc>
        <w:tc>
          <w:tcPr>
            <w:tcW w:w="378"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35"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2,409.91</w:t>
            </w:r>
          </w:p>
        </w:tc>
        <w:tc>
          <w:tcPr>
            <w:tcW w:w="378"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35"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7,760.76</w:t>
            </w:r>
          </w:p>
        </w:tc>
        <w:tc>
          <w:tcPr>
            <w:tcW w:w="378"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p>
        </w:tc>
        <w:tc>
          <w:tcPr>
            <w:tcW w:w="595"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10,170.67</w:t>
            </w:r>
          </w:p>
        </w:tc>
        <w:tc>
          <w:tcPr>
            <w:tcW w:w="517" w:type="pct"/>
            <w:shd w:val="clear" w:color="auto" w:fill="auto"/>
            <w:vAlign w:val="center"/>
            <w:hideMark/>
          </w:tcPr>
          <w:p w:rsidR="00921892" w:rsidRPr="00942C19" w:rsidRDefault="00921892" w:rsidP="00921892">
            <w:pPr>
              <w:spacing w:before="0" w:line="240" w:lineRule="auto"/>
              <w:jc w:val="center"/>
              <w:rPr>
                <w:rFonts w:cs="Calibri"/>
                <w:b/>
                <w:bCs/>
                <w:sz w:val="22"/>
                <w:szCs w:val="22"/>
                <w:lang w:val="en-IN" w:eastAsia="en-IN"/>
              </w:rPr>
            </w:pPr>
            <w:r w:rsidRPr="00942C19">
              <w:rPr>
                <w:rFonts w:cs="Calibri"/>
                <w:b/>
                <w:bCs/>
                <w:sz w:val="22"/>
                <w:szCs w:val="22"/>
                <w:lang w:val="en-IN" w:eastAsia="en-IN"/>
              </w:rPr>
              <w:t>3.50</w:t>
            </w:r>
          </w:p>
        </w:tc>
      </w:tr>
    </w:tbl>
    <w:p w:rsidR="00A44CA7" w:rsidRPr="00942C19" w:rsidRDefault="00222C32">
      <w:pPr>
        <w:pStyle w:val="Heading3"/>
        <w:numPr>
          <w:ilvl w:val="0"/>
          <w:numId w:val="0"/>
        </w:numPr>
        <w:tabs>
          <w:tab w:val="clear" w:pos="720"/>
          <w:tab w:val="left" w:pos="864"/>
        </w:tabs>
        <w:jc w:val="center"/>
        <w:rPr>
          <w:b/>
        </w:rPr>
      </w:pPr>
      <w:r w:rsidRPr="00942C19" w:rsidDel="00237AE3">
        <w:t xml:space="preserve"> </w:t>
      </w:r>
    </w:p>
    <w:p w:rsidR="00222C32" w:rsidRPr="00942C19" w:rsidRDefault="00222C32" w:rsidP="00222C32">
      <w:pPr>
        <w:pStyle w:val="Heading3"/>
        <w:numPr>
          <w:ilvl w:val="2"/>
          <w:numId w:val="1"/>
        </w:numPr>
        <w:spacing w:before="0"/>
        <w:rPr>
          <w:b/>
        </w:rPr>
      </w:pPr>
      <w:r w:rsidRPr="00942C19">
        <w:rPr>
          <w:b/>
        </w:rPr>
        <w:t>The Commission’s Analysis:</w:t>
      </w:r>
    </w:p>
    <w:p w:rsidR="00D05C4B" w:rsidRPr="00942C19" w:rsidRDefault="00D05C4B" w:rsidP="00D05C4B">
      <w:pPr>
        <w:tabs>
          <w:tab w:val="left" w:pos="360"/>
        </w:tabs>
        <w:spacing w:before="0"/>
      </w:pPr>
    </w:p>
    <w:p w:rsidR="00222C32" w:rsidRPr="00942C19" w:rsidRDefault="00222C32" w:rsidP="00D05C4B">
      <w:pPr>
        <w:pStyle w:val="Heading4"/>
      </w:pPr>
      <w:r w:rsidRPr="00942C19">
        <w:t xml:space="preserve">The assumptions considered by Commission while approving the power purchase from the NTPC generating stations is given in </w:t>
      </w:r>
      <w:fldSimple w:instr=" REF _Ref325470342 \h  \* MERGEFORMAT ">
        <w:r w:rsidR="00984AA4" w:rsidRPr="00942C19">
          <w:t xml:space="preserve">Table </w:t>
        </w:r>
        <w:r w:rsidR="00984AA4" w:rsidRPr="00942C19">
          <w:rPr>
            <w:noProof/>
          </w:rPr>
          <w:t>4</w:t>
        </w:r>
        <w:r w:rsidR="00984AA4" w:rsidRPr="00942C19">
          <w:rPr>
            <w:noProof/>
          </w:rPr>
          <w:noBreakHyphen/>
          <w:t>15</w:t>
        </w:r>
      </w:fldSimple>
      <w:r w:rsidRPr="00942C19">
        <w:t xml:space="preserve"> below:</w:t>
      </w:r>
    </w:p>
    <w:p w:rsidR="00222C32" w:rsidRPr="00942C19" w:rsidRDefault="00222C32" w:rsidP="00222C32">
      <w:pPr>
        <w:pStyle w:val="Caption"/>
        <w:keepNext/>
        <w:jc w:val="center"/>
      </w:pPr>
      <w:bookmarkStart w:id="529" w:name="_Ref325470342"/>
      <w:bookmarkStart w:id="530" w:name="_Toc325475667"/>
      <w:bookmarkStart w:id="531" w:name="_Toc338310682"/>
      <w:bookmarkStart w:id="532" w:name="_Toc338419512"/>
      <w:bookmarkStart w:id="533" w:name="_Toc357719709"/>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15</w:t>
      </w:r>
      <w:r w:rsidR="000C642E" w:rsidRPr="00942C19">
        <w:fldChar w:fldCharType="end"/>
      </w:r>
      <w:bookmarkEnd w:id="529"/>
      <w:r w:rsidRPr="00942C19">
        <w:t xml:space="preserve">: ASSUMPTIONS OF POWER PURCHASE FROM NTPC - FY </w:t>
      </w:r>
      <w:bookmarkEnd w:id="530"/>
      <w:bookmarkEnd w:id="531"/>
      <w:bookmarkEnd w:id="532"/>
      <w:r w:rsidRPr="00942C19">
        <w:t>2013-14</w:t>
      </w:r>
      <w:bookmarkEnd w:id="533"/>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942C19" w:rsidTr="00921892">
        <w:trPr>
          <w:trHeight w:val="600"/>
        </w:trPr>
        <w:tc>
          <w:tcPr>
            <w:tcW w:w="322" w:type="pct"/>
            <w:shd w:val="clear" w:color="000000" w:fill="DBE5F1"/>
            <w:noWrap/>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S. No.</w:t>
            </w:r>
          </w:p>
        </w:tc>
        <w:tc>
          <w:tcPr>
            <w:tcW w:w="1497" w:type="pct"/>
            <w:shd w:val="clear" w:color="000000" w:fill="DBE5F1"/>
            <w:noWrap/>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Particulars</w:t>
            </w:r>
          </w:p>
        </w:tc>
        <w:tc>
          <w:tcPr>
            <w:tcW w:w="3182" w:type="pct"/>
            <w:shd w:val="clear" w:color="000000" w:fill="DBE5F1"/>
            <w:noWrap/>
            <w:hideMark/>
          </w:tcPr>
          <w:p w:rsidR="00921892" w:rsidRPr="00942C19" w:rsidRDefault="00921892" w:rsidP="00921892">
            <w:pPr>
              <w:spacing w:before="0" w:line="240" w:lineRule="auto"/>
              <w:contextualSpacing/>
              <w:rPr>
                <w:rFonts w:cs="Calibri"/>
                <w:b/>
                <w:bCs/>
                <w:sz w:val="22"/>
                <w:szCs w:val="22"/>
                <w:lang w:val="en-IN" w:eastAsia="en-IN"/>
              </w:rPr>
            </w:pPr>
            <w:r w:rsidRPr="00942C19">
              <w:rPr>
                <w:rFonts w:cs="Calibri"/>
                <w:b/>
                <w:bCs/>
                <w:sz w:val="22"/>
                <w:szCs w:val="22"/>
                <w:lang w:val="en-IN" w:eastAsia="en-IN"/>
              </w:rPr>
              <w:t>Assumption</w:t>
            </w:r>
          </w:p>
        </w:tc>
      </w:tr>
      <w:tr w:rsidR="00921892" w:rsidRPr="00942C19" w:rsidTr="00921892">
        <w:trPr>
          <w:trHeight w:val="300"/>
        </w:trPr>
        <w:tc>
          <w:tcPr>
            <w:tcW w:w="322" w:type="pct"/>
            <w:vMerge w:val="restart"/>
            <w:shd w:val="clear" w:color="auto" w:fill="auto"/>
            <w:noWrap/>
            <w:hideMark/>
          </w:tcPr>
          <w:p w:rsidR="00921892" w:rsidRPr="00942C19" w:rsidRDefault="00921892" w:rsidP="00921892">
            <w:pPr>
              <w:spacing w:before="0" w:line="240" w:lineRule="auto"/>
              <w:contextualSpacing/>
              <w:jc w:val="center"/>
              <w:rPr>
                <w:rFonts w:cs="Calibri"/>
                <w:sz w:val="22"/>
                <w:szCs w:val="22"/>
                <w:lang w:val="en-IN" w:eastAsia="en-IN"/>
              </w:rPr>
            </w:pPr>
            <w:r w:rsidRPr="00942C19">
              <w:rPr>
                <w:rFonts w:cs="Calibri"/>
                <w:sz w:val="22"/>
                <w:szCs w:val="22"/>
                <w:lang w:val="en-IN" w:eastAsia="en-IN"/>
              </w:rPr>
              <w:t>1</w:t>
            </w:r>
          </w:p>
        </w:tc>
        <w:tc>
          <w:tcPr>
            <w:tcW w:w="1497" w:type="pct"/>
            <w:vMerge w:val="restart"/>
            <w:shd w:val="clear" w:color="auto" w:fill="auto"/>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Power Purchase Quantum</w:t>
            </w:r>
          </w:p>
        </w:tc>
        <w:tc>
          <w:tcPr>
            <w:tcW w:w="3182" w:type="pct"/>
            <w:vMerge w:val="restart"/>
            <w:shd w:val="clear" w:color="auto" w:fill="auto"/>
            <w:hideMark/>
          </w:tcPr>
          <w:p w:rsidR="00155FB3" w:rsidRPr="00942C19" w:rsidRDefault="00921892" w:rsidP="00155FB3">
            <w:pPr>
              <w:spacing w:before="0" w:line="240" w:lineRule="auto"/>
              <w:contextualSpacing/>
              <w:rPr>
                <w:rFonts w:cs="Calibri"/>
                <w:b/>
                <w:bCs/>
                <w:color w:val="333399"/>
                <w:kern w:val="32"/>
                <w:sz w:val="22"/>
                <w:szCs w:val="22"/>
                <w:lang w:val="en-IN" w:eastAsia="en-IN"/>
              </w:rPr>
            </w:pPr>
            <w:r w:rsidRPr="00942C19">
              <w:rPr>
                <w:rFonts w:cs="Calibri"/>
                <w:sz w:val="22"/>
                <w:szCs w:val="22"/>
                <w:lang w:val="en-IN" w:eastAsia="en-IN"/>
              </w:rPr>
              <w:t xml:space="preserve">Net Power Purchase Quantum is derived as a product of respective power plants MW capacity, plant load factor (PLF) and UP </w:t>
            </w:r>
            <w:r w:rsidR="00112A2A" w:rsidRPr="00942C19">
              <w:rPr>
                <w:rFonts w:cs="Calibri"/>
                <w:sz w:val="22"/>
                <w:szCs w:val="22"/>
                <w:lang w:val="en-IN" w:eastAsia="en-IN"/>
              </w:rPr>
              <w:t>S</w:t>
            </w:r>
            <w:r w:rsidRPr="00942C19">
              <w:rPr>
                <w:rFonts w:cs="Calibri"/>
                <w:sz w:val="22"/>
                <w:szCs w:val="22"/>
                <w:lang w:val="en-IN" w:eastAsia="en-IN"/>
              </w:rPr>
              <w:t xml:space="preserve">tate's </w:t>
            </w:r>
            <w:r w:rsidR="00112A2A" w:rsidRPr="00942C19">
              <w:rPr>
                <w:rFonts w:cs="Calibri"/>
                <w:sz w:val="22"/>
                <w:szCs w:val="22"/>
                <w:lang w:val="en-IN" w:eastAsia="en-IN"/>
              </w:rPr>
              <w:t>S</w:t>
            </w:r>
            <w:r w:rsidRPr="00942C19">
              <w:rPr>
                <w:rFonts w:cs="Calibri"/>
                <w:sz w:val="22"/>
                <w:szCs w:val="22"/>
                <w:lang w:val="en-IN" w:eastAsia="en-IN"/>
              </w:rPr>
              <w:t xml:space="preserve">hare in respective power plant. Further the quantum is approved as per Merit order </w:t>
            </w:r>
            <w:r w:rsidR="00C8350E" w:rsidRPr="00942C19">
              <w:rPr>
                <w:rFonts w:cs="Calibri"/>
                <w:sz w:val="22"/>
                <w:szCs w:val="22"/>
                <w:lang w:val="en-IN" w:eastAsia="en-IN"/>
              </w:rPr>
              <w:t>Dispatch</w:t>
            </w:r>
            <w:r w:rsidRPr="00942C19">
              <w:rPr>
                <w:rFonts w:cs="Calibri"/>
                <w:sz w:val="22"/>
                <w:szCs w:val="22"/>
                <w:lang w:val="en-IN" w:eastAsia="en-IN"/>
              </w:rPr>
              <w:t xml:space="preserve"> principles. </w:t>
            </w: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vMerge w:val="restart"/>
            <w:shd w:val="clear" w:color="auto" w:fill="auto"/>
            <w:noWrap/>
            <w:hideMark/>
          </w:tcPr>
          <w:p w:rsidR="00921892" w:rsidRPr="00942C19" w:rsidRDefault="00921892" w:rsidP="00921892">
            <w:pPr>
              <w:spacing w:before="0" w:line="240" w:lineRule="auto"/>
              <w:contextualSpacing/>
              <w:jc w:val="center"/>
              <w:rPr>
                <w:rFonts w:cs="Calibri"/>
                <w:sz w:val="22"/>
                <w:szCs w:val="22"/>
                <w:lang w:val="en-IN" w:eastAsia="en-IN"/>
              </w:rPr>
            </w:pPr>
            <w:r w:rsidRPr="00942C19">
              <w:rPr>
                <w:rFonts w:cs="Calibri"/>
                <w:sz w:val="22"/>
                <w:szCs w:val="22"/>
                <w:lang w:val="en-IN" w:eastAsia="en-IN"/>
              </w:rPr>
              <w:t>2</w:t>
            </w:r>
          </w:p>
        </w:tc>
        <w:tc>
          <w:tcPr>
            <w:tcW w:w="1497" w:type="pct"/>
            <w:vMerge w:val="restart"/>
            <w:shd w:val="clear" w:color="auto" w:fill="auto"/>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Power Purchase Quantum and Cost from Rihand III</w:t>
            </w:r>
          </w:p>
        </w:tc>
        <w:tc>
          <w:tcPr>
            <w:tcW w:w="3182" w:type="pct"/>
            <w:vMerge w:val="restart"/>
            <w:shd w:val="clear" w:color="auto" w:fill="auto"/>
            <w:hideMark/>
          </w:tcPr>
          <w:p w:rsidR="00D47B3B" w:rsidRPr="00942C19" w:rsidRDefault="00921892">
            <w:pPr>
              <w:spacing w:before="0" w:line="240" w:lineRule="auto"/>
              <w:contextualSpacing/>
              <w:rPr>
                <w:rFonts w:cs="Calibri"/>
                <w:sz w:val="22"/>
                <w:szCs w:val="22"/>
                <w:lang w:val="en-IN" w:eastAsia="en-IN"/>
              </w:rPr>
            </w:pPr>
            <w:r w:rsidRPr="00942C19">
              <w:rPr>
                <w:rFonts w:cs="Calibri"/>
                <w:sz w:val="22"/>
                <w:szCs w:val="22"/>
                <w:lang w:val="en-IN" w:eastAsia="en-IN"/>
              </w:rPr>
              <w:t xml:space="preserve">With no </w:t>
            </w:r>
            <w:r w:rsidR="00C8350E" w:rsidRPr="00942C19">
              <w:rPr>
                <w:rFonts w:cs="Calibri"/>
                <w:sz w:val="22"/>
                <w:szCs w:val="22"/>
                <w:lang w:val="en-IN" w:eastAsia="en-IN"/>
              </w:rPr>
              <w:t>precedence</w:t>
            </w:r>
            <w:r w:rsidRPr="00942C19">
              <w:rPr>
                <w:rFonts w:cs="Calibri"/>
                <w:sz w:val="22"/>
                <w:szCs w:val="22"/>
                <w:lang w:val="en-IN" w:eastAsia="en-IN"/>
              </w:rPr>
              <w:t xml:space="preserve"> to estimates of power purchase quantum and cost from Rihand III, the Commission accepts the submission made by the </w:t>
            </w:r>
            <w:r w:rsidR="009A3804" w:rsidRPr="00942C19">
              <w:rPr>
                <w:rFonts w:cs="Calibri"/>
                <w:sz w:val="22"/>
                <w:szCs w:val="22"/>
                <w:lang w:val="en-IN" w:eastAsia="en-IN"/>
              </w:rPr>
              <w:t>Licensee</w:t>
            </w:r>
            <w:r w:rsidRPr="00942C19">
              <w:rPr>
                <w:rFonts w:cs="Calibri"/>
                <w:sz w:val="22"/>
                <w:szCs w:val="22"/>
                <w:lang w:val="en-IN" w:eastAsia="en-IN"/>
              </w:rPr>
              <w:t xml:space="preserve"> of power purchase quantum and cost f</w:t>
            </w:r>
            <w:r w:rsidR="00C8350E" w:rsidRPr="00942C19">
              <w:rPr>
                <w:rFonts w:cs="Calibri"/>
                <w:sz w:val="22"/>
                <w:szCs w:val="22"/>
                <w:lang w:val="en-IN" w:eastAsia="en-IN"/>
              </w:rPr>
              <w:t xml:space="preserve">rom </w:t>
            </w:r>
            <w:r w:rsidRPr="00942C19">
              <w:rPr>
                <w:rFonts w:cs="Calibri"/>
                <w:sz w:val="22"/>
                <w:szCs w:val="22"/>
                <w:lang w:val="en-IN" w:eastAsia="en-IN"/>
              </w:rPr>
              <w:t>Rihand III.</w:t>
            </w: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269"/>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vMerge w:val="restart"/>
            <w:shd w:val="clear" w:color="auto" w:fill="auto"/>
            <w:noWrap/>
            <w:hideMark/>
          </w:tcPr>
          <w:p w:rsidR="00921892" w:rsidRPr="00942C19" w:rsidRDefault="00921892" w:rsidP="00921892">
            <w:pPr>
              <w:spacing w:before="0" w:line="240" w:lineRule="auto"/>
              <w:contextualSpacing/>
              <w:jc w:val="center"/>
              <w:rPr>
                <w:rFonts w:cs="Calibri"/>
                <w:sz w:val="22"/>
                <w:szCs w:val="22"/>
                <w:lang w:val="en-IN" w:eastAsia="en-IN"/>
              </w:rPr>
            </w:pPr>
            <w:r w:rsidRPr="00942C19">
              <w:rPr>
                <w:rFonts w:cs="Calibri"/>
                <w:sz w:val="22"/>
                <w:szCs w:val="22"/>
                <w:lang w:val="en-IN" w:eastAsia="en-IN"/>
              </w:rPr>
              <w:t>3</w:t>
            </w:r>
          </w:p>
        </w:tc>
        <w:tc>
          <w:tcPr>
            <w:tcW w:w="1497" w:type="pct"/>
            <w:vMerge w:val="restart"/>
            <w:shd w:val="clear" w:color="auto" w:fill="auto"/>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Fixed Charges</w:t>
            </w:r>
          </w:p>
        </w:tc>
        <w:tc>
          <w:tcPr>
            <w:tcW w:w="3182" w:type="pct"/>
            <w:vMerge w:val="restart"/>
            <w:shd w:val="clear" w:color="auto" w:fill="auto"/>
            <w:hideMark/>
          </w:tcPr>
          <w:p w:rsidR="00D47B3B" w:rsidRPr="00942C19" w:rsidRDefault="00921892">
            <w:pPr>
              <w:spacing w:before="0" w:line="240" w:lineRule="auto"/>
              <w:contextualSpacing/>
              <w:rPr>
                <w:rFonts w:cs="Calibri"/>
                <w:sz w:val="22"/>
                <w:szCs w:val="22"/>
                <w:lang w:val="en-IN" w:eastAsia="en-IN"/>
              </w:rPr>
            </w:pPr>
            <w:r w:rsidRPr="00942C19">
              <w:rPr>
                <w:rFonts w:cs="Calibri"/>
                <w:sz w:val="22"/>
                <w:szCs w:val="22"/>
                <w:lang w:val="en-IN" w:eastAsia="en-IN"/>
              </w:rPr>
              <w:t>Fixed charges are computed after considering UP state's all</w:t>
            </w:r>
            <w:r w:rsidR="00C8350E" w:rsidRPr="00942C19">
              <w:rPr>
                <w:rFonts w:cs="Calibri"/>
                <w:sz w:val="22"/>
                <w:szCs w:val="22"/>
                <w:lang w:val="en-IN" w:eastAsia="en-IN"/>
              </w:rPr>
              <w:t>ocated S</w:t>
            </w:r>
            <w:r w:rsidRPr="00942C19">
              <w:rPr>
                <w:rFonts w:cs="Calibri"/>
                <w:sz w:val="22"/>
                <w:szCs w:val="22"/>
                <w:lang w:val="en-IN" w:eastAsia="en-IN"/>
              </w:rPr>
              <w:t>hare in respective power plant as per Regional Energy Accounting Report and Annual Report of NRPC and ERPC and fixed cost approved as per CERC order for respective power plants.</w:t>
            </w: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269"/>
        </w:trPr>
        <w:tc>
          <w:tcPr>
            <w:tcW w:w="322" w:type="pct"/>
            <w:vMerge/>
            <w:vAlign w:val="center"/>
            <w:hideMark/>
          </w:tcPr>
          <w:p w:rsidR="00921892" w:rsidRPr="00942C19"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942C19"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942C19" w:rsidRDefault="00921892" w:rsidP="00921892">
            <w:pPr>
              <w:spacing w:before="0" w:line="240" w:lineRule="auto"/>
              <w:contextualSpacing/>
              <w:rPr>
                <w:rFonts w:cs="Calibri"/>
                <w:sz w:val="22"/>
                <w:szCs w:val="22"/>
                <w:lang w:val="en-IN" w:eastAsia="en-IN"/>
              </w:rPr>
            </w:pPr>
          </w:p>
        </w:tc>
      </w:tr>
      <w:tr w:rsidR="00921892" w:rsidRPr="00942C19" w:rsidTr="00921892">
        <w:trPr>
          <w:trHeight w:val="300"/>
        </w:trPr>
        <w:tc>
          <w:tcPr>
            <w:tcW w:w="322" w:type="pct"/>
            <w:shd w:val="clear" w:color="auto" w:fill="auto"/>
            <w:noWrap/>
            <w:hideMark/>
          </w:tcPr>
          <w:p w:rsidR="00921892" w:rsidRPr="00942C19" w:rsidRDefault="00921892" w:rsidP="00921892">
            <w:pPr>
              <w:spacing w:before="0" w:line="240" w:lineRule="auto"/>
              <w:contextualSpacing/>
              <w:jc w:val="center"/>
              <w:rPr>
                <w:rFonts w:cs="Calibri"/>
                <w:sz w:val="22"/>
                <w:szCs w:val="22"/>
                <w:lang w:val="en-IN" w:eastAsia="en-IN"/>
              </w:rPr>
            </w:pPr>
            <w:r w:rsidRPr="00942C19">
              <w:rPr>
                <w:rFonts w:cs="Calibri"/>
                <w:sz w:val="22"/>
                <w:szCs w:val="22"/>
                <w:lang w:val="en-IN" w:eastAsia="en-IN"/>
              </w:rPr>
              <w:t>4</w:t>
            </w:r>
          </w:p>
        </w:tc>
        <w:tc>
          <w:tcPr>
            <w:tcW w:w="1497" w:type="pct"/>
            <w:shd w:val="clear" w:color="auto" w:fill="auto"/>
            <w:hideMark/>
          </w:tcPr>
          <w:p w:rsidR="00921892" w:rsidRPr="00942C19" w:rsidRDefault="00921892" w:rsidP="009218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Variable Charges</w:t>
            </w:r>
          </w:p>
        </w:tc>
        <w:tc>
          <w:tcPr>
            <w:tcW w:w="3182" w:type="pct"/>
            <w:shd w:val="clear" w:color="auto" w:fill="auto"/>
            <w:hideMark/>
          </w:tcPr>
          <w:p w:rsidR="00921892" w:rsidRPr="00942C19" w:rsidRDefault="00921892" w:rsidP="00921892">
            <w:pPr>
              <w:spacing w:before="0" w:line="240" w:lineRule="auto"/>
              <w:contextualSpacing/>
              <w:rPr>
                <w:rFonts w:cs="Calibri"/>
                <w:sz w:val="22"/>
                <w:szCs w:val="22"/>
                <w:lang w:val="en-IN" w:eastAsia="en-IN"/>
              </w:rPr>
            </w:pPr>
            <w:r w:rsidRPr="00942C19">
              <w:rPr>
                <w:rFonts w:cs="Calibri"/>
                <w:sz w:val="22"/>
                <w:szCs w:val="22"/>
                <w:lang w:val="en-IN" w:eastAsia="en-IN"/>
              </w:rPr>
              <w:t xml:space="preserve">Variable </w:t>
            </w:r>
            <w:r w:rsidR="00D31494" w:rsidRPr="00942C19">
              <w:rPr>
                <w:rFonts w:cs="Calibri"/>
                <w:sz w:val="22"/>
                <w:szCs w:val="22"/>
                <w:lang w:val="en-IN" w:eastAsia="en-IN"/>
              </w:rPr>
              <w:t>costs are</w:t>
            </w:r>
            <w:r w:rsidRPr="00942C19">
              <w:rPr>
                <w:rFonts w:cs="Calibri"/>
                <w:sz w:val="22"/>
                <w:szCs w:val="22"/>
                <w:lang w:val="en-IN" w:eastAsia="en-IN"/>
              </w:rPr>
              <w:t xml:space="preserve"> considered as provided as provided by </w:t>
            </w:r>
            <w:r w:rsidR="009A3804" w:rsidRPr="00942C19">
              <w:rPr>
                <w:rFonts w:cs="Calibri"/>
                <w:sz w:val="22"/>
                <w:szCs w:val="22"/>
                <w:lang w:val="en-IN" w:eastAsia="en-IN"/>
              </w:rPr>
              <w:t>Licensee</w:t>
            </w:r>
            <w:r w:rsidRPr="00942C19">
              <w:rPr>
                <w:rFonts w:cs="Calibri"/>
                <w:sz w:val="22"/>
                <w:szCs w:val="22"/>
                <w:lang w:val="en-IN" w:eastAsia="en-IN"/>
              </w:rPr>
              <w:t xml:space="preserve"> in ARR / Tariff petition for FY 2013-14</w:t>
            </w:r>
            <w:r w:rsidR="00700278" w:rsidRPr="00942C19">
              <w:rPr>
                <w:rFonts w:cs="Calibri"/>
                <w:sz w:val="22"/>
                <w:szCs w:val="22"/>
                <w:lang w:val="en-IN" w:eastAsia="en-IN"/>
              </w:rPr>
              <w:t>.</w:t>
            </w:r>
          </w:p>
        </w:tc>
      </w:tr>
    </w:tbl>
    <w:p w:rsidR="00222C32" w:rsidRPr="00942C19" w:rsidRDefault="00222C32" w:rsidP="00222C32">
      <w:pPr>
        <w:pStyle w:val="Heading3"/>
        <w:numPr>
          <w:ilvl w:val="0"/>
          <w:numId w:val="0"/>
        </w:numPr>
        <w:jc w:val="center"/>
        <w:rPr>
          <w:sz w:val="23"/>
          <w:szCs w:val="23"/>
        </w:rPr>
      </w:pPr>
      <w:r w:rsidRPr="00942C19" w:rsidDel="0094620D">
        <w:rPr>
          <w:szCs w:val="23"/>
        </w:rPr>
        <w:t xml:space="preserve"> </w:t>
      </w:r>
    </w:p>
    <w:p w:rsidR="00222C32" w:rsidRPr="00942C19" w:rsidRDefault="00222C32" w:rsidP="00222C32">
      <w:pPr>
        <w:pStyle w:val="Caption"/>
        <w:keepNext/>
        <w:jc w:val="center"/>
      </w:pPr>
      <w:bookmarkStart w:id="534" w:name="_Toc325475668"/>
      <w:bookmarkStart w:id="535" w:name="_Toc338310683"/>
      <w:bookmarkStart w:id="536" w:name="_Toc338419513"/>
      <w:bookmarkStart w:id="537" w:name="_Toc357719710"/>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16</w:t>
      </w:r>
      <w:r w:rsidR="000C642E" w:rsidRPr="00942C19">
        <w:fldChar w:fldCharType="end"/>
      </w:r>
      <w:r w:rsidRPr="00942C19">
        <w:t xml:space="preserve">: METHODOLOGY FOR POWER PURCHASE FROM NTPC - FY </w:t>
      </w:r>
      <w:bookmarkEnd w:id="534"/>
      <w:bookmarkEnd w:id="535"/>
      <w:bookmarkEnd w:id="536"/>
      <w:r w:rsidRPr="00942C19">
        <w:t>2013-14</w:t>
      </w:r>
      <w:bookmarkEnd w:id="537"/>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942C19" w:rsidTr="004F32BA">
        <w:trPr>
          <w:trHeight w:val="300"/>
          <w:tblHeader/>
        </w:trPr>
        <w:tc>
          <w:tcPr>
            <w:tcW w:w="32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S. No.</w:t>
            </w:r>
          </w:p>
        </w:tc>
        <w:tc>
          <w:tcPr>
            <w:tcW w:w="1497"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318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Methodology</w:t>
            </w:r>
          </w:p>
        </w:tc>
      </w:tr>
      <w:tr w:rsidR="00F46F5A" w:rsidRPr="00942C19" w:rsidTr="00F46F5A">
        <w:trPr>
          <w:trHeight w:val="300"/>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w:t>
            </w:r>
          </w:p>
        </w:tc>
        <w:tc>
          <w:tcPr>
            <w:tcW w:w="1497" w:type="pct"/>
            <w:vMerge w:val="restar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Plant Load Factor</w:t>
            </w:r>
          </w:p>
        </w:tc>
        <w:tc>
          <w:tcPr>
            <w:tcW w:w="3182" w:type="pct"/>
            <w:vMerge w:val="restart"/>
            <w:shd w:val="clear" w:color="auto" w:fill="auto"/>
            <w:hideMark/>
          </w:tcPr>
          <w:p w:rsidR="00A44CA7" w:rsidRPr="00942C19" w:rsidRDefault="00F46F5A">
            <w:pPr>
              <w:spacing w:before="0" w:line="240" w:lineRule="auto"/>
              <w:rPr>
                <w:rFonts w:cs="Calibri"/>
                <w:sz w:val="22"/>
                <w:szCs w:val="22"/>
                <w:lang w:val="en-IN" w:eastAsia="en-IN"/>
              </w:rPr>
            </w:pPr>
            <w:r w:rsidRPr="00942C19">
              <w:rPr>
                <w:rFonts w:cs="Calibri"/>
                <w:sz w:val="22"/>
                <w:szCs w:val="22"/>
                <w:lang w:val="en-IN" w:eastAsia="en-IN"/>
              </w:rPr>
              <w:t xml:space="preserve">PLF is considered to be the average of the PLF recorded at respective power stations for the last three year's (2010-11, 2011-12 and 2012-13). The PLF number for the three years is sourced from Regional Energy Accounting Report and Annual Report of NRPC and ERPC. </w:t>
            </w: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942C19" w:rsidRDefault="00A44CA7">
            <w:pPr>
              <w:spacing w:before="0" w:line="240" w:lineRule="auto"/>
              <w:rPr>
                <w:rFonts w:cs="Calibri"/>
                <w:bCs/>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942C19" w:rsidRDefault="00A44CA7">
            <w:pPr>
              <w:spacing w:before="0" w:line="240" w:lineRule="auto"/>
              <w:rPr>
                <w:rFonts w:cs="Calibri"/>
                <w:bCs/>
                <w:sz w:val="22"/>
                <w:szCs w:val="22"/>
                <w:lang w:val="en-IN" w:eastAsia="en-IN"/>
              </w:rPr>
            </w:pPr>
          </w:p>
        </w:tc>
      </w:tr>
      <w:tr w:rsidR="00F46F5A" w:rsidRPr="00942C19" w:rsidTr="00F46F5A">
        <w:trPr>
          <w:trHeight w:val="6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942C19" w:rsidRDefault="00A44CA7">
            <w:pPr>
              <w:spacing w:before="0" w:line="240" w:lineRule="auto"/>
              <w:rPr>
                <w:rFonts w:cs="Calibri"/>
                <w:bCs/>
                <w:sz w:val="22"/>
                <w:szCs w:val="22"/>
                <w:lang w:val="en-IN" w:eastAsia="en-IN"/>
              </w:rPr>
            </w:pPr>
          </w:p>
        </w:tc>
      </w:tr>
      <w:tr w:rsidR="00F46F5A" w:rsidRPr="00942C19" w:rsidTr="00F46F5A">
        <w:trPr>
          <w:trHeight w:val="600"/>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w:t>
            </w:r>
          </w:p>
        </w:tc>
        <w:tc>
          <w:tcPr>
            <w:tcW w:w="1497" w:type="pct"/>
            <w:vMerge w:val="restart"/>
            <w:shd w:val="clear" w:color="auto" w:fill="auto"/>
            <w:hideMark/>
          </w:tcPr>
          <w:p w:rsidR="00D47B3B" w:rsidRPr="00942C19" w:rsidRDefault="00F46F5A">
            <w:pPr>
              <w:spacing w:before="0" w:line="240" w:lineRule="auto"/>
              <w:jc w:val="left"/>
              <w:rPr>
                <w:rFonts w:cs="Calibri"/>
                <w:b/>
                <w:bCs/>
                <w:sz w:val="22"/>
                <w:szCs w:val="22"/>
                <w:lang w:val="en-IN" w:eastAsia="en-IN"/>
              </w:rPr>
            </w:pPr>
            <w:r w:rsidRPr="00942C19">
              <w:rPr>
                <w:rFonts w:cs="Calibri"/>
                <w:b/>
                <w:bCs/>
                <w:sz w:val="22"/>
                <w:szCs w:val="22"/>
                <w:lang w:val="en-IN" w:eastAsia="en-IN"/>
              </w:rPr>
              <w:t xml:space="preserve">UP State's </w:t>
            </w:r>
            <w:r w:rsidR="004F32BA" w:rsidRPr="00942C19">
              <w:rPr>
                <w:rFonts w:cs="Calibri"/>
                <w:b/>
                <w:bCs/>
                <w:sz w:val="22"/>
                <w:szCs w:val="22"/>
                <w:lang w:val="en-IN" w:eastAsia="en-IN"/>
              </w:rPr>
              <w:t>S</w:t>
            </w:r>
            <w:r w:rsidRPr="00942C19">
              <w:rPr>
                <w:rFonts w:cs="Calibri"/>
                <w:b/>
                <w:bCs/>
                <w:sz w:val="22"/>
                <w:szCs w:val="22"/>
                <w:lang w:val="en-IN" w:eastAsia="en-IN"/>
              </w:rPr>
              <w:t>hare in power plants</w:t>
            </w:r>
          </w:p>
        </w:tc>
        <w:tc>
          <w:tcPr>
            <w:tcW w:w="3182" w:type="pct"/>
            <w:vMerge w:val="restart"/>
            <w:shd w:val="clear" w:color="auto" w:fill="auto"/>
            <w:hideMark/>
          </w:tcPr>
          <w:p w:rsidR="00A44CA7" w:rsidRPr="00942C19" w:rsidRDefault="00F46F5A">
            <w:pPr>
              <w:spacing w:before="0" w:line="240" w:lineRule="auto"/>
              <w:rPr>
                <w:rFonts w:cs="Calibri"/>
                <w:sz w:val="22"/>
                <w:szCs w:val="22"/>
                <w:lang w:val="en-IN" w:eastAsia="en-IN"/>
              </w:rPr>
            </w:pPr>
            <w:r w:rsidRPr="00942C19">
              <w:rPr>
                <w:rFonts w:cs="Calibri"/>
                <w:sz w:val="22"/>
                <w:szCs w:val="22"/>
                <w:lang w:val="en-IN" w:eastAsia="en-IN"/>
              </w:rPr>
              <w:t>Allocation of Power from various central generating stations for FY 2013-14 both firm and unallocated quota has been considered as per the NRPC circular (NRPC/ OPR/ 103/ 02/ 2012-13) dated 18.04.2013</w:t>
            </w:r>
            <w:r w:rsidR="00700278" w:rsidRPr="00942C19">
              <w:rPr>
                <w:rFonts w:cs="Calibri"/>
                <w:sz w:val="22"/>
                <w:szCs w:val="22"/>
                <w:lang w:val="en-IN" w:eastAsia="en-IN"/>
              </w:rPr>
              <w:t>.</w:t>
            </w: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bl>
    <w:p w:rsidR="00222C32" w:rsidRPr="00942C19" w:rsidRDefault="00222C32" w:rsidP="00222C32">
      <w:pPr>
        <w:pStyle w:val="Heading3"/>
        <w:numPr>
          <w:ilvl w:val="0"/>
          <w:numId w:val="0"/>
        </w:numPr>
        <w:jc w:val="center"/>
        <w:rPr>
          <w:sz w:val="23"/>
          <w:szCs w:val="23"/>
        </w:rPr>
      </w:pPr>
      <w:r w:rsidRPr="00942C19" w:rsidDel="0094620D">
        <w:rPr>
          <w:szCs w:val="23"/>
        </w:rPr>
        <w:t xml:space="preserve"> </w:t>
      </w:r>
    </w:p>
    <w:p w:rsidR="00222C32" w:rsidRPr="00942C19" w:rsidRDefault="00222C32" w:rsidP="00D05C4B">
      <w:pPr>
        <w:pStyle w:val="Heading4"/>
      </w:pPr>
      <w:r w:rsidRPr="00942C19">
        <w:t xml:space="preserve">Based on above approach, the summary of approved costs of NTPC generating stations is given in </w:t>
      </w:r>
      <w:fldSimple w:instr=" REF _Ref325470391 \h  \* MERGEFORMAT ">
        <w:r w:rsidR="00984AA4" w:rsidRPr="00942C19">
          <w:t xml:space="preserve">Table </w:t>
        </w:r>
        <w:r w:rsidR="00984AA4" w:rsidRPr="00942C19">
          <w:rPr>
            <w:noProof/>
          </w:rPr>
          <w:t>4</w:t>
        </w:r>
        <w:r w:rsidR="00984AA4" w:rsidRPr="00942C19">
          <w:rPr>
            <w:noProof/>
          </w:rPr>
          <w:noBreakHyphen/>
          <w:t>17</w:t>
        </w:r>
      </w:fldSimple>
      <w:r w:rsidRPr="00942C19">
        <w:t xml:space="preserve"> below:</w:t>
      </w:r>
    </w:p>
    <w:p w:rsidR="004D0E04" w:rsidRPr="00942C19" w:rsidRDefault="00222C32" w:rsidP="004E2AB9">
      <w:pPr>
        <w:pStyle w:val="Caption"/>
        <w:keepNext/>
        <w:ind w:right="447" w:firstLine="567"/>
        <w:jc w:val="center"/>
      </w:pPr>
      <w:bookmarkStart w:id="538" w:name="_Ref325470391"/>
      <w:bookmarkStart w:id="539" w:name="_Toc325475669"/>
      <w:bookmarkStart w:id="540" w:name="_Toc338310684"/>
      <w:bookmarkStart w:id="541" w:name="_Toc338419514"/>
      <w:bookmarkStart w:id="542" w:name="_Toc357719711"/>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17</w:t>
      </w:r>
      <w:r w:rsidR="000C642E" w:rsidRPr="00942C19">
        <w:fldChar w:fldCharType="end"/>
      </w:r>
      <w:bookmarkEnd w:id="538"/>
      <w:r w:rsidRPr="00942C19">
        <w:t>: APPROVED COST OF PO</w:t>
      </w:r>
      <w:r w:rsidR="002D7CDF" w:rsidRPr="00942C19">
        <w:t xml:space="preserve">WER PURCHASE FROM NTPC STATIONS </w:t>
      </w:r>
      <w:r w:rsidRPr="00942C19">
        <w:t xml:space="preserve">FOR FY </w:t>
      </w:r>
      <w:bookmarkEnd w:id="539"/>
      <w:bookmarkEnd w:id="540"/>
      <w:bookmarkEnd w:id="541"/>
      <w:r w:rsidRPr="00942C19">
        <w:t>2013-14</w:t>
      </w:r>
      <w:bookmarkEnd w:id="542"/>
    </w:p>
    <w:tbl>
      <w:tblPr>
        <w:tblW w:w="5216"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27"/>
        <w:gridCol w:w="1062"/>
        <w:gridCol w:w="775"/>
        <w:gridCol w:w="708"/>
        <w:gridCol w:w="1001"/>
        <w:gridCol w:w="719"/>
        <w:gridCol w:w="1001"/>
        <w:gridCol w:w="708"/>
        <w:gridCol w:w="1001"/>
        <w:gridCol w:w="967"/>
      </w:tblGrid>
      <w:tr w:rsidR="00F46F5A" w:rsidRPr="00942C19" w:rsidTr="004F32BA">
        <w:trPr>
          <w:trHeight w:val="600"/>
        </w:trPr>
        <w:tc>
          <w:tcPr>
            <w:tcW w:w="716" w:type="pct"/>
            <w:vMerge w:val="restart"/>
            <w:shd w:val="clear" w:color="000000" w:fill="DBE5F1"/>
            <w:vAlign w:val="center"/>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Source of Power</w:t>
            </w:r>
          </w:p>
        </w:tc>
        <w:tc>
          <w:tcPr>
            <w:tcW w:w="573"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418"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22"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928"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922"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522"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F46F5A" w:rsidRPr="00942C19" w:rsidTr="004F32BA">
        <w:trPr>
          <w:trHeight w:val="600"/>
        </w:trPr>
        <w:tc>
          <w:tcPr>
            <w:tcW w:w="716"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573" w:type="pct"/>
            <w:vMerge/>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418" w:type="pct"/>
            <w:vMerge/>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382"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40" w:type="pct"/>
            <w:shd w:val="clear" w:color="000000" w:fill="DBE5F1"/>
            <w:vAlign w:val="center"/>
            <w:hideMark/>
          </w:tcPr>
          <w:p w:rsidR="00F46F5A" w:rsidRPr="00942C19" w:rsidRDefault="00F46F5A" w:rsidP="00F46F5A">
            <w:pPr>
              <w:spacing w:before="0" w:line="240" w:lineRule="auto"/>
              <w:ind w:hanging="70"/>
              <w:jc w:val="center"/>
              <w:rPr>
                <w:rFonts w:cs="Calibri"/>
                <w:b/>
                <w:bCs/>
                <w:sz w:val="22"/>
                <w:szCs w:val="22"/>
                <w:lang w:val="en-IN" w:eastAsia="en-IN"/>
              </w:rPr>
            </w:pPr>
            <w:r w:rsidRPr="00942C19">
              <w:rPr>
                <w:rFonts w:cs="Calibri"/>
                <w:b/>
                <w:bCs/>
                <w:sz w:val="22"/>
                <w:szCs w:val="22"/>
                <w:lang w:val="en-IN" w:eastAsia="en-IN"/>
              </w:rPr>
              <w:t>(Rs. Cr.)</w:t>
            </w:r>
          </w:p>
        </w:tc>
        <w:tc>
          <w:tcPr>
            <w:tcW w:w="388"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40"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82"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40"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522"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Anta</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114</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639</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0.99</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63.00</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4.90</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312.95</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5.88</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375.95</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5.88</w:t>
            </w:r>
          </w:p>
        </w:tc>
      </w:tr>
      <w:tr w:rsidR="00F46F5A" w:rsidRPr="00942C19" w:rsidTr="004F32BA">
        <w:trPr>
          <w:trHeight w:val="300"/>
        </w:trPr>
        <w:tc>
          <w:tcPr>
            <w:tcW w:w="716" w:type="pct"/>
            <w:shd w:val="clear" w:color="auto" w:fill="auto"/>
            <w:vAlign w:val="center"/>
            <w:hideMark/>
          </w:tcPr>
          <w:p w:rsidR="00F46F5A" w:rsidRPr="00942C19" w:rsidRDefault="007C4D9D" w:rsidP="00F46F5A">
            <w:pPr>
              <w:spacing w:before="0" w:line="240" w:lineRule="auto"/>
              <w:jc w:val="left"/>
              <w:rPr>
                <w:rFonts w:cs="Calibri"/>
                <w:sz w:val="22"/>
                <w:szCs w:val="22"/>
                <w:lang w:val="en-IN" w:eastAsia="en-IN"/>
              </w:rPr>
            </w:pPr>
            <w:r w:rsidRPr="00942C19">
              <w:rPr>
                <w:rFonts w:cs="Calibri"/>
                <w:sz w:val="22"/>
                <w:szCs w:val="22"/>
                <w:lang w:val="en-IN" w:eastAsia="en-IN"/>
              </w:rPr>
              <w:t>Auraiya</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237</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1260</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0.91</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114.97</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7.06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889.53</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7.97</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1,004.50</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7.97</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Dadri Thermal</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84</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578</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1.03</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59.79</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3.16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182.45</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4.19</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242.24</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4.19</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Dadri Gas</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266</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1572</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0.94</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147.88</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5.26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827.07</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6.20</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974.95</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6.20</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Dadri Extension</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135</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851</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158.12</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3.11</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264.75</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4.97</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422.88</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4.97</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Rihand-I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364</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2585</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0.85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220.94</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1.35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350.13</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2.21</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571.07</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2.21</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Rihand-II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334</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2451</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0.96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235.78</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1.35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332.02</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2.32</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567.80</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2.32</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Singrauli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830</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6113</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0.56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344.37</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1.30</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791.83</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1,136.21</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1.86</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Tanda</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440</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2989</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1.09</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326.30</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731.52</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3.54</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1,057.81</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3.54</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Unchahar-I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255</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1874</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0.94</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176.36</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2.44</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457.74</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3.38</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634.10</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3.38</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Unchahar-II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145</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1056</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0.98</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103.55</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2.44</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258.00</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3.42</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361.54</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3.42</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Unchahar-III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71</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510</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1.43</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72.96</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2.44</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124.72</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3.87</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197.68</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3.87</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Farakka</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33</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200</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0.95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18.92</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3.40</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68.00</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4.35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86.91</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4.35</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Kahalgaon St. 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77</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431</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1.10</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47.31</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3.13</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134.88</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4.23</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182.20</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4.23</w:t>
            </w:r>
          </w:p>
        </w:tc>
      </w:tr>
      <w:tr w:rsidR="00F46F5A" w:rsidRPr="00942C19" w:rsidTr="004F32BA">
        <w:trPr>
          <w:trHeight w:val="6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Kahalgaon St.II Ph.I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167</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1065</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1.84</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195.87</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2.96</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314.73</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4.80</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510.60</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4.80</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Rihand-III</w:t>
            </w:r>
          </w:p>
        </w:tc>
        <w:tc>
          <w:tcPr>
            <w:tcW w:w="573"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340</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1523</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8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3.25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494.87</w:t>
            </w:r>
          </w:p>
        </w:tc>
        <w:tc>
          <w:tcPr>
            <w:tcW w:w="38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3.25</w:t>
            </w:r>
          </w:p>
        </w:tc>
        <w:tc>
          <w:tcPr>
            <w:tcW w:w="54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494.87</w:t>
            </w:r>
          </w:p>
        </w:tc>
        <w:tc>
          <w:tcPr>
            <w:tcW w:w="52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3.25</w:t>
            </w:r>
          </w:p>
        </w:tc>
      </w:tr>
      <w:tr w:rsidR="00F46F5A" w:rsidRPr="00942C19" w:rsidTr="004F32BA">
        <w:trPr>
          <w:trHeight w:val="300"/>
        </w:trPr>
        <w:tc>
          <w:tcPr>
            <w:tcW w:w="716" w:type="pct"/>
            <w:shd w:val="clear" w:color="auto" w:fill="auto"/>
            <w:vAlign w:val="center"/>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573"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3893</w:t>
            </w:r>
          </w:p>
        </w:tc>
        <w:tc>
          <w:tcPr>
            <w:tcW w:w="418"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25695</w:t>
            </w:r>
          </w:p>
        </w:tc>
        <w:tc>
          <w:tcPr>
            <w:tcW w:w="382"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2,286.11</w:t>
            </w:r>
          </w:p>
        </w:tc>
        <w:tc>
          <w:tcPr>
            <w:tcW w:w="388"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6,535.21</w:t>
            </w:r>
          </w:p>
        </w:tc>
        <w:tc>
          <w:tcPr>
            <w:tcW w:w="382"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8,821.32</w:t>
            </w:r>
          </w:p>
        </w:tc>
        <w:tc>
          <w:tcPr>
            <w:tcW w:w="522"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3.43</w:t>
            </w:r>
          </w:p>
        </w:tc>
      </w:tr>
    </w:tbl>
    <w:p w:rsidR="00222B59" w:rsidRPr="00942C19" w:rsidRDefault="00222B59" w:rsidP="00700278">
      <w:pPr>
        <w:pStyle w:val="Heading3"/>
        <w:numPr>
          <w:ilvl w:val="0"/>
          <w:numId w:val="0"/>
        </w:numPr>
        <w:spacing w:before="0" w:line="240" w:lineRule="auto"/>
        <w:rPr>
          <w:bCs w:val="0"/>
          <w:sz w:val="16"/>
        </w:rPr>
      </w:pPr>
    </w:p>
    <w:p w:rsidR="00222B59" w:rsidRPr="00942C19" w:rsidRDefault="00222B59">
      <w:pPr>
        <w:spacing w:before="0" w:line="240" w:lineRule="auto"/>
        <w:jc w:val="left"/>
        <w:rPr>
          <w:rFonts w:cs="Arial"/>
          <w:b/>
          <w:bCs/>
          <w:szCs w:val="26"/>
        </w:rPr>
      </w:pPr>
    </w:p>
    <w:p w:rsidR="00222C32" w:rsidRPr="00942C19" w:rsidRDefault="00222C32" w:rsidP="00222C32">
      <w:pPr>
        <w:pStyle w:val="Heading3"/>
        <w:numPr>
          <w:ilvl w:val="2"/>
          <w:numId w:val="1"/>
        </w:numPr>
        <w:spacing w:before="0"/>
        <w:rPr>
          <w:b/>
        </w:rPr>
      </w:pPr>
      <w:r w:rsidRPr="00942C19">
        <w:rPr>
          <w:b/>
        </w:rPr>
        <w:t xml:space="preserve">The </w:t>
      </w:r>
      <w:r w:rsidR="009A3804" w:rsidRPr="00942C19">
        <w:rPr>
          <w:b/>
        </w:rPr>
        <w:t>Licensee</w:t>
      </w:r>
      <w:r w:rsidRPr="00942C19">
        <w:rPr>
          <w:b/>
        </w:rPr>
        <w:t>’s Submission:</w:t>
      </w:r>
    </w:p>
    <w:p w:rsidR="00A44CA7" w:rsidRPr="00942C19" w:rsidRDefault="00A44CA7">
      <w:pPr>
        <w:tabs>
          <w:tab w:val="left" w:pos="360"/>
        </w:tabs>
        <w:spacing w:before="0"/>
      </w:pPr>
    </w:p>
    <w:p w:rsidR="00A44CA7" w:rsidRPr="00942C19" w:rsidRDefault="00222C32">
      <w:pPr>
        <w:pStyle w:val="Heading4"/>
        <w:spacing w:before="0"/>
      </w:pPr>
      <w:r w:rsidRPr="00942C19">
        <w:t xml:space="preserve">The </w:t>
      </w:r>
      <w:r w:rsidR="009A3804" w:rsidRPr="00942C19">
        <w:t>Licensee</w:t>
      </w:r>
      <w:r w:rsidRPr="00942C19">
        <w:t xml:space="preserve">’s submission of power purchased from NHPC generating stations for FY 2013-14 is provided in </w:t>
      </w:r>
      <w:fldSimple w:instr=" REF _Ref325470428 \h  \* MERGEFORMAT ">
        <w:r w:rsidR="00984AA4" w:rsidRPr="00942C19">
          <w:t xml:space="preserve">Table </w:t>
        </w:r>
        <w:r w:rsidR="00984AA4" w:rsidRPr="00942C19">
          <w:rPr>
            <w:noProof/>
          </w:rPr>
          <w:t>4</w:t>
        </w:r>
        <w:r w:rsidR="00984AA4" w:rsidRPr="00942C19">
          <w:rPr>
            <w:noProof/>
          </w:rPr>
          <w:noBreakHyphen/>
          <w:t>18</w:t>
        </w:r>
      </w:fldSimple>
      <w:r w:rsidRPr="00942C19">
        <w:t xml:space="preserve"> given below:</w:t>
      </w:r>
    </w:p>
    <w:p w:rsidR="004D0E04" w:rsidRPr="00942C19" w:rsidRDefault="00222C32" w:rsidP="004E2AB9">
      <w:pPr>
        <w:pStyle w:val="Caption"/>
        <w:keepNext/>
        <w:ind w:right="589" w:firstLine="567"/>
        <w:jc w:val="center"/>
      </w:pPr>
      <w:bookmarkStart w:id="543" w:name="_Ref325470428"/>
      <w:bookmarkStart w:id="544" w:name="_Toc325475670"/>
      <w:bookmarkStart w:id="545" w:name="_Toc338310685"/>
      <w:bookmarkStart w:id="546" w:name="_Toc338419515"/>
      <w:bookmarkStart w:id="547" w:name="_Toc357719712"/>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18</w:t>
      </w:r>
      <w:r w:rsidR="000C642E" w:rsidRPr="00942C19">
        <w:fldChar w:fldCharType="end"/>
      </w:r>
      <w:bookmarkEnd w:id="543"/>
      <w:r w:rsidRPr="00942C19">
        <w:t>: DETAILS OF POWER PURCHASE COST FROM NHPC STATIONS FOR FY 2013-14 - PETITION</w:t>
      </w:r>
      <w:bookmarkEnd w:id="544"/>
      <w:bookmarkEnd w:id="545"/>
      <w:bookmarkEnd w:id="546"/>
      <w:bookmarkEnd w:id="547"/>
    </w:p>
    <w:tbl>
      <w:tblPr>
        <w:tblW w:w="5265"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378"/>
        <w:gridCol w:w="1174"/>
        <w:gridCol w:w="851"/>
        <w:gridCol w:w="709"/>
        <w:gridCol w:w="850"/>
        <w:gridCol w:w="709"/>
        <w:gridCol w:w="926"/>
        <w:gridCol w:w="777"/>
        <w:gridCol w:w="992"/>
        <w:gridCol w:w="990"/>
      </w:tblGrid>
      <w:tr w:rsidR="007662D2" w:rsidRPr="00942C19" w:rsidTr="00222B59">
        <w:trPr>
          <w:trHeight w:val="600"/>
        </w:trPr>
        <w:tc>
          <w:tcPr>
            <w:tcW w:w="736"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627" w:type="pct"/>
            <w:vMerge w:val="restart"/>
            <w:shd w:val="clear" w:color="000000" w:fill="DBE5F1"/>
            <w:vAlign w:val="center"/>
            <w:hideMark/>
          </w:tcPr>
          <w:p w:rsidR="00A44CA7" w:rsidRPr="00942C19" w:rsidRDefault="00F46F5A">
            <w:pPr>
              <w:spacing w:before="0" w:line="240" w:lineRule="auto"/>
              <w:jc w:val="center"/>
              <w:rPr>
                <w:rFonts w:cs="Calibri"/>
                <w:b/>
                <w:bCs/>
                <w:color w:val="333399"/>
                <w:kern w:val="32"/>
                <w:sz w:val="22"/>
                <w:szCs w:val="22"/>
                <w:lang w:val="en-IN" w:eastAsia="en-IN"/>
              </w:rPr>
            </w:pPr>
            <w:r w:rsidRPr="00942C19">
              <w:rPr>
                <w:rFonts w:cs="Calibri"/>
                <w:b/>
                <w:bCs/>
                <w:sz w:val="22"/>
                <w:szCs w:val="22"/>
                <w:lang w:val="en-IN" w:eastAsia="en-IN"/>
              </w:rPr>
              <w:t>MW Available</w:t>
            </w:r>
          </w:p>
        </w:tc>
        <w:tc>
          <w:tcPr>
            <w:tcW w:w="455" w:type="pct"/>
            <w:vMerge w:val="restart"/>
            <w:shd w:val="clear" w:color="000000" w:fill="DBE5F1"/>
            <w:vAlign w:val="center"/>
            <w:hideMark/>
          </w:tcPr>
          <w:p w:rsidR="00A44CA7" w:rsidRPr="00942C19" w:rsidRDefault="00F46F5A">
            <w:pPr>
              <w:spacing w:before="0" w:line="240" w:lineRule="auto"/>
              <w:jc w:val="center"/>
              <w:rPr>
                <w:rFonts w:cs="Calibri"/>
                <w:b/>
                <w:bCs/>
                <w:color w:val="333399"/>
                <w:kern w:val="32"/>
                <w:sz w:val="22"/>
                <w:szCs w:val="22"/>
                <w:lang w:val="en-IN" w:eastAsia="en-IN"/>
              </w:rPr>
            </w:pPr>
            <w:r w:rsidRPr="00942C19">
              <w:rPr>
                <w:rFonts w:cs="Calibri"/>
                <w:b/>
                <w:bCs/>
                <w:sz w:val="22"/>
                <w:szCs w:val="22"/>
                <w:lang w:val="en-IN" w:eastAsia="en-IN"/>
              </w:rPr>
              <w:t>MU</w:t>
            </w:r>
          </w:p>
        </w:tc>
        <w:tc>
          <w:tcPr>
            <w:tcW w:w="833" w:type="pct"/>
            <w:gridSpan w:val="2"/>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Fixed Cost</w:t>
            </w:r>
          </w:p>
        </w:tc>
        <w:tc>
          <w:tcPr>
            <w:tcW w:w="874" w:type="pct"/>
            <w:gridSpan w:val="2"/>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Variable Cost</w:t>
            </w:r>
          </w:p>
        </w:tc>
        <w:tc>
          <w:tcPr>
            <w:tcW w:w="945" w:type="pct"/>
            <w:gridSpan w:val="2"/>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Total Cost</w:t>
            </w:r>
          </w:p>
        </w:tc>
        <w:tc>
          <w:tcPr>
            <w:tcW w:w="529"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Average Cost</w:t>
            </w:r>
          </w:p>
        </w:tc>
      </w:tr>
      <w:tr w:rsidR="007662D2" w:rsidRPr="00942C19" w:rsidTr="00222B59">
        <w:trPr>
          <w:trHeight w:val="600"/>
        </w:trPr>
        <w:tc>
          <w:tcPr>
            <w:tcW w:w="736"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627" w:type="pct"/>
            <w:vMerge/>
            <w:vAlign w:val="center"/>
            <w:hideMark/>
          </w:tcPr>
          <w:p w:rsidR="00A44CA7" w:rsidRPr="00942C19" w:rsidRDefault="00A44CA7">
            <w:pPr>
              <w:spacing w:before="0" w:line="240" w:lineRule="auto"/>
              <w:jc w:val="center"/>
              <w:rPr>
                <w:rFonts w:cs="Calibri"/>
                <w:b/>
                <w:bCs/>
                <w:color w:val="000000"/>
                <w:sz w:val="22"/>
                <w:szCs w:val="22"/>
                <w:lang w:val="en-IN" w:eastAsia="en-IN"/>
              </w:rPr>
            </w:pPr>
          </w:p>
        </w:tc>
        <w:tc>
          <w:tcPr>
            <w:tcW w:w="455" w:type="pct"/>
            <w:vMerge/>
            <w:vAlign w:val="center"/>
            <w:hideMark/>
          </w:tcPr>
          <w:p w:rsidR="00A44CA7" w:rsidRPr="00942C19" w:rsidRDefault="00A44CA7">
            <w:pPr>
              <w:spacing w:before="0" w:line="240" w:lineRule="auto"/>
              <w:jc w:val="center"/>
              <w:rPr>
                <w:rFonts w:cs="Calibri"/>
                <w:b/>
                <w:bCs/>
                <w:color w:val="000000"/>
                <w:sz w:val="22"/>
                <w:szCs w:val="22"/>
                <w:lang w:val="en-IN" w:eastAsia="en-IN"/>
              </w:rPr>
            </w:pPr>
          </w:p>
        </w:tc>
        <w:tc>
          <w:tcPr>
            <w:tcW w:w="379"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(Rs. / kWh)</w:t>
            </w:r>
          </w:p>
        </w:tc>
        <w:tc>
          <w:tcPr>
            <w:tcW w:w="454"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(Rs. Cr.)</w:t>
            </w:r>
          </w:p>
        </w:tc>
        <w:tc>
          <w:tcPr>
            <w:tcW w:w="379"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(Rs. / kWh)</w:t>
            </w:r>
          </w:p>
        </w:tc>
        <w:tc>
          <w:tcPr>
            <w:tcW w:w="495"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(Rs. Cr.)</w:t>
            </w:r>
          </w:p>
        </w:tc>
        <w:tc>
          <w:tcPr>
            <w:tcW w:w="415"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(Rs. / kWh)</w:t>
            </w:r>
          </w:p>
        </w:tc>
        <w:tc>
          <w:tcPr>
            <w:tcW w:w="530"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(Rs. Cr.)</w:t>
            </w:r>
          </w:p>
        </w:tc>
        <w:tc>
          <w:tcPr>
            <w:tcW w:w="529" w:type="pct"/>
            <w:shd w:val="clear" w:color="000000" w:fill="DBE5F1"/>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(Rs. / kWh)</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Chamera</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109</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452</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1.89</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85.43</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1.89</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85.43</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1.89</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Chamera-II</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82</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456</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2.98</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135.86</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2.98</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135.86</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2.98</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Chamera-III</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59</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315</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1.96</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61.66</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1.99</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62.64</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3.94</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124.30</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3.94</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Dhauliganga</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72</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311</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2.29</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71.18</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2.29</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71.18</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2.29</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Salal I&amp;II</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48</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215</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0.82</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17.65</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0.47</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10.19</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1.29</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27.84</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1.29</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Tanakpur</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21</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104</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1.89</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19.57</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1.10</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11.38</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2.98</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30.94</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2.98</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Uri</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96</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534</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1.33</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71.16</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0.79</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42.15</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2.12</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113.31</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2.12</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Dulhasti</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107</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581</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5.55</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322.39</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5.55</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322.39</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5.55</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Sewa-II</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34</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166</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3.34</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55.32</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2.15</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35.72</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5.49</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91.04</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5.49</w:t>
            </w:r>
          </w:p>
        </w:tc>
      </w:tr>
      <w:tr w:rsidR="007662D2" w:rsidRPr="00942C19" w:rsidTr="00222B59">
        <w:trPr>
          <w:trHeight w:val="300"/>
        </w:trPr>
        <w:tc>
          <w:tcPr>
            <w:tcW w:w="736"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Uri-II</w:t>
            </w:r>
          </w:p>
        </w:tc>
        <w:tc>
          <w:tcPr>
            <w:tcW w:w="627"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48</w:t>
            </w:r>
          </w:p>
        </w:tc>
        <w:tc>
          <w:tcPr>
            <w:tcW w:w="455" w:type="pct"/>
            <w:shd w:val="clear" w:color="auto" w:fill="auto"/>
            <w:vAlign w:val="center"/>
            <w:hideMark/>
          </w:tcPr>
          <w:p w:rsidR="00A44CA7" w:rsidRPr="00942C19" w:rsidRDefault="00F46F5A">
            <w:pPr>
              <w:spacing w:before="0" w:line="240" w:lineRule="auto"/>
              <w:jc w:val="center"/>
              <w:rPr>
                <w:rFonts w:cs="Calibri"/>
                <w:sz w:val="22"/>
                <w:szCs w:val="22"/>
                <w:lang w:val="en-IN" w:eastAsia="en-IN"/>
              </w:rPr>
            </w:pPr>
            <w:r w:rsidRPr="00942C19">
              <w:rPr>
                <w:rFonts w:cs="Calibri"/>
                <w:sz w:val="22"/>
                <w:szCs w:val="22"/>
                <w:lang w:val="en-IN" w:eastAsia="en-IN"/>
              </w:rPr>
              <w:t>210</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454"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w:t>
            </w:r>
          </w:p>
        </w:tc>
        <w:tc>
          <w:tcPr>
            <w:tcW w:w="37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3.32</w:t>
            </w:r>
          </w:p>
        </w:tc>
        <w:tc>
          <w:tcPr>
            <w:tcW w:w="49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69.61</w:t>
            </w:r>
          </w:p>
        </w:tc>
        <w:tc>
          <w:tcPr>
            <w:tcW w:w="415"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3.32</w:t>
            </w:r>
          </w:p>
        </w:tc>
        <w:tc>
          <w:tcPr>
            <w:tcW w:w="530"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69.61</w:t>
            </w:r>
          </w:p>
        </w:tc>
        <w:tc>
          <w:tcPr>
            <w:tcW w:w="529" w:type="pct"/>
            <w:shd w:val="clear" w:color="auto" w:fill="auto"/>
            <w:vAlign w:val="center"/>
            <w:hideMark/>
          </w:tcPr>
          <w:p w:rsidR="00F46F5A" w:rsidRPr="00942C19" w:rsidRDefault="00F46F5A" w:rsidP="00F46F5A">
            <w:pPr>
              <w:spacing w:before="0" w:line="240" w:lineRule="auto"/>
              <w:jc w:val="right"/>
              <w:rPr>
                <w:rFonts w:cs="Calibri"/>
                <w:sz w:val="22"/>
                <w:szCs w:val="22"/>
                <w:lang w:val="en-IN" w:eastAsia="en-IN"/>
              </w:rPr>
            </w:pPr>
            <w:r w:rsidRPr="00942C19">
              <w:rPr>
                <w:rFonts w:cs="Calibri"/>
                <w:sz w:val="22"/>
                <w:szCs w:val="22"/>
                <w:lang w:val="en-IN" w:eastAsia="en-IN"/>
              </w:rPr>
              <w:t>3.32</w:t>
            </w:r>
          </w:p>
        </w:tc>
      </w:tr>
      <w:tr w:rsidR="007662D2" w:rsidRPr="00942C19" w:rsidTr="00222B59">
        <w:trPr>
          <w:trHeight w:val="300"/>
        </w:trPr>
        <w:tc>
          <w:tcPr>
            <w:tcW w:w="736" w:type="pct"/>
            <w:shd w:val="clear" w:color="auto" w:fill="auto"/>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627" w:type="pct"/>
            <w:shd w:val="clear" w:color="auto" w:fill="auto"/>
            <w:vAlign w:val="center"/>
            <w:hideMark/>
          </w:tcPr>
          <w:p w:rsidR="00A44CA7" w:rsidRPr="00942C19" w:rsidRDefault="00F46F5A">
            <w:pPr>
              <w:spacing w:before="0" w:line="240" w:lineRule="auto"/>
              <w:jc w:val="center"/>
              <w:rPr>
                <w:rFonts w:cs="Calibri"/>
                <w:b/>
                <w:bCs/>
                <w:sz w:val="22"/>
                <w:szCs w:val="22"/>
                <w:lang w:val="en-IN" w:eastAsia="en-IN"/>
              </w:rPr>
            </w:pPr>
            <w:r w:rsidRPr="00942C19">
              <w:rPr>
                <w:rFonts w:cs="Calibri"/>
                <w:b/>
                <w:bCs/>
                <w:sz w:val="22"/>
                <w:szCs w:val="22"/>
                <w:lang w:val="en-IN" w:eastAsia="en-IN"/>
              </w:rPr>
              <w:t>676</w:t>
            </w:r>
          </w:p>
        </w:tc>
        <w:tc>
          <w:tcPr>
            <w:tcW w:w="455" w:type="pct"/>
            <w:shd w:val="clear" w:color="auto" w:fill="auto"/>
            <w:vAlign w:val="center"/>
            <w:hideMark/>
          </w:tcPr>
          <w:p w:rsidR="00A44CA7" w:rsidRPr="00942C19" w:rsidRDefault="00F46F5A">
            <w:pPr>
              <w:spacing w:before="0" w:line="240" w:lineRule="auto"/>
              <w:jc w:val="center"/>
              <w:rPr>
                <w:rFonts w:cs="Calibri"/>
                <w:b/>
                <w:bCs/>
                <w:sz w:val="22"/>
                <w:szCs w:val="22"/>
                <w:lang w:val="en-IN" w:eastAsia="en-IN"/>
              </w:rPr>
            </w:pPr>
            <w:r w:rsidRPr="00942C19">
              <w:rPr>
                <w:rFonts w:cs="Calibri"/>
                <w:b/>
                <w:bCs/>
                <w:sz w:val="22"/>
                <w:szCs w:val="22"/>
                <w:lang w:val="en-IN" w:eastAsia="en-IN"/>
              </w:rPr>
              <w:t>3345</w:t>
            </w:r>
          </w:p>
        </w:tc>
        <w:tc>
          <w:tcPr>
            <w:tcW w:w="379" w:type="pct"/>
            <w:shd w:val="clear" w:color="auto" w:fill="auto"/>
            <w:vAlign w:val="center"/>
            <w:hideMark/>
          </w:tcPr>
          <w:p w:rsidR="00F46F5A" w:rsidRPr="00942C19" w:rsidRDefault="00F46F5A" w:rsidP="00F46F5A">
            <w:pPr>
              <w:spacing w:before="0" w:line="240" w:lineRule="auto"/>
              <w:jc w:val="right"/>
              <w:rPr>
                <w:rFonts w:cs="Calibri"/>
                <w:b/>
                <w:bCs/>
                <w:sz w:val="22"/>
                <w:szCs w:val="22"/>
                <w:lang w:val="en-IN" w:eastAsia="en-IN"/>
              </w:rPr>
            </w:pPr>
          </w:p>
        </w:tc>
        <w:tc>
          <w:tcPr>
            <w:tcW w:w="454" w:type="pct"/>
            <w:shd w:val="clear" w:color="auto" w:fill="auto"/>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840.22</w:t>
            </w:r>
          </w:p>
        </w:tc>
        <w:tc>
          <w:tcPr>
            <w:tcW w:w="379" w:type="pct"/>
            <w:shd w:val="clear" w:color="auto" w:fill="auto"/>
            <w:vAlign w:val="center"/>
            <w:hideMark/>
          </w:tcPr>
          <w:p w:rsidR="00F46F5A" w:rsidRPr="00942C19" w:rsidRDefault="00F46F5A" w:rsidP="00F46F5A">
            <w:pPr>
              <w:spacing w:before="0" w:line="240" w:lineRule="auto"/>
              <w:jc w:val="right"/>
              <w:rPr>
                <w:rFonts w:cs="Calibri"/>
                <w:b/>
                <w:bCs/>
                <w:sz w:val="22"/>
                <w:szCs w:val="22"/>
                <w:lang w:val="en-IN" w:eastAsia="en-IN"/>
              </w:rPr>
            </w:pPr>
          </w:p>
        </w:tc>
        <w:tc>
          <w:tcPr>
            <w:tcW w:w="495" w:type="pct"/>
            <w:shd w:val="clear" w:color="auto" w:fill="auto"/>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231.69</w:t>
            </w:r>
          </w:p>
        </w:tc>
        <w:tc>
          <w:tcPr>
            <w:tcW w:w="415" w:type="pct"/>
            <w:shd w:val="clear" w:color="auto" w:fill="auto"/>
            <w:vAlign w:val="center"/>
            <w:hideMark/>
          </w:tcPr>
          <w:p w:rsidR="00F46F5A" w:rsidRPr="00942C19" w:rsidRDefault="00F46F5A" w:rsidP="00F46F5A">
            <w:pPr>
              <w:spacing w:before="0" w:line="240" w:lineRule="auto"/>
              <w:jc w:val="right"/>
              <w:rPr>
                <w:rFonts w:cs="Calibri"/>
                <w:b/>
                <w:bCs/>
                <w:sz w:val="22"/>
                <w:szCs w:val="22"/>
                <w:lang w:val="en-IN" w:eastAsia="en-IN"/>
              </w:rPr>
            </w:pPr>
          </w:p>
        </w:tc>
        <w:tc>
          <w:tcPr>
            <w:tcW w:w="530" w:type="pct"/>
            <w:shd w:val="clear" w:color="auto" w:fill="auto"/>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1071.91</w:t>
            </w:r>
          </w:p>
        </w:tc>
        <w:tc>
          <w:tcPr>
            <w:tcW w:w="529" w:type="pct"/>
            <w:shd w:val="clear" w:color="auto" w:fill="auto"/>
            <w:vAlign w:val="center"/>
            <w:hideMark/>
          </w:tcPr>
          <w:p w:rsidR="00F46F5A" w:rsidRPr="00942C19" w:rsidRDefault="00F46F5A" w:rsidP="00F46F5A">
            <w:pPr>
              <w:spacing w:before="0" w:line="240" w:lineRule="auto"/>
              <w:jc w:val="right"/>
              <w:rPr>
                <w:rFonts w:cs="Calibri"/>
                <w:b/>
                <w:bCs/>
                <w:sz w:val="22"/>
                <w:szCs w:val="22"/>
                <w:lang w:val="en-IN" w:eastAsia="en-IN"/>
              </w:rPr>
            </w:pPr>
            <w:r w:rsidRPr="00942C19">
              <w:rPr>
                <w:rFonts w:cs="Calibri"/>
                <w:b/>
                <w:bCs/>
                <w:sz w:val="22"/>
                <w:szCs w:val="22"/>
                <w:lang w:val="en-IN" w:eastAsia="en-IN"/>
              </w:rPr>
              <w:t>3.20</w:t>
            </w:r>
          </w:p>
        </w:tc>
      </w:tr>
    </w:tbl>
    <w:p w:rsidR="00A44CA7" w:rsidRPr="00942C19" w:rsidRDefault="00A44CA7">
      <w:pPr>
        <w:pStyle w:val="Heading3"/>
        <w:numPr>
          <w:ilvl w:val="0"/>
          <w:numId w:val="0"/>
        </w:numPr>
        <w:spacing w:before="0" w:after="240"/>
        <w:ind w:left="720"/>
        <w:rPr>
          <w:b/>
        </w:rPr>
      </w:pPr>
    </w:p>
    <w:p w:rsidR="00222C32" w:rsidRPr="00942C19" w:rsidRDefault="00222C32" w:rsidP="00222C32">
      <w:pPr>
        <w:pStyle w:val="Heading3"/>
        <w:numPr>
          <w:ilvl w:val="2"/>
          <w:numId w:val="1"/>
        </w:numPr>
        <w:spacing w:before="0"/>
        <w:rPr>
          <w:b/>
        </w:rPr>
      </w:pPr>
      <w:r w:rsidRPr="00942C19">
        <w:rPr>
          <w:b/>
        </w:rPr>
        <w:t>The Commission’s Analysis:</w:t>
      </w:r>
    </w:p>
    <w:p w:rsidR="00222C32" w:rsidRPr="00942C19" w:rsidRDefault="00222C32" w:rsidP="00D05C4B">
      <w:pPr>
        <w:pStyle w:val="Heading4"/>
      </w:pPr>
      <w:r w:rsidRPr="00942C19">
        <w:t xml:space="preserve">The assumptions considered by Commission while approving the power purchase from the NHPC generating stations is given in </w:t>
      </w:r>
      <w:fldSimple w:instr=" REF _Ref325470456 \h  \* MERGEFORMAT ">
        <w:r w:rsidR="00984AA4" w:rsidRPr="00942C19">
          <w:t xml:space="preserve">Table </w:t>
        </w:r>
        <w:r w:rsidR="00984AA4" w:rsidRPr="00942C19">
          <w:rPr>
            <w:noProof/>
          </w:rPr>
          <w:t>4</w:t>
        </w:r>
        <w:r w:rsidR="00984AA4" w:rsidRPr="00942C19">
          <w:rPr>
            <w:noProof/>
          </w:rPr>
          <w:noBreakHyphen/>
          <w:t>19</w:t>
        </w:r>
      </w:fldSimple>
      <w:r w:rsidRPr="00942C19">
        <w:t xml:space="preserve"> below:</w:t>
      </w:r>
    </w:p>
    <w:p w:rsidR="00222C32" w:rsidRPr="00942C19" w:rsidRDefault="00222C32" w:rsidP="00222C32">
      <w:pPr>
        <w:pStyle w:val="Caption"/>
        <w:keepNext/>
        <w:jc w:val="center"/>
      </w:pPr>
      <w:bookmarkStart w:id="548" w:name="_Ref325470456"/>
      <w:bookmarkStart w:id="549" w:name="_Toc325475671"/>
      <w:bookmarkStart w:id="550" w:name="_Toc338310686"/>
      <w:bookmarkStart w:id="551" w:name="_Toc338419516"/>
      <w:bookmarkStart w:id="552" w:name="_Toc357719713"/>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19</w:t>
      </w:r>
      <w:r w:rsidR="000C642E" w:rsidRPr="00942C19">
        <w:fldChar w:fldCharType="end"/>
      </w:r>
      <w:bookmarkEnd w:id="548"/>
      <w:r w:rsidRPr="00942C19">
        <w:t xml:space="preserve">: ASSUMPTIONS FOR POWER PURCHASE FROM NHPC - FY </w:t>
      </w:r>
      <w:bookmarkEnd w:id="549"/>
      <w:bookmarkEnd w:id="550"/>
      <w:bookmarkEnd w:id="551"/>
      <w:r w:rsidRPr="00942C19">
        <w:t>2013-14</w:t>
      </w:r>
      <w:bookmarkEnd w:id="55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942C19" w:rsidTr="004F32BA">
        <w:trPr>
          <w:trHeight w:val="299"/>
          <w:tblHeader/>
        </w:trPr>
        <w:tc>
          <w:tcPr>
            <w:tcW w:w="32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S. No.</w:t>
            </w:r>
          </w:p>
        </w:tc>
        <w:tc>
          <w:tcPr>
            <w:tcW w:w="1497"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318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Assumption</w:t>
            </w:r>
          </w:p>
        </w:tc>
      </w:tr>
      <w:tr w:rsidR="00F46F5A" w:rsidRPr="00942C19" w:rsidTr="00F46F5A">
        <w:trPr>
          <w:trHeight w:val="600"/>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w:t>
            </w:r>
          </w:p>
        </w:tc>
        <w:tc>
          <w:tcPr>
            <w:tcW w:w="1497" w:type="pct"/>
            <w:vMerge w:val="restart"/>
            <w:shd w:val="clear" w:color="auto" w:fill="auto"/>
            <w:hideMark/>
          </w:tcPr>
          <w:p w:rsidR="00F46F5A" w:rsidRPr="00942C19" w:rsidRDefault="00F46F5A" w:rsidP="00F46F5A">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Power Purchase Quantum</w:t>
            </w:r>
          </w:p>
        </w:tc>
        <w:tc>
          <w:tcPr>
            <w:tcW w:w="3182" w:type="pct"/>
            <w:vMerge w:val="restart"/>
            <w:shd w:val="clear" w:color="auto" w:fill="auto"/>
            <w:hideMark/>
          </w:tcPr>
          <w:p w:rsidR="00A44CA7" w:rsidRPr="00942C19" w:rsidRDefault="00F46F5A">
            <w:pPr>
              <w:spacing w:before="0" w:line="240" w:lineRule="auto"/>
              <w:contextualSpacing/>
              <w:rPr>
                <w:rFonts w:cs="Calibri"/>
                <w:sz w:val="4"/>
                <w:szCs w:val="22"/>
                <w:lang w:val="en-IN" w:eastAsia="en-IN"/>
              </w:rPr>
            </w:pPr>
            <w:r w:rsidRPr="00942C19">
              <w:rPr>
                <w:rFonts w:cs="Calibri"/>
                <w:sz w:val="22"/>
                <w:szCs w:val="22"/>
                <w:lang w:val="en-IN" w:eastAsia="en-IN"/>
              </w:rPr>
              <w:t xml:space="preserve">Net Power Purchase Quantum is derived as a product of respective power plants MW capacity, plant load factor (PLF) and UP </w:t>
            </w:r>
            <w:r w:rsidR="004F32BA" w:rsidRPr="00942C19">
              <w:rPr>
                <w:rFonts w:cs="Calibri"/>
                <w:sz w:val="22"/>
                <w:szCs w:val="22"/>
                <w:lang w:val="en-IN" w:eastAsia="en-IN"/>
              </w:rPr>
              <w:t>S</w:t>
            </w:r>
            <w:r w:rsidRPr="00942C19">
              <w:rPr>
                <w:rFonts w:cs="Calibri"/>
                <w:sz w:val="22"/>
                <w:szCs w:val="22"/>
                <w:lang w:val="en-IN" w:eastAsia="en-IN"/>
              </w:rPr>
              <w:t xml:space="preserve">tate's </w:t>
            </w:r>
            <w:r w:rsidR="004F32BA" w:rsidRPr="00942C19">
              <w:rPr>
                <w:rFonts w:cs="Calibri"/>
                <w:sz w:val="22"/>
                <w:szCs w:val="22"/>
                <w:lang w:val="en-IN" w:eastAsia="en-IN"/>
              </w:rPr>
              <w:t>S</w:t>
            </w:r>
            <w:r w:rsidRPr="00942C19">
              <w:rPr>
                <w:rFonts w:cs="Calibri"/>
                <w:sz w:val="22"/>
                <w:szCs w:val="22"/>
                <w:lang w:val="en-IN" w:eastAsia="en-IN"/>
              </w:rPr>
              <w:t xml:space="preserve">hare in respective power plant. Power sourced from these NHPC plants is considered Must-run in Merit Order </w:t>
            </w:r>
            <w:r w:rsidR="00C8350E" w:rsidRPr="00942C19">
              <w:rPr>
                <w:rFonts w:cs="Calibri"/>
                <w:sz w:val="22"/>
                <w:szCs w:val="22"/>
                <w:lang w:val="en-IN" w:eastAsia="en-IN"/>
              </w:rPr>
              <w:t>Dispatch</w:t>
            </w:r>
            <w:r w:rsidRPr="00942C19">
              <w:rPr>
                <w:rFonts w:cs="Calibri"/>
                <w:sz w:val="22"/>
                <w:szCs w:val="22"/>
                <w:lang w:val="en-IN" w:eastAsia="en-IN"/>
              </w:rPr>
              <w:t>.</w:t>
            </w: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942C19" w:rsidRDefault="00A44CA7">
            <w:pPr>
              <w:spacing w:before="0" w:line="240" w:lineRule="auto"/>
              <w:rPr>
                <w:rFonts w:cs="Calibri"/>
                <w:bCs/>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942C19" w:rsidRDefault="00A44CA7">
            <w:pPr>
              <w:spacing w:before="0" w:line="240" w:lineRule="auto"/>
              <w:rPr>
                <w:rFonts w:cs="Calibri"/>
                <w:bCs/>
                <w:sz w:val="22"/>
                <w:szCs w:val="22"/>
                <w:lang w:val="en-IN" w:eastAsia="en-IN"/>
              </w:rPr>
            </w:pPr>
          </w:p>
        </w:tc>
      </w:tr>
      <w:tr w:rsidR="00F46F5A" w:rsidRPr="00942C19" w:rsidTr="00F46F5A">
        <w:trPr>
          <w:trHeight w:val="269"/>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942C19" w:rsidRDefault="00A44CA7">
            <w:pPr>
              <w:spacing w:before="0" w:line="240" w:lineRule="auto"/>
              <w:rPr>
                <w:rFonts w:cs="Calibri"/>
                <w:bCs/>
                <w:sz w:val="22"/>
                <w:szCs w:val="22"/>
                <w:lang w:val="en-IN" w:eastAsia="en-IN"/>
              </w:rPr>
            </w:pPr>
          </w:p>
        </w:tc>
      </w:tr>
      <w:tr w:rsidR="00F46F5A" w:rsidRPr="00942C19" w:rsidTr="00F46F5A">
        <w:trPr>
          <w:trHeight w:val="300"/>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w:t>
            </w:r>
          </w:p>
        </w:tc>
        <w:tc>
          <w:tcPr>
            <w:tcW w:w="1497" w:type="pct"/>
            <w:vMerge w:val="restar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Power Purchase Quantum and Cost from Chamera-III and Uri-II</w:t>
            </w:r>
          </w:p>
        </w:tc>
        <w:tc>
          <w:tcPr>
            <w:tcW w:w="3182" w:type="pct"/>
            <w:vMerge w:val="restart"/>
            <w:shd w:val="clear" w:color="auto" w:fill="auto"/>
            <w:hideMark/>
          </w:tcPr>
          <w:p w:rsidR="00A44CA7" w:rsidRPr="00942C19" w:rsidRDefault="00F46F5A">
            <w:pPr>
              <w:spacing w:before="0" w:line="240" w:lineRule="auto"/>
              <w:contextualSpacing/>
              <w:rPr>
                <w:rFonts w:cs="Calibri"/>
                <w:sz w:val="22"/>
                <w:szCs w:val="22"/>
                <w:lang w:val="en-IN" w:eastAsia="en-IN"/>
              </w:rPr>
            </w:pPr>
            <w:r w:rsidRPr="00942C19">
              <w:rPr>
                <w:rFonts w:cs="Calibri"/>
                <w:sz w:val="22"/>
                <w:szCs w:val="22"/>
                <w:lang w:val="en-IN" w:eastAsia="en-IN"/>
              </w:rPr>
              <w:t xml:space="preserve">With no precedence to estimates power purchase quantum and cost from Chamera-III and Uri-II, the Commission accepts the submission made by the </w:t>
            </w:r>
            <w:r w:rsidR="009A3804" w:rsidRPr="00942C19">
              <w:rPr>
                <w:rFonts w:cs="Calibri"/>
                <w:sz w:val="22"/>
                <w:szCs w:val="22"/>
                <w:lang w:val="en-IN" w:eastAsia="en-IN"/>
              </w:rPr>
              <w:t>Licensee</w:t>
            </w:r>
            <w:r w:rsidRPr="00942C19">
              <w:rPr>
                <w:rFonts w:cs="Calibri"/>
                <w:sz w:val="22"/>
                <w:szCs w:val="22"/>
                <w:lang w:val="en-IN" w:eastAsia="en-IN"/>
              </w:rPr>
              <w:t xml:space="preserve"> for Chamera-III &amp; Uri-II.</w:t>
            </w: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700278">
        <w:trPr>
          <w:trHeight w:val="269"/>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w:t>
            </w:r>
          </w:p>
        </w:tc>
        <w:tc>
          <w:tcPr>
            <w:tcW w:w="1497" w:type="pct"/>
            <w:vMerge w:val="restar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Fixed Charges</w:t>
            </w:r>
          </w:p>
        </w:tc>
        <w:tc>
          <w:tcPr>
            <w:tcW w:w="3182" w:type="pct"/>
            <w:vMerge w:val="restart"/>
            <w:shd w:val="clear" w:color="auto" w:fill="auto"/>
            <w:hideMark/>
          </w:tcPr>
          <w:p w:rsidR="00A44CA7" w:rsidRPr="00942C19" w:rsidRDefault="00F46F5A">
            <w:pPr>
              <w:spacing w:before="0" w:line="240" w:lineRule="auto"/>
              <w:rPr>
                <w:rFonts w:cs="Calibri"/>
                <w:sz w:val="22"/>
                <w:szCs w:val="22"/>
                <w:lang w:val="en-IN" w:eastAsia="en-IN"/>
              </w:rPr>
            </w:pPr>
            <w:r w:rsidRPr="00942C19">
              <w:rPr>
                <w:rFonts w:cs="Calibri"/>
                <w:sz w:val="22"/>
                <w:szCs w:val="22"/>
                <w:lang w:val="en-IN" w:eastAsia="en-IN"/>
              </w:rPr>
              <w:t xml:space="preserve">Fixed charges are computed after considering UP </w:t>
            </w:r>
            <w:r w:rsidR="004F32BA" w:rsidRPr="00942C19">
              <w:rPr>
                <w:rFonts w:cs="Calibri"/>
                <w:sz w:val="22"/>
                <w:szCs w:val="22"/>
                <w:lang w:val="en-IN" w:eastAsia="en-IN"/>
              </w:rPr>
              <w:t>S</w:t>
            </w:r>
            <w:r w:rsidRPr="00942C19">
              <w:rPr>
                <w:rFonts w:cs="Calibri"/>
                <w:sz w:val="22"/>
                <w:szCs w:val="22"/>
                <w:lang w:val="en-IN" w:eastAsia="en-IN"/>
              </w:rPr>
              <w:t xml:space="preserve">tate's allocated </w:t>
            </w:r>
            <w:r w:rsidR="004F32BA" w:rsidRPr="00942C19">
              <w:rPr>
                <w:rFonts w:cs="Calibri"/>
                <w:sz w:val="22"/>
                <w:szCs w:val="22"/>
                <w:lang w:val="en-IN" w:eastAsia="en-IN"/>
              </w:rPr>
              <w:t>S</w:t>
            </w:r>
            <w:r w:rsidRPr="00942C19">
              <w:rPr>
                <w:rFonts w:cs="Calibri"/>
                <w:sz w:val="22"/>
                <w:szCs w:val="22"/>
                <w:lang w:val="en-IN" w:eastAsia="en-IN"/>
              </w:rPr>
              <w:t>hare in respective power plant as per Regional Energy Accounting Report and Annual Report of NRRC and fixed cost approved by as per CERC order for respective power plants.</w:t>
            </w: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269"/>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161"/>
        </w:trPr>
        <w:tc>
          <w:tcPr>
            <w:tcW w:w="322" w:type="pc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w:t>
            </w:r>
          </w:p>
        </w:tc>
        <w:tc>
          <w:tcPr>
            <w:tcW w:w="1497" w:type="pc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Variable Charges</w:t>
            </w:r>
          </w:p>
        </w:tc>
        <w:tc>
          <w:tcPr>
            <w:tcW w:w="3182" w:type="pct"/>
            <w:shd w:val="clear" w:color="auto" w:fill="auto"/>
            <w:hideMark/>
          </w:tcPr>
          <w:p w:rsidR="00F46F5A" w:rsidRPr="00942C19" w:rsidRDefault="00F46F5A" w:rsidP="00F46F5A">
            <w:pPr>
              <w:spacing w:before="0" w:line="240" w:lineRule="auto"/>
              <w:rPr>
                <w:rFonts w:cs="Calibri"/>
                <w:sz w:val="22"/>
                <w:szCs w:val="22"/>
                <w:lang w:val="en-IN" w:eastAsia="en-IN"/>
              </w:rPr>
            </w:pPr>
            <w:r w:rsidRPr="00942C19">
              <w:rPr>
                <w:rFonts w:cs="Calibri"/>
                <w:sz w:val="22"/>
                <w:szCs w:val="22"/>
                <w:lang w:val="en-IN" w:eastAsia="en-IN"/>
              </w:rPr>
              <w:t xml:space="preserve">Variable </w:t>
            </w:r>
            <w:r w:rsidR="00D31494" w:rsidRPr="00942C19">
              <w:rPr>
                <w:rFonts w:cs="Calibri"/>
                <w:sz w:val="22"/>
                <w:szCs w:val="22"/>
                <w:lang w:val="en-IN" w:eastAsia="en-IN"/>
              </w:rPr>
              <w:t>costs are</w:t>
            </w:r>
            <w:r w:rsidRPr="00942C19">
              <w:rPr>
                <w:rFonts w:cs="Calibri"/>
                <w:sz w:val="22"/>
                <w:szCs w:val="22"/>
                <w:lang w:val="en-IN" w:eastAsia="en-IN"/>
              </w:rPr>
              <w:t xml:space="preserve"> calculated as per CERC regulations</w:t>
            </w:r>
            <w:r w:rsidR="00700278" w:rsidRPr="00942C19">
              <w:rPr>
                <w:rFonts w:cs="Calibri"/>
                <w:sz w:val="22"/>
                <w:szCs w:val="22"/>
                <w:lang w:val="en-IN" w:eastAsia="en-IN"/>
              </w:rPr>
              <w:t>.</w:t>
            </w:r>
          </w:p>
        </w:tc>
      </w:tr>
    </w:tbl>
    <w:p w:rsidR="00222C32" w:rsidRPr="00942C19" w:rsidRDefault="00222C32" w:rsidP="00222C32">
      <w:pPr>
        <w:pStyle w:val="Heading3"/>
        <w:numPr>
          <w:ilvl w:val="0"/>
          <w:numId w:val="0"/>
        </w:numPr>
        <w:jc w:val="center"/>
      </w:pPr>
      <w:r w:rsidRPr="00942C19" w:rsidDel="00237AE3">
        <w:t xml:space="preserve"> </w:t>
      </w:r>
    </w:p>
    <w:p w:rsidR="00222C32" w:rsidRPr="00942C19" w:rsidRDefault="00222C32" w:rsidP="00222C32">
      <w:pPr>
        <w:pStyle w:val="Caption"/>
        <w:keepNext/>
        <w:jc w:val="center"/>
      </w:pPr>
      <w:bookmarkStart w:id="553" w:name="_Toc325475672"/>
      <w:bookmarkStart w:id="554" w:name="_Toc338310687"/>
      <w:bookmarkStart w:id="555" w:name="_Toc338419517"/>
      <w:bookmarkStart w:id="556" w:name="_Toc357719714"/>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20</w:t>
      </w:r>
      <w:r w:rsidR="000C642E" w:rsidRPr="00942C19">
        <w:fldChar w:fldCharType="end"/>
      </w:r>
      <w:r w:rsidRPr="00942C19">
        <w:t xml:space="preserve">: METHODOLOGY FOR POWER PURCHASE FROM NHPC - FY </w:t>
      </w:r>
      <w:bookmarkEnd w:id="553"/>
      <w:bookmarkEnd w:id="554"/>
      <w:bookmarkEnd w:id="555"/>
      <w:r w:rsidRPr="00942C19">
        <w:t>2013-14</w:t>
      </w:r>
      <w:bookmarkEnd w:id="55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05"/>
        <w:gridCol w:w="2543"/>
        <w:gridCol w:w="5537"/>
      </w:tblGrid>
      <w:tr w:rsidR="00F46F5A" w:rsidRPr="00942C19" w:rsidTr="004F32BA">
        <w:trPr>
          <w:trHeight w:val="332"/>
        </w:trPr>
        <w:tc>
          <w:tcPr>
            <w:tcW w:w="423" w:type="pct"/>
            <w:shd w:val="clear" w:color="000000" w:fill="DBE5F1"/>
            <w:noWrap/>
            <w:hideMark/>
          </w:tcPr>
          <w:p w:rsidR="00F46F5A" w:rsidRPr="00942C19" w:rsidRDefault="00222C32" w:rsidP="00F46F5A">
            <w:pPr>
              <w:spacing w:before="0" w:line="240" w:lineRule="auto"/>
              <w:jc w:val="left"/>
              <w:rPr>
                <w:rFonts w:cs="Calibri"/>
                <w:b/>
                <w:bCs/>
                <w:sz w:val="22"/>
                <w:szCs w:val="22"/>
                <w:lang w:val="en-IN" w:eastAsia="en-IN"/>
              </w:rPr>
            </w:pPr>
            <w:r w:rsidRPr="00942C19">
              <w:rPr>
                <w:bCs/>
              </w:rPr>
              <w:t xml:space="preserve"> </w:t>
            </w:r>
            <w:r w:rsidR="00F46F5A" w:rsidRPr="00942C19">
              <w:rPr>
                <w:rFonts w:cs="Calibri"/>
                <w:b/>
                <w:bCs/>
                <w:sz w:val="22"/>
                <w:szCs w:val="22"/>
                <w:lang w:val="en-IN" w:eastAsia="en-IN"/>
              </w:rPr>
              <w:t>S. No.</w:t>
            </w:r>
          </w:p>
        </w:tc>
        <w:tc>
          <w:tcPr>
            <w:tcW w:w="1446"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3131"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Methodology</w:t>
            </w:r>
          </w:p>
        </w:tc>
      </w:tr>
      <w:tr w:rsidR="00F46F5A" w:rsidRPr="00942C19" w:rsidTr="00F46F5A">
        <w:trPr>
          <w:trHeight w:val="600"/>
        </w:trPr>
        <w:tc>
          <w:tcPr>
            <w:tcW w:w="423"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w:t>
            </w:r>
          </w:p>
        </w:tc>
        <w:tc>
          <w:tcPr>
            <w:tcW w:w="1446" w:type="pct"/>
            <w:vMerge w:val="restar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Energy Generation</w:t>
            </w:r>
          </w:p>
        </w:tc>
        <w:tc>
          <w:tcPr>
            <w:tcW w:w="3131" w:type="pct"/>
            <w:vMerge w:val="restart"/>
            <w:shd w:val="clear" w:color="auto" w:fill="auto"/>
            <w:hideMark/>
          </w:tcPr>
          <w:p w:rsidR="00A44CA7" w:rsidRPr="00942C19" w:rsidRDefault="00F46F5A">
            <w:pPr>
              <w:spacing w:before="0" w:line="240" w:lineRule="auto"/>
              <w:rPr>
                <w:rFonts w:cs="Calibri"/>
                <w:sz w:val="22"/>
                <w:szCs w:val="22"/>
                <w:lang w:val="en-IN" w:eastAsia="en-IN"/>
              </w:rPr>
            </w:pPr>
            <w:r w:rsidRPr="00942C19">
              <w:rPr>
                <w:rFonts w:cs="Calibri"/>
                <w:sz w:val="22"/>
                <w:szCs w:val="22"/>
                <w:lang w:val="en-IN" w:eastAsia="en-IN"/>
              </w:rPr>
              <w:t xml:space="preserve">Factoring the MW capacity, </w:t>
            </w:r>
            <w:r w:rsidR="004F32BA" w:rsidRPr="00942C19">
              <w:rPr>
                <w:rFonts w:cs="Calibri"/>
                <w:sz w:val="22"/>
                <w:szCs w:val="22"/>
                <w:lang w:val="en-IN" w:eastAsia="en-IN"/>
              </w:rPr>
              <w:t>auxiliary</w:t>
            </w:r>
            <w:r w:rsidRPr="00942C19">
              <w:rPr>
                <w:rFonts w:cs="Calibri"/>
                <w:sz w:val="22"/>
                <w:szCs w:val="22"/>
                <w:lang w:val="en-IN" w:eastAsia="en-IN"/>
              </w:rPr>
              <w:t xml:space="preserve"> consumption and design energy as specified by CERC for respective hydro plants the Commission has calculated the energy sourced from each of the plant. </w:t>
            </w:r>
          </w:p>
        </w:tc>
      </w:tr>
      <w:tr w:rsidR="00F46F5A" w:rsidRPr="00942C19" w:rsidTr="00F46F5A">
        <w:trPr>
          <w:trHeight w:val="300"/>
        </w:trPr>
        <w:tc>
          <w:tcPr>
            <w:tcW w:w="423"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423"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423"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w:t>
            </w:r>
          </w:p>
        </w:tc>
        <w:tc>
          <w:tcPr>
            <w:tcW w:w="1446" w:type="pct"/>
            <w:vMerge w:val="restar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UP State's share in power plants</w:t>
            </w:r>
          </w:p>
        </w:tc>
        <w:tc>
          <w:tcPr>
            <w:tcW w:w="3131" w:type="pct"/>
            <w:vMerge w:val="restart"/>
            <w:shd w:val="clear" w:color="auto" w:fill="auto"/>
            <w:hideMark/>
          </w:tcPr>
          <w:p w:rsidR="00A44CA7" w:rsidRPr="00942C19" w:rsidRDefault="00F46F5A">
            <w:pPr>
              <w:spacing w:before="0" w:line="240" w:lineRule="auto"/>
              <w:rPr>
                <w:rFonts w:cs="Calibri"/>
                <w:sz w:val="22"/>
                <w:szCs w:val="22"/>
                <w:lang w:val="en-IN" w:eastAsia="en-IN"/>
              </w:rPr>
            </w:pPr>
            <w:r w:rsidRPr="00942C19">
              <w:rPr>
                <w:rFonts w:cs="Calibri"/>
                <w:sz w:val="22"/>
                <w:szCs w:val="22"/>
                <w:lang w:val="en-IN" w:eastAsia="en-IN"/>
              </w:rPr>
              <w:t>Allocation of Power from various central generating stations for FY 2013-14 both firm and unallocated quota has been considered as per the NRPC circular (NRPC/ OPR/ 103/ 02/ 2012-13) dated 18.04.2013</w:t>
            </w:r>
            <w:r w:rsidR="00700278" w:rsidRPr="00942C19">
              <w:rPr>
                <w:rFonts w:cs="Calibri"/>
                <w:sz w:val="22"/>
                <w:szCs w:val="22"/>
                <w:lang w:val="en-IN" w:eastAsia="en-IN"/>
              </w:rPr>
              <w:t>.</w:t>
            </w:r>
          </w:p>
        </w:tc>
      </w:tr>
      <w:tr w:rsidR="00F46F5A" w:rsidRPr="00942C19" w:rsidTr="00F46F5A">
        <w:trPr>
          <w:trHeight w:val="300"/>
        </w:trPr>
        <w:tc>
          <w:tcPr>
            <w:tcW w:w="423"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423"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423"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bl>
    <w:p w:rsidR="00A44CA7" w:rsidRPr="00942C19" w:rsidRDefault="00A44CA7">
      <w:pPr>
        <w:pStyle w:val="Heading4"/>
        <w:numPr>
          <w:ilvl w:val="0"/>
          <w:numId w:val="0"/>
        </w:numPr>
        <w:spacing w:before="0"/>
        <w:ind w:left="864"/>
      </w:pPr>
    </w:p>
    <w:p w:rsidR="00222C32" w:rsidRPr="00942C19" w:rsidRDefault="00222C32" w:rsidP="00D05C4B">
      <w:pPr>
        <w:pStyle w:val="Heading4"/>
      </w:pPr>
      <w:r w:rsidRPr="00942C19">
        <w:t>Based on above approach, the summary of approved costs of NHPC generating statio</w:t>
      </w:r>
      <w:r w:rsidR="00785E17" w:rsidRPr="00942C19">
        <w:t xml:space="preserve">ns is given in </w:t>
      </w:r>
      <w:fldSimple w:instr=" REF _Ref325470498 \h  \* MERGEFORMAT ">
        <w:r w:rsidR="00785E17" w:rsidRPr="00942C19">
          <w:t xml:space="preserve">Table </w:t>
        </w:r>
        <w:r w:rsidR="00984AA4" w:rsidRPr="00942C19">
          <w:rPr>
            <w:noProof/>
          </w:rPr>
          <w:t>4</w:t>
        </w:r>
        <w:r w:rsidR="00785E17" w:rsidRPr="00942C19">
          <w:rPr>
            <w:noProof/>
          </w:rPr>
          <w:noBreakHyphen/>
        </w:r>
        <w:r w:rsidR="00984AA4" w:rsidRPr="00942C19">
          <w:rPr>
            <w:noProof/>
          </w:rPr>
          <w:t>21</w:t>
        </w:r>
      </w:fldSimple>
      <w:r w:rsidR="00785E17" w:rsidRPr="00942C19">
        <w:t xml:space="preserve"> below:</w:t>
      </w:r>
    </w:p>
    <w:p w:rsidR="00222C32" w:rsidRPr="00942C19" w:rsidRDefault="00785E17" w:rsidP="00222C32">
      <w:pPr>
        <w:pStyle w:val="Caption"/>
        <w:keepNext/>
        <w:jc w:val="center"/>
      </w:pPr>
      <w:bookmarkStart w:id="557" w:name="_Ref325470498"/>
      <w:bookmarkStart w:id="558" w:name="_Toc325475673"/>
      <w:bookmarkStart w:id="559" w:name="_Toc338310688"/>
      <w:bookmarkStart w:id="560" w:name="_Toc338419518"/>
      <w:bookmarkStart w:id="561" w:name="_Toc357719715"/>
      <w:r w:rsidRPr="00942C19">
        <w:t xml:space="preserve">Table </w:t>
      </w:r>
      <w:r w:rsidR="000C642E" w:rsidRPr="00942C19">
        <w:fldChar w:fldCharType="begin"/>
      </w:r>
      <w:r w:rsidR="00155FB3"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00155FB3" w:rsidRPr="00942C19">
        <w:instrText xml:space="preserve"> SEQ Table \* ARABIC \s 1 </w:instrText>
      </w:r>
      <w:r w:rsidR="000C642E" w:rsidRPr="00942C19">
        <w:fldChar w:fldCharType="separate"/>
      </w:r>
      <w:r w:rsidR="00984AA4" w:rsidRPr="00942C19">
        <w:rPr>
          <w:noProof/>
        </w:rPr>
        <w:t>21</w:t>
      </w:r>
      <w:r w:rsidR="000C642E" w:rsidRPr="00942C19">
        <w:fldChar w:fldCharType="end"/>
      </w:r>
      <w:bookmarkEnd w:id="557"/>
      <w:r w:rsidRPr="00942C19">
        <w:t xml:space="preserve">: APPROVED COST OF POWER PURCHASE FROM NHPC STATIONS FY </w:t>
      </w:r>
      <w:bookmarkEnd w:id="558"/>
      <w:bookmarkEnd w:id="559"/>
      <w:bookmarkEnd w:id="560"/>
      <w:r w:rsidRPr="00942C19">
        <w:t>2013-14</w:t>
      </w:r>
      <w:bookmarkEnd w:id="561"/>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713"/>
        <w:gridCol w:w="1661"/>
        <w:gridCol w:w="1106"/>
        <w:gridCol w:w="1471"/>
        <w:gridCol w:w="1471"/>
      </w:tblGrid>
      <w:tr w:rsidR="00D47B3B" w:rsidRPr="00942C19" w:rsidTr="00700278">
        <w:trPr>
          <w:trHeight w:val="297"/>
          <w:tblHeader/>
          <w:jc w:val="center"/>
        </w:trPr>
        <w:tc>
          <w:tcPr>
            <w:tcW w:w="0" w:type="auto"/>
            <w:vMerge w:val="restart"/>
            <w:shd w:val="clear" w:color="000000" w:fill="DBE5F1"/>
            <w:vAlign w:val="center"/>
            <w:hideMark/>
          </w:tcPr>
          <w:p w:rsidR="00D47B3B" w:rsidRPr="00942C19" w:rsidRDefault="00A54A69" w:rsidP="00D47B3B">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1661" w:type="dxa"/>
            <w:vMerge w:val="restart"/>
            <w:shd w:val="clear" w:color="000000" w:fill="DBE5F1"/>
            <w:vAlign w:val="center"/>
            <w:hideMark/>
          </w:tcPr>
          <w:p w:rsidR="004D0E04"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1106" w:type="dxa"/>
            <w:vMerge w:val="restart"/>
            <w:shd w:val="clear" w:color="000000" w:fill="DBE5F1"/>
            <w:vAlign w:val="center"/>
            <w:hideMark/>
          </w:tcPr>
          <w:p w:rsidR="004D0E04"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2942" w:type="dxa"/>
            <w:gridSpan w:val="2"/>
            <w:shd w:val="clear" w:color="000000" w:fill="DBE5F1"/>
            <w:vAlign w:val="center"/>
            <w:hideMark/>
          </w:tcPr>
          <w:p w:rsidR="004D0E04"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r>
      <w:tr w:rsidR="00D47B3B" w:rsidRPr="00942C19" w:rsidTr="00700278">
        <w:trPr>
          <w:trHeight w:val="275"/>
          <w:tblHeader/>
          <w:jc w:val="center"/>
        </w:trPr>
        <w:tc>
          <w:tcPr>
            <w:tcW w:w="0" w:type="auto"/>
            <w:vMerge/>
            <w:vAlign w:val="center"/>
            <w:hideMark/>
          </w:tcPr>
          <w:p w:rsidR="00D47B3B" w:rsidRPr="00942C19" w:rsidRDefault="00D47B3B" w:rsidP="00D47B3B">
            <w:pPr>
              <w:spacing w:before="0" w:line="240" w:lineRule="auto"/>
              <w:jc w:val="left"/>
              <w:rPr>
                <w:rFonts w:cs="Calibri"/>
                <w:b/>
                <w:bCs/>
                <w:sz w:val="22"/>
                <w:szCs w:val="22"/>
                <w:lang w:val="en-IN" w:eastAsia="en-IN"/>
              </w:rPr>
            </w:pPr>
          </w:p>
        </w:tc>
        <w:tc>
          <w:tcPr>
            <w:tcW w:w="1661" w:type="dxa"/>
            <w:vMerge/>
            <w:vAlign w:val="center"/>
            <w:hideMark/>
          </w:tcPr>
          <w:p w:rsidR="00A44CA7" w:rsidRPr="00942C19" w:rsidRDefault="00A44CA7">
            <w:pPr>
              <w:spacing w:before="0" w:line="240" w:lineRule="auto"/>
              <w:jc w:val="center"/>
              <w:rPr>
                <w:rFonts w:cs="Calibri"/>
                <w:b/>
                <w:bCs/>
                <w:sz w:val="22"/>
                <w:szCs w:val="22"/>
                <w:lang w:val="en-IN" w:eastAsia="en-IN"/>
              </w:rPr>
            </w:pPr>
          </w:p>
        </w:tc>
        <w:tc>
          <w:tcPr>
            <w:tcW w:w="1106" w:type="dxa"/>
            <w:vMerge/>
            <w:vAlign w:val="center"/>
            <w:hideMark/>
          </w:tcPr>
          <w:p w:rsidR="00A44CA7" w:rsidRPr="00942C19" w:rsidRDefault="00A44CA7">
            <w:pPr>
              <w:spacing w:before="0" w:line="240" w:lineRule="auto"/>
              <w:jc w:val="center"/>
              <w:rPr>
                <w:rFonts w:cs="Calibri"/>
                <w:b/>
                <w:bCs/>
                <w:sz w:val="22"/>
                <w:szCs w:val="22"/>
                <w:lang w:val="en-IN" w:eastAsia="en-IN"/>
              </w:rPr>
            </w:pPr>
          </w:p>
        </w:tc>
        <w:tc>
          <w:tcPr>
            <w:tcW w:w="1471" w:type="dxa"/>
            <w:shd w:val="clear" w:color="000000" w:fill="DBE5F1"/>
            <w:vAlign w:val="center"/>
            <w:hideMark/>
          </w:tcPr>
          <w:p w:rsidR="004D0E04"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1471" w:type="dxa"/>
            <w:shd w:val="clear" w:color="000000" w:fill="DBE5F1"/>
            <w:vAlign w:val="center"/>
            <w:hideMark/>
          </w:tcPr>
          <w:p w:rsidR="004D0E04"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Chamera</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109</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333</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1.67</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55.78</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Chamera-II</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81</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401</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2.35</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94.02</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Chamera-III</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59</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292</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4.25</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124.30</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Dhauliganga</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71</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286</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2.52</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72.07</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Salal I&amp;II</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48</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212</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0.86</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18.17</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Tanakpur</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21</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101</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21.69</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Uri</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96</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513</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1.55</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79.30</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Dulhasti</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106</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512</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5.12</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261.83</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Sewa-II</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33</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147</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3.70</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54.27</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sz w:val="22"/>
                <w:szCs w:val="22"/>
                <w:lang w:val="en-IN" w:eastAsia="en-IN"/>
              </w:rPr>
            </w:pPr>
            <w:r w:rsidRPr="00942C19">
              <w:rPr>
                <w:rFonts w:cs="Calibri"/>
                <w:sz w:val="22"/>
                <w:szCs w:val="22"/>
                <w:lang w:val="en-IN" w:eastAsia="en-IN"/>
              </w:rPr>
              <w:t>Uri-II</w:t>
            </w:r>
          </w:p>
        </w:tc>
        <w:tc>
          <w:tcPr>
            <w:tcW w:w="166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48</w:t>
            </w:r>
          </w:p>
        </w:tc>
        <w:tc>
          <w:tcPr>
            <w:tcW w:w="1106"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210</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3.32</w:t>
            </w:r>
          </w:p>
        </w:tc>
        <w:tc>
          <w:tcPr>
            <w:tcW w:w="1471" w:type="dxa"/>
            <w:shd w:val="clear" w:color="auto" w:fill="auto"/>
            <w:vAlign w:val="center"/>
            <w:hideMark/>
          </w:tcPr>
          <w:p w:rsidR="00A44CA7" w:rsidRPr="00942C19" w:rsidRDefault="00A54A69">
            <w:pPr>
              <w:spacing w:before="0" w:line="240" w:lineRule="auto"/>
              <w:jc w:val="center"/>
              <w:rPr>
                <w:rFonts w:cs="Calibri"/>
                <w:sz w:val="22"/>
                <w:szCs w:val="22"/>
                <w:lang w:val="en-IN" w:eastAsia="en-IN"/>
              </w:rPr>
            </w:pPr>
            <w:r w:rsidRPr="00942C19">
              <w:rPr>
                <w:rFonts w:cs="Calibri"/>
                <w:sz w:val="22"/>
                <w:szCs w:val="22"/>
                <w:lang w:val="en-IN" w:eastAsia="en-IN"/>
              </w:rPr>
              <w:t>69.61</w:t>
            </w:r>
          </w:p>
        </w:tc>
      </w:tr>
      <w:tr w:rsidR="00D47B3B" w:rsidRPr="00942C19" w:rsidTr="00700278">
        <w:trPr>
          <w:trHeight w:val="300"/>
          <w:jc w:val="center"/>
        </w:trPr>
        <w:tc>
          <w:tcPr>
            <w:tcW w:w="0" w:type="auto"/>
            <w:shd w:val="clear" w:color="auto" w:fill="auto"/>
            <w:hideMark/>
          </w:tcPr>
          <w:p w:rsidR="00D47B3B" w:rsidRPr="00942C19" w:rsidRDefault="00A54A69" w:rsidP="00D47B3B">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1661" w:type="dxa"/>
            <w:shd w:val="clear" w:color="auto" w:fill="auto"/>
            <w:vAlign w:val="center"/>
            <w:hideMark/>
          </w:tcPr>
          <w:p w:rsidR="00A44CA7"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673</w:t>
            </w:r>
          </w:p>
        </w:tc>
        <w:tc>
          <w:tcPr>
            <w:tcW w:w="1106" w:type="dxa"/>
            <w:shd w:val="clear" w:color="auto" w:fill="auto"/>
            <w:vAlign w:val="center"/>
            <w:hideMark/>
          </w:tcPr>
          <w:p w:rsidR="00A44CA7"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3006</w:t>
            </w:r>
          </w:p>
        </w:tc>
        <w:tc>
          <w:tcPr>
            <w:tcW w:w="1471" w:type="dxa"/>
            <w:shd w:val="clear" w:color="auto" w:fill="auto"/>
            <w:vAlign w:val="center"/>
            <w:hideMark/>
          </w:tcPr>
          <w:p w:rsidR="00A44CA7"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2.83</w:t>
            </w:r>
          </w:p>
        </w:tc>
        <w:tc>
          <w:tcPr>
            <w:tcW w:w="1471" w:type="dxa"/>
            <w:shd w:val="clear" w:color="auto" w:fill="auto"/>
            <w:vAlign w:val="center"/>
            <w:hideMark/>
          </w:tcPr>
          <w:p w:rsidR="00A44CA7" w:rsidRPr="00942C19" w:rsidRDefault="00A54A69">
            <w:pPr>
              <w:spacing w:before="0" w:line="240" w:lineRule="auto"/>
              <w:jc w:val="center"/>
              <w:rPr>
                <w:rFonts w:cs="Calibri"/>
                <w:b/>
                <w:bCs/>
                <w:sz w:val="22"/>
                <w:szCs w:val="22"/>
                <w:lang w:val="en-IN" w:eastAsia="en-IN"/>
              </w:rPr>
            </w:pPr>
            <w:r w:rsidRPr="00942C19">
              <w:rPr>
                <w:rFonts w:cs="Calibri"/>
                <w:b/>
                <w:bCs/>
                <w:sz w:val="22"/>
                <w:szCs w:val="22"/>
                <w:lang w:val="en-IN" w:eastAsia="en-IN"/>
              </w:rPr>
              <w:t>851.04</w:t>
            </w:r>
          </w:p>
        </w:tc>
      </w:tr>
    </w:tbl>
    <w:p w:rsidR="007662D2" w:rsidRPr="00942C19" w:rsidRDefault="007662D2" w:rsidP="00222C32">
      <w:pPr>
        <w:pStyle w:val="Heading3"/>
        <w:numPr>
          <w:ilvl w:val="0"/>
          <w:numId w:val="0"/>
        </w:numPr>
        <w:jc w:val="center"/>
        <w:rPr>
          <w:b/>
          <w:lang w:val="en-US"/>
        </w:rPr>
      </w:pPr>
    </w:p>
    <w:p w:rsidR="00D47B3B" w:rsidRPr="00942C19" w:rsidRDefault="00222C32" w:rsidP="00222C32">
      <w:pPr>
        <w:pStyle w:val="Heading3"/>
        <w:numPr>
          <w:ilvl w:val="0"/>
          <w:numId w:val="0"/>
        </w:numPr>
        <w:jc w:val="center"/>
        <w:rPr>
          <w:noProof/>
          <w:lang w:val="en-IN" w:eastAsia="en-IN"/>
        </w:rPr>
      </w:pPr>
      <w:r w:rsidRPr="00942C19">
        <w:rPr>
          <w:b/>
          <w:lang w:val="en-US"/>
        </w:rPr>
        <w:t xml:space="preserve"> </w:t>
      </w:r>
    </w:p>
    <w:p w:rsidR="00222C32" w:rsidRPr="00942C19" w:rsidRDefault="00222C32" w:rsidP="00222C32">
      <w:pPr>
        <w:pStyle w:val="Heading3"/>
        <w:numPr>
          <w:ilvl w:val="2"/>
          <w:numId w:val="1"/>
        </w:numPr>
        <w:spacing w:before="0"/>
        <w:rPr>
          <w:b/>
        </w:rPr>
      </w:pPr>
      <w:r w:rsidRPr="00942C19">
        <w:rPr>
          <w:b/>
        </w:rPr>
        <w:t xml:space="preserve">The </w:t>
      </w:r>
      <w:r w:rsidR="009A3804" w:rsidRPr="00942C19">
        <w:rPr>
          <w:b/>
        </w:rPr>
        <w:t>Licensee</w:t>
      </w:r>
      <w:r w:rsidRPr="00942C19">
        <w:rPr>
          <w:b/>
        </w:rPr>
        <w:t>’s Submission:</w:t>
      </w:r>
    </w:p>
    <w:p w:rsidR="00222C32" w:rsidRPr="00942C19" w:rsidRDefault="00222C32" w:rsidP="00D05C4B">
      <w:pPr>
        <w:pStyle w:val="Heading4"/>
      </w:pPr>
      <w:r w:rsidRPr="00942C19">
        <w:t xml:space="preserve">The </w:t>
      </w:r>
      <w:r w:rsidR="009A3804" w:rsidRPr="00942C19">
        <w:t>Licensee</w:t>
      </w:r>
      <w:r w:rsidRPr="00942C19">
        <w:t xml:space="preserve">’s submission of power purchased from NPCIL generating stations for FY 2013-14 is provided in </w:t>
      </w:r>
      <w:fldSimple w:instr=" REF _Ref325470561 \h  \* MERGEFORMAT ">
        <w:r w:rsidR="00984AA4" w:rsidRPr="00942C19">
          <w:t xml:space="preserve">Table </w:t>
        </w:r>
        <w:r w:rsidR="00984AA4" w:rsidRPr="00942C19">
          <w:rPr>
            <w:noProof/>
          </w:rPr>
          <w:t>4</w:t>
        </w:r>
        <w:r w:rsidR="00984AA4" w:rsidRPr="00942C19">
          <w:rPr>
            <w:noProof/>
          </w:rPr>
          <w:noBreakHyphen/>
          <w:t>22</w:t>
        </w:r>
      </w:fldSimple>
      <w:r w:rsidRPr="00942C19">
        <w:t xml:space="preserve"> given below:</w:t>
      </w:r>
    </w:p>
    <w:p w:rsidR="00155FB3" w:rsidRPr="00942C19" w:rsidRDefault="00222C32" w:rsidP="004E2AB9">
      <w:pPr>
        <w:pStyle w:val="Caption"/>
        <w:keepNext/>
        <w:ind w:left="720" w:right="447" w:hanging="11"/>
        <w:jc w:val="center"/>
      </w:pPr>
      <w:bookmarkStart w:id="562" w:name="_Ref325470561"/>
      <w:bookmarkStart w:id="563" w:name="_Toc325475674"/>
      <w:bookmarkStart w:id="564" w:name="_Toc338310689"/>
      <w:bookmarkStart w:id="565" w:name="_Toc338419519"/>
      <w:bookmarkStart w:id="566" w:name="_Toc357719716"/>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22</w:t>
      </w:r>
      <w:r w:rsidR="000C642E" w:rsidRPr="00942C19">
        <w:fldChar w:fldCharType="end"/>
      </w:r>
      <w:bookmarkEnd w:id="562"/>
      <w:r w:rsidRPr="00942C19">
        <w:t>: DETAILS OF POWER PURCHASE COST FROM NPCIL STATIONS FOR FY 2013-14 - PETITION</w:t>
      </w:r>
      <w:bookmarkEnd w:id="563"/>
      <w:bookmarkEnd w:id="564"/>
      <w:bookmarkEnd w:id="565"/>
      <w:bookmarkEnd w:id="56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68"/>
        <w:gridCol w:w="1062"/>
        <w:gridCol w:w="663"/>
        <w:gridCol w:w="708"/>
        <w:gridCol w:w="843"/>
        <w:gridCol w:w="708"/>
        <w:gridCol w:w="912"/>
        <w:gridCol w:w="708"/>
        <w:gridCol w:w="946"/>
        <w:gridCol w:w="967"/>
      </w:tblGrid>
      <w:tr w:rsidR="00F46F5A" w:rsidRPr="00942C19" w:rsidTr="00F46F5A">
        <w:trPr>
          <w:trHeight w:val="600"/>
        </w:trPr>
        <w:tc>
          <w:tcPr>
            <w:tcW w:w="790"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35"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351"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13"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952"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971"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487"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F46F5A" w:rsidRPr="00942C19" w:rsidTr="00F46F5A">
        <w:trPr>
          <w:trHeight w:val="600"/>
        </w:trPr>
        <w:tc>
          <w:tcPr>
            <w:tcW w:w="790"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535" w:type="pct"/>
            <w:vMerge/>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351" w:type="pct"/>
            <w:vMerge/>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418"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95"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18"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34"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09"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62"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87"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F46F5A" w:rsidRPr="00942C19" w:rsidTr="00F46F5A">
        <w:trPr>
          <w:trHeight w:val="300"/>
        </w:trPr>
        <w:tc>
          <w:tcPr>
            <w:tcW w:w="790"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NAPP</w:t>
            </w:r>
          </w:p>
        </w:tc>
        <w:tc>
          <w:tcPr>
            <w:tcW w:w="53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161</w:t>
            </w:r>
          </w:p>
        </w:tc>
        <w:tc>
          <w:tcPr>
            <w:tcW w:w="35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596</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2.65</w:t>
            </w:r>
          </w:p>
        </w:tc>
        <w:tc>
          <w:tcPr>
            <w:tcW w:w="534"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157.94</w:t>
            </w:r>
          </w:p>
        </w:tc>
        <w:tc>
          <w:tcPr>
            <w:tcW w:w="409"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2.65</w:t>
            </w:r>
          </w:p>
        </w:tc>
        <w:tc>
          <w:tcPr>
            <w:tcW w:w="56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157.94</w:t>
            </w:r>
          </w:p>
        </w:tc>
        <w:tc>
          <w:tcPr>
            <w:tcW w:w="48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2.65</w:t>
            </w:r>
          </w:p>
        </w:tc>
      </w:tr>
      <w:tr w:rsidR="00F46F5A" w:rsidRPr="00942C19" w:rsidTr="00F46F5A">
        <w:trPr>
          <w:trHeight w:val="300"/>
        </w:trPr>
        <w:tc>
          <w:tcPr>
            <w:tcW w:w="790"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RAPP #3&amp;4</w:t>
            </w:r>
          </w:p>
        </w:tc>
        <w:tc>
          <w:tcPr>
            <w:tcW w:w="53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72</w:t>
            </w:r>
          </w:p>
        </w:tc>
        <w:tc>
          <w:tcPr>
            <w:tcW w:w="35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541</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w:t>
            </w:r>
          </w:p>
        </w:tc>
        <w:tc>
          <w:tcPr>
            <w:tcW w:w="534"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160.60</w:t>
            </w:r>
          </w:p>
        </w:tc>
        <w:tc>
          <w:tcPr>
            <w:tcW w:w="409"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w:t>
            </w:r>
          </w:p>
        </w:tc>
        <w:tc>
          <w:tcPr>
            <w:tcW w:w="56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160.60</w:t>
            </w:r>
          </w:p>
        </w:tc>
        <w:tc>
          <w:tcPr>
            <w:tcW w:w="48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w:t>
            </w:r>
          </w:p>
        </w:tc>
      </w:tr>
      <w:tr w:rsidR="00F46F5A" w:rsidRPr="00942C19" w:rsidTr="00F46F5A">
        <w:trPr>
          <w:trHeight w:val="300"/>
        </w:trPr>
        <w:tc>
          <w:tcPr>
            <w:tcW w:w="790" w:type="pct"/>
            <w:shd w:val="clear" w:color="auto" w:fill="auto"/>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RAPP#5&amp;6</w:t>
            </w:r>
          </w:p>
        </w:tc>
        <w:tc>
          <w:tcPr>
            <w:tcW w:w="53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125</w:t>
            </w:r>
          </w:p>
        </w:tc>
        <w:tc>
          <w:tcPr>
            <w:tcW w:w="35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670</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3.67</w:t>
            </w:r>
          </w:p>
        </w:tc>
        <w:tc>
          <w:tcPr>
            <w:tcW w:w="534"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246.01</w:t>
            </w:r>
          </w:p>
        </w:tc>
        <w:tc>
          <w:tcPr>
            <w:tcW w:w="409"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3.67</w:t>
            </w:r>
          </w:p>
        </w:tc>
        <w:tc>
          <w:tcPr>
            <w:tcW w:w="562"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246.01</w:t>
            </w:r>
          </w:p>
        </w:tc>
        <w:tc>
          <w:tcPr>
            <w:tcW w:w="48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3.67</w:t>
            </w:r>
          </w:p>
        </w:tc>
      </w:tr>
      <w:tr w:rsidR="00F46F5A" w:rsidRPr="00942C19" w:rsidTr="00F46F5A">
        <w:trPr>
          <w:trHeight w:val="300"/>
        </w:trPr>
        <w:tc>
          <w:tcPr>
            <w:tcW w:w="790" w:type="pc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535"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358</w:t>
            </w:r>
          </w:p>
        </w:tc>
        <w:tc>
          <w:tcPr>
            <w:tcW w:w="351"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1807</w:t>
            </w:r>
          </w:p>
        </w:tc>
        <w:tc>
          <w:tcPr>
            <w:tcW w:w="418"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495"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w:t>
            </w:r>
          </w:p>
        </w:tc>
        <w:tc>
          <w:tcPr>
            <w:tcW w:w="418"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534"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564.55</w:t>
            </w:r>
          </w:p>
        </w:tc>
        <w:tc>
          <w:tcPr>
            <w:tcW w:w="409"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562"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564.55</w:t>
            </w:r>
          </w:p>
        </w:tc>
        <w:tc>
          <w:tcPr>
            <w:tcW w:w="487"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3.12</w:t>
            </w:r>
          </w:p>
        </w:tc>
      </w:tr>
    </w:tbl>
    <w:p w:rsidR="00222C32" w:rsidRPr="00942C19" w:rsidRDefault="00222C32" w:rsidP="00222C32">
      <w:pPr>
        <w:pStyle w:val="Heading3"/>
        <w:numPr>
          <w:ilvl w:val="0"/>
          <w:numId w:val="0"/>
        </w:numPr>
      </w:pPr>
    </w:p>
    <w:p w:rsidR="00222C32" w:rsidRPr="00942C19" w:rsidRDefault="00222C32" w:rsidP="00222C32">
      <w:pPr>
        <w:pStyle w:val="Heading3"/>
        <w:numPr>
          <w:ilvl w:val="2"/>
          <w:numId w:val="1"/>
        </w:numPr>
        <w:spacing w:before="0"/>
        <w:rPr>
          <w:b/>
        </w:rPr>
      </w:pPr>
      <w:r w:rsidRPr="00942C19">
        <w:rPr>
          <w:b/>
        </w:rPr>
        <w:t>The Commission’s Analysis:</w:t>
      </w:r>
    </w:p>
    <w:p w:rsidR="00222C32" w:rsidRPr="00942C19" w:rsidRDefault="00222C32" w:rsidP="00D05C4B">
      <w:pPr>
        <w:pStyle w:val="Heading4"/>
      </w:pPr>
      <w:r w:rsidRPr="00942C19">
        <w:t xml:space="preserve">The assumptions considered by Commission while approving the power purchase from the NPCIL generating stations is given in </w:t>
      </w:r>
      <w:fldSimple w:instr=" REF _Ref325470627 \h  \* MERGEFORMAT ">
        <w:r w:rsidR="00984AA4" w:rsidRPr="00942C19">
          <w:t xml:space="preserve">Table </w:t>
        </w:r>
        <w:r w:rsidR="00984AA4" w:rsidRPr="00942C19">
          <w:rPr>
            <w:noProof/>
          </w:rPr>
          <w:t>4</w:t>
        </w:r>
        <w:r w:rsidR="00984AA4" w:rsidRPr="00942C19">
          <w:rPr>
            <w:noProof/>
          </w:rPr>
          <w:noBreakHyphen/>
          <w:t>23</w:t>
        </w:r>
      </w:fldSimple>
      <w:r w:rsidRPr="00942C19">
        <w:t xml:space="preserve"> below:</w:t>
      </w:r>
    </w:p>
    <w:p w:rsidR="004D0E04" w:rsidRPr="00942C19" w:rsidRDefault="00222C32" w:rsidP="004D0E04">
      <w:pPr>
        <w:pStyle w:val="Caption"/>
        <w:keepNext/>
        <w:jc w:val="center"/>
      </w:pPr>
      <w:bookmarkStart w:id="567" w:name="_Ref325470627"/>
      <w:bookmarkStart w:id="568" w:name="_Toc325475675"/>
      <w:bookmarkStart w:id="569" w:name="_Toc338310690"/>
      <w:bookmarkStart w:id="570" w:name="_Toc338419520"/>
      <w:bookmarkStart w:id="571" w:name="_Toc357719717"/>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23</w:t>
      </w:r>
      <w:r w:rsidR="000C642E" w:rsidRPr="00942C19">
        <w:fldChar w:fldCharType="end"/>
      </w:r>
      <w:bookmarkEnd w:id="567"/>
      <w:r w:rsidRPr="00942C19">
        <w:t xml:space="preserve">: ASSUMPTIONS FOR POWER PURCHASE FROM NPCIL - FY </w:t>
      </w:r>
      <w:bookmarkEnd w:id="568"/>
      <w:bookmarkEnd w:id="569"/>
      <w:bookmarkEnd w:id="570"/>
      <w:r w:rsidRPr="00942C19">
        <w:t>2013-14</w:t>
      </w:r>
      <w:bookmarkEnd w:id="571"/>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942C19" w:rsidTr="00F46F5A">
        <w:trPr>
          <w:trHeight w:val="127"/>
        </w:trPr>
        <w:tc>
          <w:tcPr>
            <w:tcW w:w="32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S. No.</w:t>
            </w:r>
          </w:p>
        </w:tc>
        <w:tc>
          <w:tcPr>
            <w:tcW w:w="1497"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318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Assumption</w:t>
            </w:r>
          </w:p>
        </w:tc>
      </w:tr>
      <w:tr w:rsidR="00F46F5A" w:rsidRPr="00942C19" w:rsidTr="00F46F5A">
        <w:trPr>
          <w:trHeight w:val="300"/>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w:t>
            </w:r>
          </w:p>
        </w:tc>
        <w:tc>
          <w:tcPr>
            <w:tcW w:w="1497" w:type="pct"/>
            <w:vMerge w:val="restar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Power Purchase Quantum</w:t>
            </w:r>
          </w:p>
        </w:tc>
        <w:tc>
          <w:tcPr>
            <w:tcW w:w="3182" w:type="pct"/>
            <w:vMerge w:val="restart"/>
            <w:shd w:val="clear" w:color="auto" w:fill="auto"/>
            <w:hideMark/>
          </w:tcPr>
          <w:p w:rsidR="00A44CA7" w:rsidRPr="00942C19" w:rsidRDefault="00F46F5A">
            <w:pPr>
              <w:spacing w:before="0" w:line="240" w:lineRule="auto"/>
              <w:rPr>
                <w:rFonts w:cs="Calibri"/>
                <w:b/>
                <w:bCs/>
                <w:color w:val="333399"/>
                <w:kern w:val="32"/>
                <w:sz w:val="22"/>
                <w:szCs w:val="22"/>
                <w:lang w:val="en-IN" w:eastAsia="en-IN"/>
              </w:rPr>
            </w:pPr>
            <w:r w:rsidRPr="00942C19">
              <w:rPr>
                <w:rFonts w:cs="Calibri"/>
                <w:sz w:val="22"/>
                <w:szCs w:val="22"/>
                <w:lang w:val="en-IN" w:eastAsia="en-IN"/>
              </w:rPr>
              <w:t xml:space="preserve">Net Power Purchase Quantum is derived as a product of respective power plants MW capacity, capacity factor </w:t>
            </w:r>
            <w:r w:rsidR="004F32BA" w:rsidRPr="00942C19">
              <w:rPr>
                <w:rFonts w:cs="Calibri"/>
                <w:sz w:val="22"/>
                <w:szCs w:val="22"/>
                <w:lang w:val="en-IN" w:eastAsia="en-IN"/>
              </w:rPr>
              <w:t>and UP</w:t>
            </w:r>
            <w:r w:rsidRPr="00942C19">
              <w:rPr>
                <w:rFonts w:cs="Calibri"/>
                <w:sz w:val="22"/>
                <w:szCs w:val="22"/>
                <w:lang w:val="en-IN" w:eastAsia="en-IN"/>
              </w:rPr>
              <w:t xml:space="preserve"> </w:t>
            </w:r>
            <w:r w:rsidR="004F32BA" w:rsidRPr="00942C19">
              <w:rPr>
                <w:rFonts w:cs="Calibri"/>
                <w:sz w:val="22"/>
                <w:szCs w:val="22"/>
                <w:lang w:val="en-IN" w:eastAsia="en-IN"/>
              </w:rPr>
              <w:t>S</w:t>
            </w:r>
            <w:r w:rsidRPr="00942C19">
              <w:rPr>
                <w:rFonts w:cs="Calibri"/>
                <w:sz w:val="22"/>
                <w:szCs w:val="22"/>
                <w:lang w:val="en-IN" w:eastAsia="en-IN"/>
              </w:rPr>
              <w:t xml:space="preserve">tate's </w:t>
            </w:r>
            <w:r w:rsidR="004F32BA" w:rsidRPr="00942C19">
              <w:rPr>
                <w:rFonts w:cs="Calibri"/>
                <w:sz w:val="22"/>
                <w:szCs w:val="22"/>
                <w:lang w:val="en-IN" w:eastAsia="en-IN"/>
              </w:rPr>
              <w:t>S</w:t>
            </w:r>
            <w:r w:rsidRPr="00942C19">
              <w:rPr>
                <w:rFonts w:cs="Calibri"/>
                <w:sz w:val="22"/>
                <w:szCs w:val="22"/>
                <w:lang w:val="en-IN" w:eastAsia="en-IN"/>
              </w:rPr>
              <w:t xml:space="preserve">hare in respective power plant. Power sourced from these NPCIL plants is considered Must-run in Merit Order </w:t>
            </w:r>
            <w:r w:rsidR="00C8350E" w:rsidRPr="00942C19">
              <w:rPr>
                <w:rFonts w:cs="Calibri"/>
                <w:sz w:val="22"/>
                <w:szCs w:val="22"/>
                <w:lang w:val="en-IN" w:eastAsia="en-IN"/>
              </w:rPr>
              <w:t>Dispatch</w:t>
            </w:r>
            <w:r w:rsidRPr="00942C19">
              <w:rPr>
                <w:rFonts w:cs="Calibri"/>
                <w:sz w:val="22"/>
                <w:szCs w:val="22"/>
                <w:lang w:val="en-IN" w:eastAsia="en-IN"/>
              </w:rPr>
              <w:t>.</w:t>
            </w: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269"/>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9"/>
        </w:trPr>
        <w:tc>
          <w:tcPr>
            <w:tcW w:w="322" w:type="pc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w:t>
            </w:r>
          </w:p>
        </w:tc>
        <w:tc>
          <w:tcPr>
            <w:tcW w:w="1497" w:type="pct"/>
            <w:shd w:val="clear" w:color="auto" w:fill="auto"/>
            <w:hideMark/>
          </w:tcPr>
          <w:p w:rsidR="00F46F5A" w:rsidRPr="00942C19" w:rsidRDefault="00F46F5A" w:rsidP="00F46F5A">
            <w:pPr>
              <w:spacing w:before="0" w:line="240" w:lineRule="auto"/>
              <w:rPr>
                <w:rFonts w:cs="Calibri"/>
                <w:b/>
                <w:bCs/>
                <w:sz w:val="22"/>
                <w:szCs w:val="22"/>
                <w:lang w:val="en-IN" w:eastAsia="en-IN"/>
              </w:rPr>
            </w:pPr>
            <w:r w:rsidRPr="00942C19">
              <w:rPr>
                <w:rFonts w:cs="Calibri"/>
                <w:b/>
                <w:bCs/>
                <w:sz w:val="22"/>
                <w:szCs w:val="22"/>
                <w:lang w:val="en-IN" w:eastAsia="en-IN"/>
              </w:rPr>
              <w:t xml:space="preserve">Tariff </w:t>
            </w:r>
            <w:r w:rsidRPr="00942C19">
              <w:rPr>
                <w:rFonts w:cs="Calibri"/>
                <w:b/>
                <w:bCs/>
                <w:sz w:val="22"/>
                <w:szCs w:val="22"/>
                <w:lang w:val="en-IN" w:eastAsia="en-IN"/>
              </w:rPr>
              <w:br/>
              <w:t xml:space="preserve">(Single part) </w:t>
            </w:r>
          </w:p>
        </w:tc>
        <w:tc>
          <w:tcPr>
            <w:tcW w:w="3182" w:type="pct"/>
            <w:shd w:val="clear" w:color="auto" w:fill="auto"/>
            <w:hideMark/>
          </w:tcPr>
          <w:p w:rsidR="00D47B3B" w:rsidRPr="00942C19" w:rsidRDefault="00F46F5A">
            <w:pPr>
              <w:spacing w:before="0" w:line="240" w:lineRule="auto"/>
              <w:rPr>
                <w:rFonts w:cs="Calibri"/>
                <w:sz w:val="22"/>
                <w:szCs w:val="22"/>
                <w:lang w:val="en-IN" w:eastAsia="en-IN"/>
              </w:rPr>
            </w:pPr>
            <w:r w:rsidRPr="00942C19">
              <w:rPr>
                <w:rFonts w:cs="Calibri"/>
                <w:sz w:val="22"/>
                <w:szCs w:val="22"/>
                <w:lang w:val="en-IN" w:eastAsia="en-IN"/>
              </w:rPr>
              <w:t xml:space="preserve">As provided in ARR / Tariff petition by </w:t>
            </w:r>
            <w:r w:rsidR="009A3804" w:rsidRPr="00942C19">
              <w:rPr>
                <w:rFonts w:cs="Calibri"/>
                <w:sz w:val="22"/>
                <w:szCs w:val="22"/>
                <w:lang w:val="en-IN" w:eastAsia="en-IN"/>
              </w:rPr>
              <w:t>Licensee</w:t>
            </w:r>
            <w:r w:rsidRPr="00942C19">
              <w:rPr>
                <w:rFonts w:cs="Calibri"/>
                <w:sz w:val="22"/>
                <w:szCs w:val="22"/>
                <w:lang w:val="en-IN" w:eastAsia="en-IN"/>
              </w:rPr>
              <w:t xml:space="preserve"> for FY 2013-14</w:t>
            </w:r>
          </w:p>
        </w:tc>
      </w:tr>
    </w:tbl>
    <w:p w:rsidR="00222C32" w:rsidRPr="00942C19" w:rsidRDefault="00222C32" w:rsidP="00222C32">
      <w:pPr>
        <w:spacing w:line="240" w:lineRule="auto"/>
        <w:jc w:val="center"/>
        <w:rPr>
          <w:sz w:val="23"/>
          <w:szCs w:val="23"/>
        </w:rPr>
      </w:pPr>
      <w:r w:rsidRPr="00942C19" w:rsidDel="00427C80">
        <w:rPr>
          <w:szCs w:val="23"/>
        </w:rPr>
        <w:t xml:space="preserve"> </w:t>
      </w:r>
    </w:p>
    <w:p w:rsidR="00222C32" w:rsidRPr="00942C19" w:rsidRDefault="00222C32" w:rsidP="00222C32">
      <w:pPr>
        <w:pStyle w:val="Caption"/>
        <w:keepNext/>
        <w:jc w:val="center"/>
      </w:pPr>
      <w:bookmarkStart w:id="572" w:name="_Toc325475676"/>
      <w:bookmarkStart w:id="573" w:name="_Toc338310691"/>
      <w:bookmarkStart w:id="574" w:name="_Toc338419521"/>
      <w:bookmarkStart w:id="575" w:name="_Toc357719718"/>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24</w:t>
      </w:r>
      <w:r w:rsidR="000C642E" w:rsidRPr="00942C19">
        <w:fldChar w:fldCharType="end"/>
      </w:r>
      <w:r w:rsidRPr="00942C19">
        <w:t xml:space="preserve">: METHODOLOGY FOR POWER PURCHASE FROM NPCIL - FY </w:t>
      </w:r>
      <w:bookmarkEnd w:id="572"/>
      <w:bookmarkEnd w:id="573"/>
      <w:bookmarkEnd w:id="574"/>
      <w:r w:rsidRPr="00942C19">
        <w:t>2013-14</w:t>
      </w:r>
      <w:bookmarkEnd w:id="575"/>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942C19" w:rsidTr="004F32BA">
        <w:trPr>
          <w:trHeight w:val="600"/>
          <w:tblHeader/>
        </w:trPr>
        <w:tc>
          <w:tcPr>
            <w:tcW w:w="32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S. No.</w:t>
            </w:r>
          </w:p>
        </w:tc>
        <w:tc>
          <w:tcPr>
            <w:tcW w:w="1497"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3182" w:type="pct"/>
            <w:shd w:val="clear" w:color="000000" w:fill="DBE5F1"/>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Methodology</w:t>
            </w:r>
          </w:p>
        </w:tc>
      </w:tr>
      <w:tr w:rsidR="00F46F5A" w:rsidRPr="00942C19" w:rsidTr="00F46F5A">
        <w:trPr>
          <w:trHeight w:val="300"/>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w:t>
            </w:r>
          </w:p>
        </w:tc>
        <w:tc>
          <w:tcPr>
            <w:tcW w:w="1497" w:type="pct"/>
            <w:vMerge w:val="restart"/>
            <w:shd w:val="clear" w:color="auto" w:fill="auto"/>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Capacity Factor</w:t>
            </w:r>
          </w:p>
        </w:tc>
        <w:tc>
          <w:tcPr>
            <w:tcW w:w="3182" w:type="pct"/>
            <w:vMerge w:val="restart"/>
            <w:shd w:val="clear" w:color="auto" w:fill="auto"/>
            <w:hideMark/>
          </w:tcPr>
          <w:p w:rsidR="00A44CA7" w:rsidRPr="00942C19" w:rsidRDefault="00F46F5A">
            <w:pPr>
              <w:spacing w:before="0" w:line="240" w:lineRule="auto"/>
              <w:rPr>
                <w:rFonts w:cs="Calibri"/>
                <w:sz w:val="22"/>
                <w:szCs w:val="22"/>
                <w:lang w:val="en-IN" w:eastAsia="en-IN"/>
              </w:rPr>
            </w:pPr>
            <w:r w:rsidRPr="00942C19">
              <w:rPr>
                <w:rFonts w:cs="Calibri"/>
                <w:sz w:val="22"/>
                <w:szCs w:val="22"/>
                <w:lang w:val="en-IN" w:eastAsia="en-IN"/>
              </w:rPr>
              <w:t>Capacity factor is considered to be the average of the capacity factor recorded at respective power stations for the last three year's (2010-11, 2011-12 and 2012-13). Capacity factor</w:t>
            </w:r>
            <w:r w:rsidR="004F32BA" w:rsidRPr="00942C19">
              <w:rPr>
                <w:rFonts w:cs="Calibri"/>
                <w:sz w:val="22"/>
                <w:szCs w:val="22"/>
                <w:lang w:val="en-IN" w:eastAsia="en-IN"/>
              </w:rPr>
              <w:t>s</w:t>
            </w:r>
            <w:r w:rsidRPr="00942C19">
              <w:rPr>
                <w:rFonts w:cs="Calibri"/>
                <w:sz w:val="22"/>
                <w:szCs w:val="22"/>
                <w:lang w:val="en-IN" w:eastAsia="en-IN"/>
              </w:rPr>
              <w:t xml:space="preserve"> are sourced from official website of NPCIL. </w:t>
            </w: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30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r w:rsidR="00F46F5A" w:rsidRPr="00942C19" w:rsidTr="00F46F5A">
        <w:trPr>
          <w:trHeight w:val="405"/>
        </w:trPr>
        <w:tc>
          <w:tcPr>
            <w:tcW w:w="322" w:type="pct"/>
            <w:vMerge w:val="restart"/>
            <w:shd w:val="clear" w:color="auto" w:fill="auto"/>
            <w:noWrap/>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w:t>
            </w:r>
          </w:p>
        </w:tc>
        <w:tc>
          <w:tcPr>
            <w:tcW w:w="1497" w:type="pct"/>
            <w:vMerge w:val="restart"/>
            <w:shd w:val="clear" w:color="auto" w:fill="auto"/>
            <w:hideMark/>
          </w:tcPr>
          <w:p w:rsidR="00D47B3B" w:rsidRPr="00942C19" w:rsidRDefault="00F46F5A">
            <w:pPr>
              <w:spacing w:before="0" w:line="240" w:lineRule="auto"/>
              <w:jc w:val="left"/>
              <w:rPr>
                <w:rFonts w:cs="Calibri"/>
                <w:b/>
                <w:bCs/>
                <w:sz w:val="22"/>
                <w:szCs w:val="22"/>
                <w:lang w:val="en-IN" w:eastAsia="en-IN"/>
              </w:rPr>
            </w:pPr>
            <w:r w:rsidRPr="00942C19">
              <w:rPr>
                <w:rFonts w:cs="Calibri"/>
                <w:b/>
                <w:bCs/>
                <w:sz w:val="22"/>
                <w:szCs w:val="22"/>
                <w:lang w:val="en-IN" w:eastAsia="en-IN"/>
              </w:rPr>
              <w:t xml:space="preserve">UP State's </w:t>
            </w:r>
            <w:r w:rsidR="004F32BA" w:rsidRPr="00942C19">
              <w:rPr>
                <w:rFonts w:cs="Calibri"/>
                <w:b/>
                <w:bCs/>
                <w:sz w:val="22"/>
                <w:szCs w:val="22"/>
                <w:lang w:val="en-IN" w:eastAsia="en-IN"/>
              </w:rPr>
              <w:t>S</w:t>
            </w:r>
            <w:r w:rsidRPr="00942C19">
              <w:rPr>
                <w:rFonts w:cs="Calibri"/>
                <w:b/>
                <w:bCs/>
                <w:sz w:val="22"/>
                <w:szCs w:val="22"/>
                <w:lang w:val="en-IN" w:eastAsia="en-IN"/>
              </w:rPr>
              <w:t>hare in power plants</w:t>
            </w:r>
          </w:p>
        </w:tc>
        <w:tc>
          <w:tcPr>
            <w:tcW w:w="3182" w:type="pct"/>
            <w:vMerge w:val="restart"/>
            <w:shd w:val="clear" w:color="auto" w:fill="auto"/>
            <w:hideMark/>
          </w:tcPr>
          <w:p w:rsidR="00A44CA7" w:rsidRPr="00942C19" w:rsidRDefault="00F46F5A">
            <w:pPr>
              <w:spacing w:before="0" w:line="240" w:lineRule="auto"/>
              <w:rPr>
                <w:rFonts w:cs="Calibri"/>
                <w:sz w:val="22"/>
                <w:szCs w:val="22"/>
                <w:lang w:val="en-IN" w:eastAsia="en-IN"/>
              </w:rPr>
            </w:pPr>
            <w:r w:rsidRPr="00942C19">
              <w:rPr>
                <w:rFonts w:cs="Calibri"/>
                <w:sz w:val="22"/>
                <w:szCs w:val="22"/>
                <w:lang w:val="en-IN" w:eastAsia="en-IN"/>
              </w:rPr>
              <w:t>Allocation of Power from various central generating stations for FY 13-14 both firm and unallocated quota has been considered as per the NRPC circular (NRPC/ OPR/ 103/ 02/ 2012-13) dated 18.04.2013</w:t>
            </w:r>
          </w:p>
        </w:tc>
      </w:tr>
      <w:tr w:rsidR="00F46F5A" w:rsidRPr="00942C19" w:rsidTr="00F46F5A">
        <w:trPr>
          <w:trHeight w:val="780"/>
        </w:trPr>
        <w:tc>
          <w:tcPr>
            <w:tcW w:w="32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942C19" w:rsidRDefault="00F46F5A" w:rsidP="00F46F5A">
            <w:pPr>
              <w:spacing w:before="0" w:line="240" w:lineRule="auto"/>
              <w:jc w:val="left"/>
              <w:rPr>
                <w:rFonts w:cs="Calibri"/>
                <w:sz w:val="22"/>
                <w:szCs w:val="22"/>
                <w:lang w:val="en-IN" w:eastAsia="en-IN"/>
              </w:rPr>
            </w:pPr>
          </w:p>
        </w:tc>
      </w:tr>
    </w:tbl>
    <w:p w:rsidR="00A44CA7" w:rsidRPr="00942C19" w:rsidRDefault="00A44CA7">
      <w:pPr>
        <w:pStyle w:val="Heading3"/>
        <w:numPr>
          <w:ilvl w:val="0"/>
          <w:numId w:val="0"/>
        </w:numPr>
        <w:tabs>
          <w:tab w:val="clear" w:pos="720"/>
          <w:tab w:val="left" w:pos="0"/>
        </w:tabs>
        <w:spacing w:before="0"/>
        <w:jc w:val="left"/>
        <w:rPr>
          <w:szCs w:val="23"/>
        </w:rPr>
      </w:pPr>
    </w:p>
    <w:p w:rsidR="00A44CA7" w:rsidRPr="00942C19" w:rsidRDefault="00222C32">
      <w:pPr>
        <w:pStyle w:val="Heading3"/>
        <w:numPr>
          <w:ilvl w:val="0"/>
          <w:numId w:val="0"/>
        </w:numPr>
        <w:tabs>
          <w:tab w:val="clear" w:pos="720"/>
          <w:tab w:val="left" w:pos="0"/>
        </w:tabs>
        <w:jc w:val="left"/>
      </w:pPr>
      <w:r w:rsidRPr="00942C19" w:rsidDel="00427C80">
        <w:rPr>
          <w:szCs w:val="23"/>
        </w:rPr>
        <w:t xml:space="preserve"> </w:t>
      </w:r>
      <w:r w:rsidRPr="00942C19">
        <w:t xml:space="preserve">Based on above approach, the summary of approved costs of NPCIL generating stations is given in </w:t>
      </w:r>
      <w:fldSimple w:instr=" REF _Ref325470657 \h  \* MERGEFORMAT ">
        <w:r w:rsidR="00984AA4" w:rsidRPr="00942C19">
          <w:t xml:space="preserve">Table </w:t>
        </w:r>
        <w:r w:rsidR="00984AA4" w:rsidRPr="00942C19">
          <w:rPr>
            <w:noProof/>
          </w:rPr>
          <w:t>4</w:t>
        </w:r>
        <w:r w:rsidR="00984AA4" w:rsidRPr="00942C19">
          <w:rPr>
            <w:noProof/>
          </w:rPr>
          <w:noBreakHyphen/>
          <w:t>25</w:t>
        </w:r>
      </w:fldSimple>
      <w:r w:rsidRPr="00942C19">
        <w:t xml:space="preserve"> below:</w:t>
      </w:r>
    </w:p>
    <w:p w:rsidR="00222C32" w:rsidRPr="00942C19" w:rsidRDefault="00222C32" w:rsidP="00222C32">
      <w:pPr>
        <w:pStyle w:val="Caption"/>
        <w:keepNext/>
        <w:jc w:val="center"/>
        <w:rPr>
          <w:noProof/>
          <w:lang w:val="en-IN" w:eastAsia="en-IN"/>
        </w:rPr>
      </w:pPr>
      <w:bookmarkStart w:id="576" w:name="_Ref325470657"/>
      <w:bookmarkStart w:id="577" w:name="_Toc325475677"/>
      <w:bookmarkStart w:id="578" w:name="_Toc338310692"/>
      <w:bookmarkStart w:id="579" w:name="_Toc338419522"/>
      <w:bookmarkStart w:id="580" w:name="_Toc357719719"/>
      <w:r w:rsidRPr="00942C19">
        <w:t xml:space="preserve">Table </w:t>
      </w:r>
      <w:r w:rsidR="000C642E" w:rsidRPr="00942C19">
        <w:rPr>
          <w:b w:val="0"/>
          <w:bCs w:val="0"/>
        </w:rPr>
        <w:fldChar w:fldCharType="begin"/>
      </w:r>
      <w:r w:rsidRPr="00942C19">
        <w:instrText xml:space="preserve"> STYLEREF 1 \s </w:instrText>
      </w:r>
      <w:r w:rsidR="000C642E" w:rsidRPr="00942C19">
        <w:rPr>
          <w:b w:val="0"/>
          <w:bCs w:val="0"/>
        </w:rPr>
        <w:fldChar w:fldCharType="separate"/>
      </w:r>
      <w:r w:rsidR="00984AA4" w:rsidRPr="00942C19">
        <w:rPr>
          <w:noProof/>
        </w:rPr>
        <w:t>4</w:t>
      </w:r>
      <w:r w:rsidR="000C642E" w:rsidRPr="00942C19">
        <w:rPr>
          <w:b w:val="0"/>
          <w:bCs w:val="0"/>
        </w:rPr>
        <w:fldChar w:fldCharType="end"/>
      </w:r>
      <w:r w:rsidRPr="00942C19">
        <w:noBreakHyphen/>
      </w:r>
      <w:r w:rsidR="000C642E" w:rsidRPr="00942C19">
        <w:rPr>
          <w:b w:val="0"/>
          <w:bCs w:val="0"/>
        </w:rPr>
        <w:fldChar w:fldCharType="begin"/>
      </w:r>
      <w:r w:rsidRPr="00942C19">
        <w:instrText xml:space="preserve"> SEQ Table \* ARABIC \s 1 </w:instrText>
      </w:r>
      <w:r w:rsidR="000C642E" w:rsidRPr="00942C19">
        <w:rPr>
          <w:b w:val="0"/>
          <w:bCs w:val="0"/>
        </w:rPr>
        <w:fldChar w:fldCharType="separate"/>
      </w:r>
      <w:r w:rsidR="00984AA4" w:rsidRPr="00942C19">
        <w:rPr>
          <w:noProof/>
        </w:rPr>
        <w:t>25</w:t>
      </w:r>
      <w:r w:rsidR="000C642E" w:rsidRPr="00942C19">
        <w:rPr>
          <w:b w:val="0"/>
          <w:bCs w:val="0"/>
        </w:rPr>
        <w:fldChar w:fldCharType="end"/>
      </w:r>
      <w:bookmarkEnd w:id="576"/>
      <w:r w:rsidRPr="00942C19">
        <w:t>: APPROVED COST OF POWER PURCHASE FROM NPCIL STATIONS-</w:t>
      </w:r>
      <w:bookmarkEnd w:id="577"/>
      <w:bookmarkEnd w:id="578"/>
      <w:bookmarkEnd w:id="579"/>
      <w:r w:rsidRPr="00942C19">
        <w:t>FY 2013-14</w:t>
      </w:r>
      <w:bookmarkEnd w:id="580"/>
      <w:r w:rsidRPr="00942C19">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98"/>
        <w:gridCol w:w="1062"/>
        <w:gridCol w:w="663"/>
        <w:gridCol w:w="708"/>
        <w:gridCol w:w="830"/>
        <w:gridCol w:w="708"/>
        <w:gridCol w:w="904"/>
        <w:gridCol w:w="708"/>
        <w:gridCol w:w="937"/>
        <w:gridCol w:w="967"/>
      </w:tblGrid>
      <w:tr w:rsidR="00F46F5A" w:rsidRPr="00942C19" w:rsidTr="00076A30">
        <w:trPr>
          <w:trHeight w:val="600"/>
        </w:trPr>
        <w:tc>
          <w:tcPr>
            <w:tcW w:w="807"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35"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351" w:type="pct"/>
            <w:vMerge w:val="restar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06"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948"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966" w:type="pct"/>
            <w:gridSpan w:val="2"/>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487"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F46F5A" w:rsidRPr="00942C19" w:rsidTr="00076A30">
        <w:trPr>
          <w:trHeight w:val="600"/>
        </w:trPr>
        <w:tc>
          <w:tcPr>
            <w:tcW w:w="807" w:type="pct"/>
            <w:vMerge/>
            <w:vAlign w:val="center"/>
            <w:hideMark/>
          </w:tcPr>
          <w:p w:rsidR="00F46F5A" w:rsidRPr="00942C19" w:rsidRDefault="00F46F5A" w:rsidP="00F46F5A">
            <w:pPr>
              <w:spacing w:before="0" w:line="240" w:lineRule="auto"/>
              <w:jc w:val="left"/>
              <w:rPr>
                <w:rFonts w:cs="Calibri"/>
                <w:b/>
                <w:bCs/>
                <w:sz w:val="22"/>
                <w:szCs w:val="22"/>
                <w:lang w:val="en-IN" w:eastAsia="en-IN"/>
              </w:rPr>
            </w:pPr>
          </w:p>
        </w:tc>
        <w:tc>
          <w:tcPr>
            <w:tcW w:w="535" w:type="pct"/>
            <w:vMerge/>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351" w:type="pct"/>
            <w:vMerge/>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416"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90"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16"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31"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07"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58"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87" w:type="pct"/>
            <w:shd w:val="clear" w:color="000000" w:fill="DBE5F1"/>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F46F5A" w:rsidRPr="00942C19" w:rsidTr="00076A30">
        <w:trPr>
          <w:trHeight w:val="300"/>
        </w:trPr>
        <w:tc>
          <w:tcPr>
            <w:tcW w:w="807" w:type="pct"/>
            <w:shd w:val="clear" w:color="auto" w:fill="auto"/>
            <w:noWrap/>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NAPP</w:t>
            </w:r>
          </w:p>
        </w:tc>
        <w:tc>
          <w:tcPr>
            <w:tcW w:w="53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161</w:t>
            </w:r>
          </w:p>
        </w:tc>
        <w:tc>
          <w:tcPr>
            <w:tcW w:w="35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665</w:t>
            </w:r>
          </w:p>
        </w:tc>
        <w:tc>
          <w:tcPr>
            <w:tcW w:w="416"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6"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2.65</w:t>
            </w:r>
          </w:p>
        </w:tc>
        <w:tc>
          <w:tcPr>
            <w:tcW w:w="53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176.34</w:t>
            </w:r>
          </w:p>
        </w:tc>
        <w:tc>
          <w:tcPr>
            <w:tcW w:w="40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2.65</w:t>
            </w:r>
          </w:p>
        </w:tc>
        <w:tc>
          <w:tcPr>
            <w:tcW w:w="55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176.34</w:t>
            </w:r>
          </w:p>
        </w:tc>
        <w:tc>
          <w:tcPr>
            <w:tcW w:w="48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2.65</w:t>
            </w:r>
          </w:p>
        </w:tc>
      </w:tr>
      <w:tr w:rsidR="00F46F5A" w:rsidRPr="00942C19" w:rsidTr="00076A30">
        <w:trPr>
          <w:trHeight w:val="300"/>
        </w:trPr>
        <w:tc>
          <w:tcPr>
            <w:tcW w:w="807" w:type="pct"/>
            <w:shd w:val="clear" w:color="auto" w:fill="auto"/>
            <w:noWrap/>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RAPP #3&amp;4</w:t>
            </w:r>
          </w:p>
        </w:tc>
        <w:tc>
          <w:tcPr>
            <w:tcW w:w="53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80</w:t>
            </w:r>
          </w:p>
        </w:tc>
        <w:tc>
          <w:tcPr>
            <w:tcW w:w="35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487</w:t>
            </w:r>
          </w:p>
        </w:tc>
        <w:tc>
          <w:tcPr>
            <w:tcW w:w="416"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6"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w:t>
            </w:r>
          </w:p>
        </w:tc>
        <w:tc>
          <w:tcPr>
            <w:tcW w:w="53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144.36</w:t>
            </w:r>
          </w:p>
        </w:tc>
        <w:tc>
          <w:tcPr>
            <w:tcW w:w="40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w:t>
            </w:r>
          </w:p>
        </w:tc>
        <w:tc>
          <w:tcPr>
            <w:tcW w:w="55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144.36</w:t>
            </w:r>
          </w:p>
        </w:tc>
        <w:tc>
          <w:tcPr>
            <w:tcW w:w="48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w:t>
            </w:r>
          </w:p>
        </w:tc>
      </w:tr>
      <w:tr w:rsidR="00F46F5A" w:rsidRPr="00942C19" w:rsidTr="00076A30">
        <w:trPr>
          <w:trHeight w:val="300"/>
        </w:trPr>
        <w:tc>
          <w:tcPr>
            <w:tcW w:w="807" w:type="pct"/>
            <w:shd w:val="clear" w:color="auto" w:fill="auto"/>
            <w:noWrap/>
            <w:hideMark/>
          </w:tcPr>
          <w:p w:rsidR="00F46F5A" w:rsidRPr="00942C19" w:rsidRDefault="00F46F5A" w:rsidP="00F46F5A">
            <w:pPr>
              <w:spacing w:before="0" w:line="240" w:lineRule="auto"/>
              <w:jc w:val="left"/>
              <w:rPr>
                <w:rFonts w:cs="Calibri"/>
                <w:sz w:val="22"/>
                <w:szCs w:val="22"/>
                <w:lang w:val="en-IN" w:eastAsia="en-IN"/>
              </w:rPr>
            </w:pPr>
            <w:r w:rsidRPr="00942C19">
              <w:rPr>
                <w:rFonts w:cs="Calibri"/>
                <w:sz w:val="22"/>
                <w:szCs w:val="22"/>
                <w:lang w:val="en-IN" w:eastAsia="en-IN"/>
              </w:rPr>
              <w:t>RAPP#5&amp;6</w:t>
            </w:r>
          </w:p>
        </w:tc>
        <w:tc>
          <w:tcPr>
            <w:tcW w:w="535"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124</w:t>
            </w:r>
          </w:p>
        </w:tc>
        <w:tc>
          <w:tcPr>
            <w:tcW w:w="35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810</w:t>
            </w:r>
          </w:p>
        </w:tc>
        <w:tc>
          <w:tcPr>
            <w:tcW w:w="416"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0"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16"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3.67</w:t>
            </w:r>
          </w:p>
        </w:tc>
        <w:tc>
          <w:tcPr>
            <w:tcW w:w="531"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297.52</w:t>
            </w:r>
          </w:p>
        </w:tc>
        <w:tc>
          <w:tcPr>
            <w:tcW w:w="40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3.67</w:t>
            </w:r>
          </w:p>
        </w:tc>
        <w:tc>
          <w:tcPr>
            <w:tcW w:w="558"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297.52</w:t>
            </w:r>
          </w:p>
        </w:tc>
        <w:tc>
          <w:tcPr>
            <w:tcW w:w="487" w:type="pct"/>
            <w:shd w:val="clear" w:color="auto" w:fill="auto"/>
            <w:vAlign w:val="center"/>
            <w:hideMark/>
          </w:tcPr>
          <w:p w:rsidR="00F46F5A" w:rsidRPr="00942C19" w:rsidRDefault="00F46F5A" w:rsidP="00F46F5A">
            <w:pPr>
              <w:spacing w:before="0" w:line="240" w:lineRule="auto"/>
              <w:jc w:val="center"/>
              <w:rPr>
                <w:rFonts w:cs="Calibri"/>
                <w:sz w:val="22"/>
                <w:szCs w:val="22"/>
                <w:lang w:val="en-IN" w:eastAsia="en-IN"/>
              </w:rPr>
            </w:pPr>
            <w:r w:rsidRPr="00942C19">
              <w:rPr>
                <w:rFonts w:cs="Calibri"/>
                <w:sz w:val="22"/>
                <w:szCs w:val="22"/>
                <w:lang w:val="en-IN" w:eastAsia="en-IN"/>
              </w:rPr>
              <w:t>3.67</w:t>
            </w:r>
          </w:p>
        </w:tc>
      </w:tr>
      <w:tr w:rsidR="00F46F5A" w:rsidRPr="00942C19" w:rsidTr="00076A30">
        <w:trPr>
          <w:trHeight w:val="300"/>
        </w:trPr>
        <w:tc>
          <w:tcPr>
            <w:tcW w:w="807" w:type="pct"/>
            <w:shd w:val="clear" w:color="auto" w:fill="auto"/>
            <w:noWrap/>
            <w:hideMark/>
          </w:tcPr>
          <w:p w:rsidR="00F46F5A" w:rsidRPr="00942C19" w:rsidRDefault="00F46F5A" w:rsidP="00F46F5A">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535"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364</w:t>
            </w:r>
          </w:p>
        </w:tc>
        <w:tc>
          <w:tcPr>
            <w:tcW w:w="351"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1962</w:t>
            </w:r>
          </w:p>
        </w:tc>
        <w:tc>
          <w:tcPr>
            <w:tcW w:w="416"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490"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416"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531"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618.23</w:t>
            </w:r>
          </w:p>
        </w:tc>
        <w:tc>
          <w:tcPr>
            <w:tcW w:w="407"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p>
        </w:tc>
        <w:tc>
          <w:tcPr>
            <w:tcW w:w="558"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618.23</w:t>
            </w:r>
          </w:p>
        </w:tc>
        <w:tc>
          <w:tcPr>
            <w:tcW w:w="487" w:type="pct"/>
            <w:shd w:val="clear" w:color="auto" w:fill="auto"/>
            <w:vAlign w:val="center"/>
            <w:hideMark/>
          </w:tcPr>
          <w:p w:rsidR="00F46F5A" w:rsidRPr="00942C19" w:rsidRDefault="00F46F5A" w:rsidP="00F46F5A">
            <w:pPr>
              <w:spacing w:before="0" w:line="240" w:lineRule="auto"/>
              <w:jc w:val="center"/>
              <w:rPr>
                <w:rFonts w:cs="Calibri"/>
                <w:b/>
                <w:bCs/>
                <w:sz w:val="22"/>
                <w:szCs w:val="22"/>
                <w:lang w:val="en-IN" w:eastAsia="en-IN"/>
              </w:rPr>
            </w:pPr>
            <w:r w:rsidRPr="00942C19">
              <w:rPr>
                <w:rFonts w:cs="Calibri"/>
                <w:b/>
                <w:bCs/>
                <w:sz w:val="22"/>
                <w:szCs w:val="22"/>
                <w:lang w:val="en-IN" w:eastAsia="en-IN"/>
              </w:rPr>
              <w:t>3.15</w:t>
            </w:r>
          </w:p>
        </w:tc>
      </w:tr>
    </w:tbl>
    <w:p w:rsidR="00222C32" w:rsidRPr="00942C19" w:rsidRDefault="00222C32" w:rsidP="00222C32">
      <w:pPr>
        <w:pStyle w:val="ListParagraph"/>
        <w:ind w:left="0"/>
      </w:pPr>
    </w:p>
    <w:p w:rsidR="00222C32" w:rsidRPr="00942C19" w:rsidRDefault="00222C32" w:rsidP="00222C32">
      <w:pPr>
        <w:pStyle w:val="Heading3"/>
        <w:numPr>
          <w:ilvl w:val="2"/>
          <w:numId w:val="1"/>
        </w:numPr>
        <w:spacing w:before="0"/>
        <w:rPr>
          <w:b/>
        </w:rPr>
      </w:pPr>
      <w:r w:rsidRPr="00942C19">
        <w:rPr>
          <w:b/>
        </w:rPr>
        <w:t xml:space="preserve">The </w:t>
      </w:r>
      <w:r w:rsidR="009A3804" w:rsidRPr="00942C19">
        <w:rPr>
          <w:b/>
        </w:rPr>
        <w:t>Licensee</w:t>
      </w:r>
      <w:r w:rsidRPr="00942C19">
        <w:rPr>
          <w:b/>
        </w:rPr>
        <w:t>’s Submission:</w:t>
      </w:r>
    </w:p>
    <w:p w:rsidR="00222C32" w:rsidRPr="00942C19" w:rsidRDefault="00222C32" w:rsidP="00D05C4B">
      <w:pPr>
        <w:pStyle w:val="Heading4"/>
      </w:pPr>
      <w:r w:rsidRPr="00942C19">
        <w:t xml:space="preserve">The </w:t>
      </w:r>
      <w:r w:rsidR="009A3804" w:rsidRPr="00942C19">
        <w:t>Licensee</w:t>
      </w:r>
      <w:r w:rsidRPr="00942C19">
        <w:t xml:space="preserve">’s submission of power purchased from IPPs and Joint Ventures (JVs) for FY 2013-14 is provided in </w:t>
      </w:r>
      <w:fldSimple w:instr=" REF _Ref325470787 \h  \* MERGEFORMAT ">
        <w:r w:rsidR="00785E17" w:rsidRPr="00942C19">
          <w:t xml:space="preserve">Table </w:t>
        </w:r>
        <w:r w:rsidR="00785E17" w:rsidRPr="00942C19">
          <w:rPr>
            <w:noProof/>
          </w:rPr>
          <w:t>4</w:t>
        </w:r>
        <w:r w:rsidR="00785E17" w:rsidRPr="00942C19">
          <w:rPr>
            <w:noProof/>
          </w:rPr>
          <w:noBreakHyphen/>
          <w:t>26</w:t>
        </w:r>
      </w:fldSimple>
      <w:r w:rsidRPr="00942C19">
        <w:t xml:space="preserve"> given below:</w:t>
      </w:r>
    </w:p>
    <w:p w:rsidR="004D0E04" w:rsidRPr="00942C19" w:rsidRDefault="00222C32" w:rsidP="004E2AB9">
      <w:pPr>
        <w:keepNext/>
        <w:ind w:right="731" w:firstLine="851"/>
        <w:jc w:val="center"/>
        <w:rPr>
          <w:b/>
          <w:sz w:val="23"/>
          <w:szCs w:val="23"/>
        </w:rPr>
      </w:pPr>
      <w:bookmarkStart w:id="581" w:name="_Ref325470787"/>
      <w:bookmarkStart w:id="582" w:name="_Toc325475678"/>
      <w:bookmarkStart w:id="583" w:name="_Toc338310693"/>
      <w:bookmarkStart w:id="584" w:name="_Toc338419523"/>
      <w:bookmarkStart w:id="585" w:name="_Toc357719720"/>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26</w:t>
      </w:r>
      <w:r w:rsidR="000C642E" w:rsidRPr="00942C19">
        <w:rPr>
          <w:b/>
        </w:rPr>
        <w:fldChar w:fldCharType="end"/>
      </w:r>
      <w:bookmarkEnd w:id="581"/>
      <w:r w:rsidRPr="00942C19">
        <w:rPr>
          <w:b/>
        </w:rPr>
        <w:t>: DETAILS OF POWER PURCHASE COST FROM IPPS / JVs</w:t>
      </w:r>
      <w:r w:rsidR="002D7CDF" w:rsidRPr="00942C19">
        <w:rPr>
          <w:b/>
        </w:rPr>
        <w:t xml:space="preserve"> </w:t>
      </w:r>
      <w:r w:rsidRPr="00942C19">
        <w:rPr>
          <w:b/>
        </w:rPr>
        <w:t>FOR FY 2013 – 14</w:t>
      </w:r>
      <w:r w:rsidR="00112A2A" w:rsidRPr="00942C19">
        <w:rPr>
          <w:b/>
        </w:rPr>
        <w:t xml:space="preserve">: </w:t>
      </w:r>
      <w:r w:rsidRPr="00942C19">
        <w:rPr>
          <w:b/>
        </w:rPr>
        <w:t>PETITION</w:t>
      </w:r>
      <w:bookmarkEnd w:id="582"/>
      <w:bookmarkEnd w:id="583"/>
      <w:bookmarkEnd w:id="584"/>
      <w:bookmarkEnd w:id="585"/>
    </w:p>
    <w:tbl>
      <w:tblPr>
        <w:tblW w:w="5505"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560"/>
        <w:gridCol w:w="1136"/>
        <w:gridCol w:w="896"/>
        <w:gridCol w:w="708"/>
        <w:gridCol w:w="1002"/>
        <w:gridCol w:w="708"/>
        <w:gridCol w:w="1002"/>
        <w:gridCol w:w="708"/>
        <w:gridCol w:w="1002"/>
        <w:gridCol w:w="1060"/>
      </w:tblGrid>
      <w:tr w:rsidR="004F32BA" w:rsidRPr="00942C19" w:rsidTr="004F32BA">
        <w:trPr>
          <w:trHeight w:val="189"/>
          <w:tblHeader/>
        </w:trPr>
        <w:tc>
          <w:tcPr>
            <w:tcW w:w="797" w:type="pct"/>
            <w:vMerge w:val="restar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80" w:type="pct"/>
            <w:vMerge w:val="restar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458" w:type="pct"/>
            <w:vMerge w:val="restar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874" w:type="pct"/>
            <w:gridSpan w:val="2"/>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874" w:type="pct"/>
            <w:gridSpan w:val="2"/>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874" w:type="pct"/>
            <w:gridSpan w:val="2"/>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54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4F32BA" w:rsidRPr="00942C19" w:rsidTr="004F32BA">
        <w:trPr>
          <w:trHeight w:val="77"/>
          <w:tblHeader/>
        </w:trPr>
        <w:tc>
          <w:tcPr>
            <w:tcW w:w="797" w:type="pct"/>
            <w:vMerge/>
            <w:vAlign w:val="center"/>
            <w:hideMark/>
          </w:tcPr>
          <w:p w:rsidR="00076A30" w:rsidRPr="00942C19" w:rsidRDefault="00076A30" w:rsidP="00076A30">
            <w:pPr>
              <w:spacing w:before="0" w:line="240" w:lineRule="auto"/>
              <w:jc w:val="left"/>
              <w:rPr>
                <w:rFonts w:cs="Calibri"/>
                <w:b/>
                <w:bCs/>
                <w:sz w:val="22"/>
                <w:szCs w:val="22"/>
                <w:lang w:val="en-IN" w:eastAsia="en-IN"/>
              </w:rPr>
            </w:pPr>
          </w:p>
        </w:tc>
        <w:tc>
          <w:tcPr>
            <w:tcW w:w="580" w:type="pct"/>
            <w:vMerge/>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458" w:type="pct"/>
            <w:vMerge/>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36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1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6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1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6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1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54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4F32BA" w:rsidRPr="00942C19" w:rsidTr="004F32BA">
        <w:trPr>
          <w:trHeight w:val="213"/>
        </w:trPr>
        <w:tc>
          <w:tcPr>
            <w:tcW w:w="797" w:type="pct"/>
            <w:shd w:val="clear" w:color="auto" w:fill="auto"/>
            <w:hideMark/>
          </w:tcPr>
          <w:p w:rsidR="00076A30" w:rsidRPr="00942C19" w:rsidRDefault="00D31494" w:rsidP="00076A30">
            <w:pPr>
              <w:spacing w:before="0" w:line="240" w:lineRule="auto"/>
              <w:jc w:val="left"/>
              <w:rPr>
                <w:rFonts w:cs="Calibri"/>
                <w:sz w:val="22"/>
                <w:szCs w:val="22"/>
                <w:lang w:val="en-IN" w:eastAsia="en-IN"/>
              </w:rPr>
            </w:pPr>
            <w:r w:rsidRPr="00942C19">
              <w:rPr>
                <w:rFonts w:cs="Calibri"/>
                <w:sz w:val="22"/>
                <w:szCs w:val="22"/>
                <w:lang w:val="en-IN" w:eastAsia="en-IN"/>
              </w:rPr>
              <w:t>Naptha Jhakri HPS</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275</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1365</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1.42</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194.27</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1.14</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155.75</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2.56</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350.02</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2.56</w:t>
            </w:r>
          </w:p>
        </w:tc>
      </w:tr>
      <w:tr w:rsidR="004F32BA" w:rsidRPr="00942C19" w:rsidTr="004F32BA">
        <w:trPr>
          <w:trHeight w:val="300"/>
        </w:trPr>
        <w:tc>
          <w:tcPr>
            <w:tcW w:w="797" w:type="pct"/>
            <w:shd w:val="clear" w:color="auto" w:fill="auto"/>
            <w:hideMark/>
          </w:tcPr>
          <w:p w:rsidR="00076A30" w:rsidRPr="00942C19" w:rsidRDefault="004F32BA" w:rsidP="00076A30">
            <w:pPr>
              <w:spacing w:before="0" w:line="240" w:lineRule="auto"/>
              <w:jc w:val="left"/>
              <w:rPr>
                <w:rFonts w:cs="Calibri"/>
                <w:sz w:val="22"/>
                <w:szCs w:val="22"/>
                <w:lang w:val="en-IN" w:eastAsia="en-IN"/>
              </w:rPr>
            </w:pPr>
            <w:r w:rsidRPr="00942C19">
              <w:rPr>
                <w:rFonts w:cs="Calibri"/>
                <w:sz w:val="22"/>
                <w:szCs w:val="22"/>
                <w:lang w:val="en-IN" w:eastAsia="en-IN"/>
              </w:rPr>
              <w:t>Vishnu Prayag</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352</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1752</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1.13</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198.23</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1.18</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207.10</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2.31</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405.33</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2.31</w:t>
            </w:r>
          </w:p>
        </w:tc>
      </w:tr>
      <w:tr w:rsidR="004F32BA" w:rsidRPr="00942C19" w:rsidTr="004F32BA">
        <w:trPr>
          <w:trHeight w:val="300"/>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Tala Power</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45</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184</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39.40</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39.40</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2.14</w:t>
            </w:r>
          </w:p>
        </w:tc>
      </w:tr>
      <w:tr w:rsidR="004F32BA" w:rsidRPr="00942C19" w:rsidTr="004F32BA">
        <w:trPr>
          <w:trHeight w:val="300"/>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Tehri Hydro</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410</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1241</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2.30</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285.45</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2.50</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310.25</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4.80</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595.70</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4.80</w:t>
            </w:r>
          </w:p>
        </w:tc>
      </w:tr>
      <w:tr w:rsidR="004F32BA" w:rsidRPr="00942C19" w:rsidTr="004F32BA">
        <w:trPr>
          <w:trHeight w:val="405"/>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Rosa Power Project I</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900</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3205</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1.44</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461.46</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3.68</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1,178.24</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5.12</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1,639.70</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5.12</w:t>
            </w:r>
          </w:p>
        </w:tc>
      </w:tr>
      <w:tr w:rsidR="004F32BA" w:rsidRPr="00942C19" w:rsidTr="004F32BA">
        <w:trPr>
          <w:trHeight w:val="77"/>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 xml:space="preserve">IGSTPP, </w:t>
            </w:r>
            <w:r w:rsidR="004F32BA" w:rsidRPr="00942C19">
              <w:rPr>
                <w:rFonts w:cs="Calibri"/>
                <w:sz w:val="22"/>
                <w:szCs w:val="22"/>
                <w:lang w:val="en-IN" w:eastAsia="en-IN"/>
              </w:rPr>
              <w:t>Jhajjar</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41</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350</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5.06</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177.42</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5.06</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177.42</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5.06</w:t>
            </w:r>
          </w:p>
        </w:tc>
      </w:tr>
      <w:tr w:rsidR="004F32BA" w:rsidRPr="00942C19" w:rsidTr="004F32BA">
        <w:trPr>
          <w:trHeight w:val="300"/>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Koteshwar</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169</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522</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2.65</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138.32</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2.19</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114.31</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4.84</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252.63</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4.84</w:t>
            </w:r>
          </w:p>
        </w:tc>
      </w:tr>
      <w:tr w:rsidR="004F32BA" w:rsidRPr="00942C19" w:rsidTr="004F32BA">
        <w:trPr>
          <w:trHeight w:val="300"/>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Anpara 'C'</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1100</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5918</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3.48</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2,061.22</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3.48</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2,061.22</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3.48</w:t>
            </w:r>
          </w:p>
        </w:tc>
      </w:tr>
      <w:tr w:rsidR="004F32BA" w:rsidRPr="00942C19" w:rsidTr="004F32BA">
        <w:trPr>
          <w:trHeight w:val="77"/>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Karcham-Wangtoo</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200</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160</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3.70</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59.16</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3.70</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59.16</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3.70</w:t>
            </w:r>
          </w:p>
        </w:tc>
      </w:tr>
      <w:tr w:rsidR="004F32BA" w:rsidRPr="00942C19" w:rsidTr="004F32BA">
        <w:trPr>
          <w:trHeight w:val="189"/>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Bajaj Hindusthan</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450</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2101</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1.92</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403.17</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2.35</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494.71</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4.27</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897.88</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4.27</w:t>
            </w:r>
          </w:p>
        </w:tc>
      </w:tr>
      <w:tr w:rsidR="004F32BA" w:rsidRPr="00942C19" w:rsidTr="004F32BA">
        <w:trPr>
          <w:trHeight w:val="211"/>
        </w:trPr>
        <w:tc>
          <w:tcPr>
            <w:tcW w:w="797"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Rosa Power Project II</w:t>
            </w:r>
          </w:p>
        </w:tc>
        <w:tc>
          <w:tcPr>
            <w:tcW w:w="580"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300</w:t>
            </w:r>
          </w:p>
        </w:tc>
        <w:tc>
          <w:tcPr>
            <w:tcW w:w="458"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2102</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2.04</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428.19</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3.68</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772.89</w:t>
            </w:r>
          </w:p>
        </w:tc>
        <w:tc>
          <w:tcPr>
            <w:tcW w:w="36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5.71</w:t>
            </w:r>
          </w:p>
        </w:tc>
        <w:tc>
          <w:tcPr>
            <w:tcW w:w="51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1,201.08</w:t>
            </w:r>
          </w:p>
        </w:tc>
        <w:tc>
          <w:tcPr>
            <w:tcW w:w="54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5.71</w:t>
            </w:r>
          </w:p>
        </w:tc>
      </w:tr>
      <w:tr w:rsidR="004F32BA" w:rsidRPr="00942C19" w:rsidTr="004F32BA">
        <w:trPr>
          <w:trHeight w:val="77"/>
        </w:trPr>
        <w:tc>
          <w:tcPr>
            <w:tcW w:w="797" w:type="pct"/>
            <w:shd w:val="clear" w:color="auto" w:fill="auto"/>
            <w:hideMark/>
          </w:tcPr>
          <w:p w:rsidR="00076A30" w:rsidRPr="00942C19" w:rsidRDefault="00076A3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580"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4243</w:t>
            </w:r>
          </w:p>
        </w:tc>
        <w:tc>
          <w:tcPr>
            <w:tcW w:w="458"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18900</w:t>
            </w:r>
          </w:p>
        </w:tc>
        <w:tc>
          <w:tcPr>
            <w:tcW w:w="36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2,109.09</w:t>
            </w:r>
          </w:p>
        </w:tc>
        <w:tc>
          <w:tcPr>
            <w:tcW w:w="36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5,570.44</w:t>
            </w:r>
          </w:p>
        </w:tc>
        <w:tc>
          <w:tcPr>
            <w:tcW w:w="36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7,679.54</w:t>
            </w:r>
          </w:p>
        </w:tc>
        <w:tc>
          <w:tcPr>
            <w:tcW w:w="54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4.06</w:t>
            </w:r>
          </w:p>
        </w:tc>
      </w:tr>
    </w:tbl>
    <w:p w:rsidR="00A44CA7" w:rsidRPr="00942C19" w:rsidRDefault="00A44CA7">
      <w:pPr>
        <w:pStyle w:val="Heading3"/>
        <w:numPr>
          <w:ilvl w:val="0"/>
          <w:numId w:val="0"/>
        </w:numPr>
        <w:ind w:left="720"/>
        <w:rPr>
          <w:b/>
        </w:rPr>
      </w:pPr>
    </w:p>
    <w:p w:rsidR="00222C32" w:rsidRPr="00942C19" w:rsidRDefault="00222C32" w:rsidP="00222C32">
      <w:pPr>
        <w:pStyle w:val="Heading3"/>
        <w:numPr>
          <w:ilvl w:val="2"/>
          <w:numId w:val="1"/>
        </w:numPr>
        <w:spacing w:before="0"/>
        <w:rPr>
          <w:b/>
        </w:rPr>
      </w:pPr>
      <w:r w:rsidRPr="00942C19">
        <w:rPr>
          <w:b/>
        </w:rPr>
        <w:t>The Commission’s Analysis:</w:t>
      </w:r>
    </w:p>
    <w:p w:rsidR="00222C32" w:rsidRPr="00942C19" w:rsidRDefault="00222C32" w:rsidP="00D05C4B">
      <w:pPr>
        <w:pStyle w:val="Heading4"/>
      </w:pPr>
      <w:r w:rsidRPr="00942C19">
        <w:t xml:space="preserve">The assumptions considered by Commission while approving the power purchase from IPP’s and Joint Ventures (JV’s) is given in </w:t>
      </w:r>
      <w:fldSimple w:instr=" REF _Ref325470815 \h  \* MERGEFORMAT ">
        <w:r w:rsidR="00984AA4" w:rsidRPr="00942C19">
          <w:t xml:space="preserve">Table </w:t>
        </w:r>
        <w:r w:rsidR="00984AA4" w:rsidRPr="00942C19">
          <w:rPr>
            <w:noProof/>
          </w:rPr>
          <w:t>4</w:t>
        </w:r>
        <w:r w:rsidR="00984AA4" w:rsidRPr="00942C19">
          <w:rPr>
            <w:noProof/>
          </w:rPr>
          <w:noBreakHyphen/>
          <w:t>27</w:t>
        </w:r>
      </w:fldSimple>
      <w:r w:rsidRPr="00942C19">
        <w:t xml:space="preserve"> below:</w:t>
      </w:r>
    </w:p>
    <w:p w:rsidR="00222C32" w:rsidRPr="00942C19" w:rsidRDefault="00222C32" w:rsidP="00222C32">
      <w:pPr>
        <w:pStyle w:val="Caption"/>
        <w:keepNext/>
        <w:jc w:val="center"/>
      </w:pPr>
      <w:bookmarkStart w:id="586" w:name="_Ref325470815"/>
      <w:bookmarkStart w:id="587" w:name="_Toc325475679"/>
      <w:bookmarkStart w:id="588" w:name="_Toc338310694"/>
      <w:bookmarkStart w:id="589" w:name="_Toc338419524"/>
      <w:bookmarkStart w:id="590" w:name="_Toc357719721"/>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27</w:t>
      </w:r>
      <w:r w:rsidR="000C642E" w:rsidRPr="00942C19">
        <w:fldChar w:fldCharType="end"/>
      </w:r>
      <w:bookmarkEnd w:id="586"/>
      <w:r w:rsidRPr="00942C19">
        <w:t xml:space="preserve">: ASSUMPTIONS FOR POWER PURCHASE FROM IPPS / JVs - FY </w:t>
      </w:r>
      <w:bookmarkEnd w:id="587"/>
      <w:bookmarkEnd w:id="588"/>
      <w:bookmarkEnd w:id="589"/>
      <w:r w:rsidRPr="00942C19">
        <w:t>2013-14</w:t>
      </w:r>
      <w:bookmarkEnd w:id="590"/>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2"/>
        <w:gridCol w:w="2902"/>
        <w:gridCol w:w="5231"/>
      </w:tblGrid>
      <w:tr w:rsidR="00076A30" w:rsidRPr="00942C19" w:rsidTr="00D92393">
        <w:trPr>
          <w:trHeight w:val="600"/>
        </w:trPr>
        <w:tc>
          <w:tcPr>
            <w:tcW w:w="423" w:type="pct"/>
            <w:shd w:val="clear" w:color="000000" w:fill="DBE5F1"/>
            <w:noWrap/>
            <w:hideMark/>
          </w:tcPr>
          <w:p w:rsidR="00076A30" w:rsidRPr="00942C19" w:rsidRDefault="00076A3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S. No.</w:t>
            </w:r>
          </w:p>
        </w:tc>
        <w:tc>
          <w:tcPr>
            <w:tcW w:w="1633" w:type="pct"/>
            <w:shd w:val="clear" w:color="000000" w:fill="DBE5F1"/>
            <w:noWrap/>
            <w:hideMark/>
          </w:tcPr>
          <w:p w:rsidR="00076A30" w:rsidRPr="00942C19" w:rsidRDefault="00076A3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2945" w:type="pct"/>
            <w:shd w:val="clear" w:color="000000" w:fill="DBE5F1"/>
            <w:noWrap/>
            <w:hideMark/>
          </w:tcPr>
          <w:p w:rsidR="00076A30" w:rsidRPr="00942C19" w:rsidRDefault="00076A3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Assumption</w:t>
            </w:r>
          </w:p>
        </w:tc>
      </w:tr>
      <w:tr w:rsidR="00076A30" w:rsidRPr="00942C19" w:rsidTr="00D92393">
        <w:trPr>
          <w:trHeight w:val="600"/>
        </w:trPr>
        <w:tc>
          <w:tcPr>
            <w:tcW w:w="423" w:type="pct"/>
            <w:vMerge w:val="restart"/>
            <w:shd w:val="clear" w:color="auto" w:fill="auto"/>
            <w:noWrap/>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w:t>
            </w:r>
          </w:p>
        </w:tc>
        <w:tc>
          <w:tcPr>
            <w:tcW w:w="1633" w:type="pct"/>
            <w:vMerge w:val="restart"/>
            <w:shd w:val="clear" w:color="auto" w:fill="auto"/>
            <w:hideMark/>
          </w:tcPr>
          <w:p w:rsidR="00076A30" w:rsidRPr="00942C19" w:rsidRDefault="00076A3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Power Purchase Quantum</w:t>
            </w:r>
          </w:p>
        </w:tc>
        <w:tc>
          <w:tcPr>
            <w:tcW w:w="2945" w:type="pct"/>
            <w:vMerge w:val="restart"/>
            <w:shd w:val="clear" w:color="auto" w:fill="auto"/>
            <w:hideMark/>
          </w:tcPr>
          <w:p w:rsidR="00A44CA7" w:rsidRPr="00942C19" w:rsidRDefault="00076A30">
            <w:pPr>
              <w:spacing w:before="0" w:line="240" w:lineRule="auto"/>
              <w:rPr>
                <w:rFonts w:cs="Calibri"/>
                <w:sz w:val="22"/>
                <w:szCs w:val="22"/>
                <w:lang w:val="en-IN" w:eastAsia="en-IN"/>
              </w:rPr>
            </w:pPr>
            <w:r w:rsidRPr="00942C19">
              <w:rPr>
                <w:rFonts w:cs="Calibri"/>
                <w:sz w:val="22"/>
                <w:szCs w:val="22"/>
                <w:lang w:val="en-IN" w:eastAsia="en-IN"/>
              </w:rPr>
              <w:t xml:space="preserve">Net Power Purchase Quantum is considered as provided by </w:t>
            </w:r>
            <w:r w:rsidR="009A3804" w:rsidRPr="00942C19">
              <w:rPr>
                <w:rFonts w:cs="Calibri"/>
                <w:sz w:val="22"/>
                <w:szCs w:val="22"/>
                <w:lang w:val="en-IN" w:eastAsia="en-IN"/>
              </w:rPr>
              <w:t>Licensee</w:t>
            </w:r>
            <w:r w:rsidRPr="00942C19">
              <w:rPr>
                <w:rFonts w:cs="Calibri"/>
                <w:sz w:val="22"/>
                <w:szCs w:val="22"/>
                <w:lang w:val="en-IN" w:eastAsia="en-IN"/>
              </w:rPr>
              <w:t xml:space="preserve"> in ARR / Tariff petition for FY 2013-14.  </w:t>
            </w:r>
            <w:r w:rsidR="00D31494" w:rsidRPr="00942C19">
              <w:rPr>
                <w:rFonts w:cs="Calibri"/>
                <w:sz w:val="22"/>
                <w:szCs w:val="22"/>
                <w:lang w:val="en-IN" w:eastAsia="en-IN"/>
              </w:rPr>
              <w:t>Naptha</w:t>
            </w:r>
            <w:r w:rsidRPr="00942C19">
              <w:rPr>
                <w:rFonts w:cs="Calibri"/>
                <w:sz w:val="22"/>
                <w:szCs w:val="22"/>
                <w:lang w:val="en-IN" w:eastAsia="en-IN"/>
              </w:rPr>
              <w:t xml:space="preserve">-Jhakri, Tehri, Tala &amp; </w:t>
            </w:r>
            <w:r w:rsidR="004F32BA" w:rsidRPr="00942C19">
              <w:rPr>
                <w:rFonts w:cs="Calibri"/>
                <w:sz w:val="22"/>
                <w:szCs w:val="22"/>
                <w:lang w:val="en-IN" w:eastAsia="en-IN"/>
              </w:rPr>
              <w:t>Vishnu Prayag</w:t>
            </w:r>
            <w:r w:rsidRPr="00942C19">
              <w:rPr>
                <w:rFonts w:cs="Calibri"/>
                <w:sz w:val="22"/>
                <w:szCs w:val="22"/>
                <w:lang w:val="en-IN" w:eastAsia="en-IN"/>
              </w:rPr>
              <w:t xml:space="preserve"> are considered as Must-run in Merit Order </w:t>
            </w:r>
            <w:r w:rsidR="00C8350E" w:rsidRPr="00942C19">
              <w:rPr>
                <w:rFonts w:cs="Calibri"/>
                <w:sz w:val="22"/>
                <w:szCs w:val="22"/>
                <w:lang w:val="en-IN" w:eastAsia="en-IN"/>
              </w:rPr>
              <w:t>Dispatch</w:t>
            </w:r>
            <w:r w:rsidRPr="00942C19">
              <w:rPr>
                <w:rFonts w:cs="Calibri"/>
                <w:sz w:val="22"/>
                <w:szCs w:val="22"/>
                <w:lang w:val="en-IN" w:eastAsia="en-IN"/>
              </w:rPr>
              <w:t>.</w:t>
            </w:r>
          </w:p>
        </w:tc>
      </w:tr>
      <w:tr w:rsidR="00076A30" w:rsidRPr="00942C19" w:rsidTr="00D92393">
        <w:trPr>
          <w:trHeight w:val="600"/>
        </w:trPr>
        <w:tc>
          <w:tcPr>
            <w:tcW w:w="423"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942C19"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r>
      <w:tr w:rsidR="00076A30" w:rsidRPr="00942C19" w:rsidTr="00D92393">
        <w:trPr>
          <w:trHeight w:val="269"/>
        </w:trPr>
        <w:tc>
          <w:tcPr>
            <w:tcW w:w="423"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942C19"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r>
      <w:tr w:rsidR="00076A30" w:rsidRPr="00942C19" w:rsidTr="00D92393">
        <w:trPr>
          <w:trHeight w:val="300"/>
        </w:trPr>
        <w:tc>
          <w:tcPr>
            <w:tcW w:w="423" w:type="pct"/>
            <w:vMerge w:val="restart"/>
            <w:shd w:val="clear" w:color="auto" w:fill="auto"/>
            <w:noWrap/>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w:t>
            </w:r>
          </w:p>
        </w:tc>
        <w:tc>
          <w:tcPr>
            <w:tcW w:w="1633" w:type="pct"/>
            <w:vMerge w:val="restart"/>
            <w:shd w:val="clear" w:color="auto" w:fill="auto"/>
            <w:hideMark/>
          </w:tcPr>
          <w:p w:rsidR="00D47B3B" w:rsidRPr="00942C19" w:rsidRDefault="00076A30">
            <w:pPr>
              <w:spacing w:before="0" w:line="240" w:lineRule="auto"/>
              <w:jc w:val="left"/>
              <w:rPr>
                <w:rFonts w:cs="Calibri"/>
                <w:b/>
                <w:bCs/>
                <w:sz w:val="22"/>
                <w:szCs w:val="22"/>
                <w:lang w:val="en-IN" w:eastAsia="en-IN"/>
              </w:rPr>
            </w:pPr>
            <w:r w:rsidRPr="00942C19">
              <w:rPr>
                <w:rFonts w:cs="Calibri"/>
                <w:b/>
                <w:bCs/>
                <w:sz w:val="22"/>
                <w:szCs w:val="22"/>
                <w:lang w:val="en-IN" w:eastAsia="en-IN"/>
              </w:rPr>
              <w:t>Tariff (Single part &amp; Two part)</w:t>
            </w:r>
            <w:r w:rsidR="00D92393" w:rsidRPr="00942C19">
              <w:rPr>
                <w:rFonts w:cs="Calibri"/>
                <w:b/>
                <w:bCs/>
                <w:sz w:val="22"/>
                <w:szCs w:val="22"/>
                <w:lang w:val="en-IN" w:eastAsia="en-IN"/>
              </w:rPr>
              <w:t xml:space="preserve"> for </w:t>
            </w:r>
            <w:r w:rsidRPr="00942C19">
              <w:rPr>
                <w:rFonts w:cs="Calibri"/>
                <w:b/>
                <w:bCs/>
                <w:sz w:val="22"/>
                <w:szCs w:val="22"/>
                <w:lang w:val="en-IN" w:eastAsia="en-IN"/>
              </w:rPr>
              <w:t>IPPs (</w:t>
            </w:r>
            <w:r w:rsidR="00D31494" w:rsidRPr="00942C19">
              <w:rPr>
                <w:rFonts w:cs="Calibri"/>
                <w:b/>
                <w:bCs/>
                <w:sz w:val="22"/>
                <w:szCs w:val="22"/>
                <w:lang w:val="en-IN" w:eastAsia="en-IN"/>
              </w:rPr>
              <w:t>Naptha</w:t>
            </w:r>
            <w:r w:rsidRPr="00942C19">
              <w:rPr>
                <w:rFonts w:cs="Calibri"/>
                <w:b/>
                <w:bCs/>
                <w:sz w:val="22"/>
                <w:szCs w:val="22"/>
                <w:lang w:val="en-IN" w:eastAsia="en-IN"/>
              </w:rPr>
              <w:t xml:space="preserve">-Jhakri, Tehri, Tala and </w:t>
            </w:r>
            <w:r w:rsidR="004F32BA" w:rsidRPr="00942C19">
              <w:rPr>
                <w:rFonts w:cs="Calibri"/>
                <w:b/>
                <w:bCs/>
                <w:sz w:val="22"/>
                <w:szCs w:val="22"/>
                <w:lang w:val="en-IN" w:eastAsia="en-IN"/>
              </w:rPr>
              <w:t>Vishnu Prayag</w:t>
            </w:r>
            <w:r w:rsidRPr="00942C19">
              <w:rPr>
                <w:rFonts w:cs="Calibri"/>
                <w:b/>
                <w:bCs/>
                <w:sz w:val="22"/>
                <w:szCs w:val="22"/>
                <w:lang w:val="en-IN" w:eastAsia="en-IN"/>
              </w:rPr>
              <w:t>) and Rosa Power Plant, and  Anpara 'C'</w:t>
            </w:r>
          </w:p>
        </w:tc>
        <w:tc>
          <w:tcPr>
            <w:tcW w:w="2945" w:type="pct"/>
            <w:vMerge w:val="restart"/>
            <w:shd w:val="clear" w:color="auto" w:fill="auto"/>
            <w:hideMark/>
          </w:tcPr>
          <w:p w:rsidR="00A44CA7" w:rsidRPr="00942C19" w:rsidRDefault="00076A30">
            <w:pPr>
              <w:spacing w:before="0" w:line="240" w:lineRule="auto"/>
              <w:rPr>
                <w:rFonts w:cs="Calibri"/>
                <w:sz w:val="22"/>
                <w:szCs w:val="22"/>
                <w:lang w:val="en-IN" w:eastAsia="en-IN"/>
              </w:rPr>
            </w:pPr>
            <w:r w:rsidRPr="00942C19">
              <w:rPr>
                <w:rFonts w:cs="Calibri"/>
                <w:sz w:val="22"/>
                <w:szCs w:val="22"/>
                <w:lang w:val="en-IN" w:eastAsia="en-IN"/>
              </w:rPr>
              <w:t>As provided in ARR / Tariff petition by UPPCL for FY 2013-14.</w:t>
            </w:r>
          </w:p>
        </w:tc>
      </w:tr>
      <w:tr w:rsidR="00076A30" w:rsidRPr="00942C19" w:rsidTr="00D92393">
        <w:trPr>
          <w:trHeight w:val="300"/>
        </w:trPr>
        <w:tc>
          <w:tcPr>
            <w:tcW w:w="423"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942C19"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r>
      <w:tr w:rsidR="00076A30" w:rsidRPr="00942C19" w:rsidTr="00D92393">
        <w:trPr>
          <w:trHeight w:val="600"/>
        </w:trPr>
        <w:tc>
          <w:tcPr>
            <w:tcW w:w="423"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942C19"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r>
      <w:tr w:rsidR="00076A30" w:rsidRPr="00942C19" w:rsidTr="00D92393">
        <w:trPr>
          <w:trHeight w:val="269"/>
        </w:trPr>
        <w:tc>
          <w:tcPr>
            <w:tcW w:w="423"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942C19"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942C19" w:rsidRDefault="00076A30" w:rsidP="00076A30">
            <w:pPr>
              <w:spacing w:before="0" w:line="240" w:lineRule="auto"/>
              <w:jc w:val="left"/>
              <w:rPr>
                <w:rFonts w:cs="Calibri"/>
                <w:sz w:val="22"/>
                <w:szCs w:val="22"/>
                <w:lang w:val="en-IN" w:eastAsia="en-IN"/>
              </w:rPr>
            </w:pPr>
          </w:p>
        </w:tc>
      </w:tr>
    </w:tbl>
    <w:p w:rsidR="00A44CA7" w:rsidRPr="00942C19" w:rsidRDefault="00222C32">
      <w:pPr>
        <w:spacing w:line="240" w:lineRule="auto"/>
        <w:jc w:val="center"/>
      </w:pPr>
      <w:r w:rsidRPr="00942C19" w:rsidDel="00427C80">
        <w:rPr>
          <w:szCs w:val="23"/>
        </w:rPr>
        <w:t xml:space="preserve"> </w:t>
      </w:r>
    </w:p>
    <w:p w:rsidR="00222C32" w:rsidRPr="00942C19" w:rsidRDefault="00222C32" w:rsidP="00D05C4B">
      <w:pPr>
        <w:pStyle w:val="Heading4"/>
      </w:pPr>
      <w:r w:rsidRPr="00942C19">
        <w:t xml:space="preserve">Based on above approach, the summary of approved power purchase costs from IPP’s and Joint Ventures (JV’s) is given in </w:t>
      </w:r>
      <w:fldSimple w:instr=" REF _Ref325470866 \h  \* MERGEFORMAT ">
        <w:r w:rsidR="00984AA4" w:rsidRPr="00942C19">
          <w:t xml:space="preserve">Table </w:t>
        </w:r>
        <w:r w:rsidR="00984AA4" w:rsidRPr="00942C19">
          <w:rPr>
            <w:noProof/>
          </w:rPr>
          <w:t>4</w:t>
        </w:r>
        <w:r w:rsidR="00984AA4" w:rsidRPr="00942C19">
          <w:rPr>
            <w:noProof/>
          </w:rPr>
          <w:noBreakHyphen/>
          <w:t>28</w:t>
        </w:r>
      </w:fldSimple>
      <w:r w:rsidRPr="00942C19">
        <w:t xml:space="preserve"> below:</w:t>
      </w:r>
    </w:p>
    <w:p w:rsidR="00222C32" w:rsidRPr="00942C19" w:rsidRDefault="00222C32" w:rsidP="00222C32">
      <w:pPr>
        <w:pStyle w:val="Caption"/>
        <w:keepNext/>
        <w:jc w:val="center"/>
      </w:pPr>
      <w:bookmarkStart w:id="591" w:name="_Ref325470866"/>
      <w:bookmarkStart w:id="592" w:name="_Toc325475680"/>
      <w:bookmarkStart w:id="593" w:name="_Toc338310695"/>
      <w:bookmarkStart w:id="594" w:name="_Toc338419525"/>
      <w:bookmarkStart w:id="595" w:name="_Toc357719722"/>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28</w:t>
      </w:r>
      <w:r w:rsidR="000C642E" w:rsidRPr="00942C19">
        <w:fldChar w:fldCharType="end"/>
      </w:r>
      <w:bookmarkEnd w:id="591"/>
      <w:r w:rsidRPr="00942C19">
        <w:t xml:space="preserve">: APPROVED COST OF POWER PURCHASE FROM IPPS / JVs FY </w:t>
      </w:r>
      <w:bookmarkEnd w:id="592"/>
      <w:bookmarkEnd w:id="593"/>
      <w:bookmarkEnd w:id="594"/>
      <w:r w:rsidRPr="00942C19">
        <w:t>2013-14</w:t>
      </w:r>
      <w:bookmarkEnd w:id="595"/>
    </w:p>
    <w:tbl>
      <w:tblPr>
        <w:tblW w:w="5609"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44"/>
        <w:gridCol w:w="1134"/>
        <w:gridCol w:w="895"/>
        <w:gridCol w:w="708"/>
        <w:gridCol w:w="1001"/>
        <w:gridCol w:w="708"/>
        <w:gridCol w:w="1001"/>
        <w:gridCol w:w="708"/>
        <w:gridCol w:w="1001"/>
        <w:gridCol w:w="967"/>
      </w:tblGrid>
      <w:tr w:rsidR="00076A30" w:rsidRPr="00942C19" w:rsidTr="00D92393">
        <w:trPr>
          <w:trHeight w:val="257"/>
          <w:tblHeader/>
        </w:trPr>
        <w:tc>
          <w:tcPr>
            <w:tcW w:w="925" w:type="pct"/>
            <w:vMerge w:val="restar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569" w:type="pct"/>
            <w:vMerge w:val="restar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MW Available</w:t>
            </w:r>
          </w:p>
        </w:tc>
        <w:tc>
          <w:tcPr>
            <w:tcW w:w="449" w:type="pct"/>
            <w:vMerge w:val="restar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857" w:type="pct"/>
            <w:gridSpan w:val="2"/>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857" w:type="pct"/>
            <w:gridSpan w:val="2"/>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857" w:type="pct"/>
            <w:gridSpan w:val="2"/>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485"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076A30" w:rsidRPr="00942C19" w:rsidTr="00D92393">
        <w:trPr>
          <w:trHeight w:val="77"/>
          <w:tblHeader/>
        </w:trPr>
        <w:tc>
          <w:tcPr>
            <w:tcW w:w="925" w:type="pct"/>
            <w:vMerge/>
            <w:vAlign w:val="center"/>
            <w:hideMark/>
          </w:tcPr>
          <w:p w:rsidR="00076A30" w:rsidRPr="00942C19" w:rsidRDefault="00076A30" w:rsidP="00076A30">
            <w:pPr>
              <w:spacing w:before="0" w:line="240" w:lineRule="auto"/>
              <w:jc w:val="left"/>
              <w:rPr>
                <w:rFonts w:cs="Calibri"/>
                <w:b/>
                <w:bCs/>
                <w:sz w:val="22"/>
                <w:szCs w:val="22"/>
                <w:lang w:val="en-IN" w:eastAsia="en-IN"/>
              </w:rPr>
            </w:pPr>
          </w:p>
        </w:tc>
        <w:tc>
          <w:tcPr>
            <w:tcW w:w="569" w:type="pct"/>
            <w:vMerge/>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449" w:type="pct"/>
            <w:vMerge/>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355"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0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55"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0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355"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502"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85" w:type="pct"/>
            <w:shd w:val="clear" w:color="000000" w:fill="DBE5F1"/>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076A30" w:rsidRPr="00942C19" w:rsidTr="00D92393">
        <w:trPr>
          <w:trHeight w:val="600"/>
        </w:trPr>
        <w:tc>
          <w:tcPr>
            <w:tcW w:w="925" w:type="pct"/>
            <w:shd w:val="clear" w:color="auto" w:fill="auto"/>
            <w:hideMark/>
          </w:tcPr>
          <w:p w:rsidR="00076A30" w:rsidRPr="00942C19" w:rsidRDefault="00D31494" w:rsidP="00076A30">
            <w:pPr>
              <w:spacing w:before="0" w:line="240" w:lineRule="auto"/>
              <w:jc w:val="left"/>
              <w:rPr>
                <w:rFonts w:cs="Calibri"/>
                <w:sz w:val="22"/>
                <w:szCs w:val="22"/>
                <w:lang w:val="en-IN" w:eastAsia="en-IN"/>
              </w:rPr>
            </w:pPr>
            <w:r w:rsidRPr="00942C19">
              <w:rPr>
                <w:rFonts w:cs="Calibri"/>
                <w:sz w:val="22"/>
                <w:szCs w:val="22"/>
                <w:lang w:val="en-IN" w:eastAsia="en-IN"/>
              </w:rPr>
              <w:t>Naptha</w:t>
            </w:r>
            <w:r w:rsidR="00076A30" w:rsidRPr="00942C19">
              <w:rPr>
                <w:rFonts w:cs="Calibri"/>
                <w:sz w:val="22"/>
                <w:szCs w:val="22"/>
                <w:lang w:val="en-IN" w:eastAsia="en-IN"/>
              </w:rPr>
              <w:t xml:space="preserve"> Jhakri HPS</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275</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1365</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1.42</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194.27</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1.14</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155.75</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2.56</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350.02</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2.56</w:t>
            </w:r>
          </w:p>
        </w:tc>
      </w:tr>
      <w:tr w:rsidR="00076A30" w:rsidRPr="00942C19" w:rsidTr="00D92393">
        <w:trPr>
          <w:trHeight w:val="300"/>
        </w:trPr>
        <w:tc>
          <w:tcPr>
            <w:tcW w:w="925" w:type="pct"/>
            <w:shd w:val="clear" w:color="auto" w:fill="auto"/>
            <w:hideMark/>
          </w:tcPr>
          <w:p w:rsidR="00076A30" w:rsidRPr="00942C19" w:rsidRDefault="004F32BA" w:rsidP="00076A30">
            <w:pPr>
              <w:spacing w:before="0" w:line="240" w:lineRule="auto"/>
              <w:jc w:val="left"/>
              <w:rPr>
                <w:rFonts w:cs="Calibri"/>
                <w:sz w:val="22"/>
                <w:szCs w:val="22"/>
                <w:lang w:val="en-IN" w:eastAsia="en-IN"/>
              </w:rPr>
            </w:pPr>
            <w:r w:rsidRPr="00942C19">
              <w:rPr>
                <w:rFonts w:cs="Calibri"/>
                <w:sz w:val="22"/>
                <w:szCs w:val="22"/>
                <w:lang w:val="en-IN" w:eastAsia="en-IN"/>
              </w:rPr>
              <w:t>Vishnu Prayag</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352</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1752</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1.13</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198.23</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1.18</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207.10</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2.31</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405.33</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2.31</w:t>
            </w:r>
          </w:p>
        </w:tc>
      </w:tr>
      <w:tr w:rsidR="00076A30" w:rsidRPr="00942C19" w:rsidTr="00D92393">
        <w:trPr>
          <w:trHeight w:val="3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Tala Power</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45</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184</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39.40</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2.14</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39.40</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2.14</w:t>
            </w:r>
          </w:p>
        </w:tc>
      </w:tr>
      <w:tr w:rsidR="00076A30" w:rsidRPr="00942C19" w:rsidTr="00D92393">
        <w:trPr>
          <w:trHeight w:val="3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Tehri Hydro</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410</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1241</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2.30</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285.45</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2.50</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310.25</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4.80</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595.70</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4.80</w:t>
            </w:r>
          </w:p>
        </w:tc>
      </w:tr>
      <w:tr w:rsidR="00076A30" w:rsidRPr="00942C19" w:rsidTr="00D92393">
        <w:trPr>
          <w:trHeight w:val="6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Rosa Power Project I</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900</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3205</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1.44</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461.46</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3.68</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1,178.24</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5.12</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1,639.70</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5.12</w:t>
            </w:r>
          </w:p>
        </w:tc>
      </w:tr>
      <w:tr w:rsidR="00076A30" w:rsidRPr="00942C19" w:rsidTr="00D92393">
        <w:trPr>
          <w:trHeight w:val="6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 xml:space="preserve">IGSTPP, </w:t>
            </w:r>
            <w:r w:rsidR="004F32BA" w:rsidRPr="00942C19">
              <w:rPr>
                <w:rFonts w:cs="Calibri"/>
                <w:sz w:val="22"/>
                <w:szCs w:val="22"/>
                <w:lang w:val="en-IN" w:eastAsia="en-IN"/>
              </w:rPr>
              <w:t>Jhajjar</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41</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350</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5.06</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177.42</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5.06</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177.42</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5.06</w:t>
            </w:r>
          </w:p>
        </w:tc>
      </w:tr>
      <w:tr w:rsidR="00076A30" w:rsidRPr="00942C19" w:rsidTr="00D92393">
        <w:trPr>
          <w:trHeight w:val="3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Koteshwar</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169</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522</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2.65</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138.32</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2.19</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114.31</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4.84</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252.63</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4.84</w:t>
            </w:r>
          </w:p>
        </w:tc>
      </w:tr>
      <w:tr w:rsidR="00076A30" w:rsidRPr="00942C19" w:rsidTr="00D92393">
        <w:trPr>
          <w:trHeight w:val="3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Anpara 'C'</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1100</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5918</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3.48</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2,061.22</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3.48</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2,061.22</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3.48</w:t>
            </w:r>
          </w:p>
        </w:tc>
      </w:tr>
      <w:tr w:rsidR="00076A30" w:rsidRPr="00942C19" w:rsidTr="00D92393">
        <w:trPr>
          <w:trHeight w:val="6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Karcham-Wangtoo</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200</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160</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3.70</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59.16</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3.70</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59.16</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3.70</w:t>
            </w:r>
          </w:p>
        </w:tc>
      </w:tr>
      <w:tr w:rsidR="00076A30" w:rsidRPr="00942C19" w:rsidTr="00D92393">
        <w:trPr>
          <w:trHeight w:val="6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Bajaj Hindusthan</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450</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2101</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1.92</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403.17</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2.35</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494.71</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4.27</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897.88</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4.27</w:t>
            </w:r>
          </w:p>
        </w:tc>
      </w:tr>
      <w:tr w:rsidR="00076A30" w:rsidRPr="00942C19" w:rsidTr="00D92393">
        <w:trPr>
          <w:trHeight w:val="600"/>
        </w:trPr>
        <w:tc>
          <w:tcPr>
            <w:tcW w:w="925" w:type="pct"/>
            <w:shd w:val="clear" w:color="auto" w:fill="auto"/>
            <w:hideMark/>
          </w:tcPr>
          <w:p w:rsidR="00076A30" w:rsidRPr="00942C19" w:rsidRDefault="00076A30" w:rsidP="00076A30">
            <w:pPr>
              <w:spacing w:before="0" w:line="240" w:lineRule="auto"/>
              <w:jc w:val="left"/>
              <w:rPr>
                <w:rFonts w:cs="Calibri"/>
                <w:sz w:val="22"/>
                <w:szCs w:val="22"/>
                <w:lang w:val="en-IN" w:eastAsia="en-IN"/>
              </w:rPr>
            </w:pPr>
            <w:r w:rsidRPr="00942C19">
              <w:rPr>
                <w:rFonts w:cs="Calibri"/>
                <w:sz w:val="22"/>
                <w:szCs w:val="22"/>
                <w:lang w:val="en-IN" w:eastAsia="en-IN"/>
              </w:rPr>
              <w:t>Rosa Power Project II</w:t>
            </w:r>
          </w:p>
        </w:tc>
        <w:tc>
          <w:tcPr>
            <w:tcW w:w="56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300</w:t>
            </w:r>
          </w:p>
        </w:tc>
        <w:tc>
          <w:tcPr>
            <w:tcW w:w="449"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2102</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2.04</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428.19</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3.68</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772.89</w:t>
            </w:r>
          </w:p>
        </w:tc>
        <w:tc>
          <w:tcPr>
            <w:tcW w:w="35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5.71</w:t>
            </w:r>
          </w:p>
        </w:tc>
        <w:tc>
          <w:tcPr>
            <w:tcW w:w="502"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1,201.08</w:t>
            </w:r>
          </w:p>
        </w:tc>
        <w:tc>
          <w:tcPr>
            <w:tcW w:w="485" w:type="pct"/>
            <w:shd w:val="clear" w:color="auto" w:fill="auto"/>
            <w:vAlign w:val="center"/>
            <w:hideMark/>
          </w:tcPr>
          <w:p w:rsidR="00076A30" w:rsidRPr="00942C19" w:rsidRDefault="00076A30" w:rsidP="00076A30">
            <w:pPr>
              <w:spacing w:before="0" w:line="240" w:lineRule="auto"/>
              <w:jc w:val="center"/>
              <w:rPr>
                <w:rFonts w:cs="Calibri"/>
                <w:sz w:val="22"/>
                <w:szCs w:val="22"/>
                <w:lang w:val="en-IN" w:eastAsia="en-IN"/>
              </w:rPr>
            </w:pPr>
            <w:r w:rsidRPr="00942C19">
              <w:rPr>
                <w:rFonts w:cs="Calibri"/>
                <w:sz w:val="22"/>
                <w:szCs w:val="22"/>
                <w:lang w:val="en-IN" w:eastAsia="en-IN"/>
              </w:rPr>
              <w:t>5.71</w:t>
            </w:r>
          </w:p>
        </w:tc>
      </w:tr>
      <w:tr w:rsidR="00076A30" w:rsidRPr="00942C19" w:rsidTr="00D92393">
        <w:trPr>
          <w:trHeight w:val="300"/>
        </w:trPr>
        <w:tc>
          <w:tcPr>
            <w:tcW w:w="925" w:type="pct"/>
            <w:shd w:val="clear" w:color="auto" w:fill="auto"/>
            <w:hideMark/>
          </w:tcPr>
          <w:p w:rsidR="00076A30" w:rsidRPr="00942C19" w:rsidRDefault="00076A3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569"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4243</w:t>
            </w:r>
          </w:p>
        </w:tc>
        <w:tc>
          <w:tcPr>
            <w:tcW w:w="449"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18900</w:t>
            </w:r>
          </w:p>
        </w:tc>
        <w:tc>
          <w:tcPr>
            <w:tcW w:w="355"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2,109.09</w:t>
            </w:r>
          </w:p>
        </w:tc>
        <w:tc>
          <w:tcPr>
            <w:tcW w:w="355"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5,570.44</w:t>
            </w:r>
          </w:p>
        </w:tc>
        <w:tc>
          <w:tcPr>
            <w:tcW w:w="355"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7,679.54</w:t>
            </w:r>
          </w:p>
        </w:tc>
        <w:tc>
          <w:tcPr>
            <w:tcW w:w="485" w:type="pct"/>
            <w:shd w:val="clear" w:color="auto" w:fill="auto"/>
            <w:vAlign w:val="center"/>
            <w:hideMark/>
          </w:tcPr>
          <w:p w:rsidR="00076A30" w:rsidRPr="00942C19" w:rsidRDefault="00076A3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4.06</w:t>
            </w:r>
          </w:p>
        </w:tc>
      </w:tr>
    </w:tbl>
    <w:p w:rsidR="00A44CA7" w:rsidRPr="00942C19" w:rsidRDefault="00A44CA7">
      <w:pPr>
        <w:spacing w:after="120" w:line="240" w:lineRule="auto"/>
        <w:jc w:val="center"/>
        <w:rPr>
          <w:sz w:val="23"/>
          <w:szCs w:val="23"/>
        </w:rPr>
      </w:pPr>
    </w:p>
    <w:p w:rsidR="00222C32" w:rsidRPr="00942C19" w:rsidRDefault="00222C32" w:rsidP="00222C32">
      <w:pPr>
        <w:pStyle w:val="Heading3"/>
        <w:numPr>
          <w:ilvl w:val="2"/>
          <w:numId w:val="1"/>
        </w:numPr>
        <w:spacing w:before="0"/>
        <w:rPr>
          <w:b/>
        </w:rPr>
      </w:pPr>
      <w:r w:rsidRPr="00942C19">
        <w:rPr>
          <w:b/>
        </w:rPr>
        <w:t xml:space="preserve">The </w:t>
      </w:r>
      <w:r w:rsidR="009A3804" w:rsidRPr="00942C19">
        <w:rPr>
          <w:b/>
        </w:rPr>
        <w:t>Licensee</w:t>
      </w:r>
      <w:r w:rsidRPr="00942C19">
        <w:rPr>
          <w:b/>
        </w:rPr>
        <w:t>’s Submission:</w:t>
      </w:r>
    </w:p>
    <w:p w:rsidR="00A44CA7" w:rsidRPr="00942C19" w:rsidRDefault="00A44CA7">
      <w:pPr>
        <w:tabs>
          <w:tab w:val="left" w:pos="360"/>
        </w:tabs>
        <w:spacing w:before="0"/>
      </w:pPr>
    </w:p>
    <w:p w:rsidR="00222C32" w:rsidRPr="00942C19" w:rsidRDefault="00222C32" w:rsidP="00D05C4B">
      <w:pPr>
        <w:pStyle w:val="Heading4"/>
      </w:pPr>
      <w:r w:rsidRPr="00942C19">
        <w:t xml:space="preserve">The </w:t>
      </w:r>
      <w:r w:rsidR="009A3804" w:rsidRPr="00942C19">
        <w:t>Licensee</w:t>
      </w:r>
      <w:r w:rsidRPr="00942C19">
        <w:t xml:space="preserve">’s submission of power purchased from Co-generating stations for FY 2013-14 is provided in </w:t>
      </w:r>
      <w:fldSimple w:instr=" REF _Ref325470927 \h  \* MERGEFORMAT ">
        <w:r w:rsidR="00984AA4" w:rsidRPr="00942C19">
          <w:t xml:space="preserve">Table </w:t>
        </w:r>
        <w:r w:rsidR="00984AA4" w:rsidRPr="00942C19">
          <w:rPr>
            <w:noProof/>
          </w:rPr>
          <w:t>4</w:t>
        </w:r>
        <w:r w:rsidR="00984AA4" w:rsidRPr="00942C19">
          <w:rPr>
            <w:noProof/>
          </w:rPr>
          <w:noBreakHyphen/>
          <w:t>29</w:t>
        </w:r>
      </w:fldSimple>
      <w:r w:rsidRPr="00942C19">
        <w:t xml:space="preserve"> given below:</w:t>
      </w:r>
    </w:p>
    <w:p w:rsidR="004D0E04" w:rsidRPr="00942C19" w:rsidRDefault="00222C32" w:rsidP="004E2AB9">
      <w:pPr>
        <w:pStyle w:val="Caption"/>
        <w:keepNext/>
        <w:ind w:right="447" w:firstLine="426"/>
        <w:jc w:val="center"/>
      </w:pPr>
      <w:bookmarkStart w:id="596" w:name="_Ref325470927"/>
      <w:bookmarkStart w:id="597" w:name="_Toc325475681"/>
      <w:bookmarkStart w:id="598" w:name="_Toc338310696"/>
      <w:bookmarkStart w:id="599" w:name="_Toc338419526"/>
      <w:bookmarkStart w:id="600" w:name="_Toc357719723"/>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29</w:t>
      </w:r>
      <w:r w:rsidR="000C642E" w:rsidRPr="00942C19">
        <w:fldChar w:fldCharType="end"/>
      </w:r>
      <w:bookmarkEnd w:id="596"/>
      <w:r w:rsidRPr="00942C19">
        <w:t xml:space="preserve">: </w:t>
      </w:r>
      <w:bookmarkEnd w:id="597"/>
      <w:r w:rsidRPr="00942C19">
        <w:rPr>
          <w:rFonts w:asciiTheme="minorHAnsi" w:hAnsiTheme="minorHAnsi" w:cstheme="minorHAnsi"/>
          <w:szCs w:val="24"/>
        </w:rPr>
        <w:t>POWER PURCHASE COST: STATE CO-GENERATION FACILITIES FOR FY 2013-14 - PETITION</w:t>
      </w:r>
      <w:bookmarkEnd w:id="598"/>
      <w:bookmarkEnd w:id="599"/>
      <w:bookmarkEnd w:id="600"/>
    </w:p>
    <w:tbl>
      <w:tblPr>
        <w:tblW w:w="498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64"/>
        <w:gridCol w:w="750"/>
        <w:gridCol w:w="802"/>
        <w:gridCol w:w="883"/>
        <w:gridCol w:w="802"/>
        <w:gridCol w:w="1127"/>
        <w:gridCol w:w="802"/>
        <w:gridCol w:w="1127"/>
        <w:gridCol w:w="1092"/>
      </w:tblGrid>
      <w:tr w:rsidR="00F834B0" w:rsidRPr="00942C19" w:rsidTr="00F834B0">
        <w:trPr>
          <w:trHeight w:val="628"/>
        </w:trPr>
        <w:tc>
          <w:tcPr>
            <w:tcW w:w="827"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424"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52"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1089"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1090"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F834B0" w:rsidRPr="00942C19" w:rsidTr="00F834B0">
        <w:trPr>
          <w:trHeight w:val="628"/>
        </w:trPr>
        <w:tc>
          <w:tcPr>
            <w:tcW w:w="827" w:type="pct"/>
            <w:vMerge/>
            <w:vAlign w:val="center"/>
            <w:hideMark/>
          </w:tcPr>
          <w:p w:rsidR="00F834B0" w:rsidRPr="00942C19"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99"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37"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37"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F834B0" w:rsidRPr="00942C19" w:rsidTr="00F834B0">
        <w:trPr>
          <w:trHeight w:val="628"/>
        </w:trPr>
        <w:tc>
          <w:tcPr>
            <w:tcW w:w="827" w:type="pct"/>
            <w:shd w:val="clear" w:color="auto" w:fill="auto"/>
            <w:hideMark/>
          </w:tcPr>
          <w:p w:rsidR="00A44CA7" w:rsidRPr="00942C19" w:rsidRDefault="00F834B0">
            <w:pPr>
              <w:spacing w:before="0" w:line="240" w:lineRule="auto"/>
              <w:jc w:val="left"/>
              <w:rPr>
                <w:rFonts w:cs="Calibri"/>
                <w:b/>
                <w:bCs/>
                <w:color w:val="333399"/>
                <w:kern w:val="32"/>
                <w:sz w:val="22"/>
                <w:szCs w:val="22"/>
                <w:lang w:val="en-IN" w:eastAsia="en-IN"/>
              </w:rPr>
            </w:pPr>
            <w:r w:rsidRPr="00942C19">
              <w:rPr>
                <w:rFonts w:cs="Calibri"/>
                <w:sz w:val="22"/>
                <w:szCs w:val="22"/>
                <w:lang w:val="en-IN" w:eastAsia="en-IN"/>
              </w:rPr>
              <w:t xml:space="preserve">Captive and </w:t>
            </w:r>
            <w:r w:rsidR="00D31494" w:rsidRPr="00942C19">
              <w:rPr>
                <w:rFonts w:cs="Calibri"/>
                <w:sz w:val="22"/>
                <w:szCs w:val="22"/>
                <w:lang w:val="en-IN" w:eastAsia="en-IN"/>
              </w:rPr>
              <w:t>Cogen</w:t>
            </w:r>
          </w:p>
        </w:tc>
        <w:tc>
          <w:tcPr>
            <w:tcW w:w="424"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2830</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9"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4.62</w:t>
            </w:r>
          </w:p>
        </w:tc>
        <w:tc>
          <w:tcPr>
            <w:tcW w:w="637"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1,308.16</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4.62</w:t>
            </w:r>
          </w:p>
        </w:tc>
        <w:tc>
          <w:tcPr>
            <w:tcW w:w="637"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1,308.16</w:t>
            </w:r>
          </w:p>
        </w:tc>
        <w:tc>
          <w:tcPr>
            <w:tcW w:w="618"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4.62</w:t>
            </w:r>
          </w:p>
        </w:tc>
      </w:tr>
    </w:tbl>
    <w:p w:rsidR="00222C32" w:rsidRPr="00942C19" w:rsidRDefault="00222C32" w:rsidP="00222C32">
      <w:pPr>
        <w:tabs>
          <w:tab w:val="left" w:pos="360"/>
        </w:tabs>
        <w:jc w:val="center"/>
        <w:rPr>
          <w:b/>
          <w:bCs/>
          <w:lang w:val="en-US"/>
        </w:rPr>
      </w:pPr>
    </w:p>
    <w:p w:rsidR="00D92393" w:rsidRPr="00942C19" w:rsidRDefault="00D92393">
      <w:pPr>
        <w:spacing w:before="0" w:line="240" w:lineRule="auto"/>
        <w:jc w:val="left"/>
        <w:rPr>
          <w:rFonts w:cs="Arial"/>
          <w:b/>
          <w:bCs/>
          <w:szCs w:val="26"/>
        </w:rPr>
      </w:pPr>
    </w:p>
    <w:p w:rsidR="00222C32" w:rsidRPr="00942C19" w:rsidRDefault="00222C32" w:rsidP="00222C32">
      <w:pPr>
        <w:pStyle w:val="Heading3"/>
        <w:numPr>
          <w:ilvl w:val="2"/>
          <w:numId w:val="1"/>
        </w:numPr>
        <w:spacing w:before="0"/>
        <w:rPr>
          <w:b/>
        </w:rPr>
      </w:pPr>
      <w:r w:rsidRPr="00942C19">
        <w:rPr>
          <w:b/>
        </w:rPr>
        <w:t>The Commission’s Analysis:</w:t>
      </w:r>
    </w:p>
    <w:p w:rsidR="00222C32" w:rsidRPr="00942C19" w:rsidRDefault="00222C32" w:rsidP="00D05C4B">
      <w:pPr>
        <w:pStyle w:val="Heading4"/>
      </w:pPr>
      <w:r w:rsidRPr="00942C19">
        <w:t xml:space="preserve">In an effort to encourage renewable generation the Commission has mandated that the Distribution </w:t>
      </w:r>
      <w:r w:rsidR="009A3804" w:rsidRPr="00942C19">
        <w:t>Licensee</w:t>
      </w:r>
      <w:r w:rsidRPr="00942C19">
        <w:t xml:space="preserve">s shall, based on availability, procure power to the extent available from the </w:t>
      </w:r>
      <w:r w:rsidR="00700278" w:rsidRPr="00942C19">
        <w:t>C</w:t>
      </w:r>
      <w:r w:rsidRPr="00942C19">
        <w:t xml:space="preserve">o-generating stations available in the State. </w:t>
      </w:r>
      <w:r w:rsidRPr="00942C19">
        <w:rPr>
          <w:sz w:val="23"/>
          <w:szCs w:val="23"/>
        </w:rPr>
        <w:t xml:space="preserve">Approved power purchase from Co-generating stations for FY 2013-14 is provided in </w:t>
      </w:r>
      <w:fldSimple w:instr=" REF _Ref325470957 \h  \* MERGEFORMAT ">
        <w:r w:rsidR="00984AA4" w:rsidRPr="00942C19">
          <w:t xml:space="preserve">Table </w:t>
        </w:r>
        <w:r w:rsidR="00984AA4" w:rsidRPr="00942C19">
          <w:rPr>
            <w:noProof/>
          </w:rPr>
          <w:t>4</w:t>
        </w:r>
        <w:r w:rsidR="00984AA4" w:rsidRPr="00942C19">
          <w:rPr>
            <w:noProof/>
          </w:rPr>
          <w:noBreakHyphen/>
          <w:t>30</w:t>
        </w:r>
      </w:fldSimple>
      <w:r w:rsidRPr="00942C19">
        <w:rPr>
          <w:sz w:val="23"/>
          <w:szCs w:val="23"/>
        </w:rPr>
        <w:t xml:space="preserve"> given below:</w:t>
      </w:r>
    </w:p>
    <w:p w:rsidR="00222C32" w:rsidRPr="00942C19" w:rsidRDefault="00222C32" w:rsidP="002D7CDF">
      <w:pPr>
        <w:pStyle w:val="Caption"/>
        <w:keepNext/>
        <w:jc w:val="center"/>
      </w:pPr>
      <w:bookmarkStart w:id="601" w:name="_Ref325470957"/>
      <w:bookmarkStart w:id="602" w:name="_Toc325475682"/>
      <w:bookmarkStart w:id="603" w:name="_Toc338310697"/>
      <w:bookmarkStart w:id="604" w:name="_Toc338419527"/>
      <w:bookmarkStart w:id="605" w:name="_Toc357719724"/>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30</w:t>
      </w:r>
      <w:r w:rsidR="000C642E" w:rsidRPr="00942C19">
        <w:fldChar w:fldCharType="end"/>
      </w:r>
      <w:bookmarkEnd w:id="601"/>
      <w:r w:rsidRPr="00942C19">
        <w:t xml:space="preserve">: </w:t>
      </w:r>
      <w:bookmarkEnd w:id="602"/>
      <w:r w:rsidRPr="00942C19">
        <w:rPr>
          <w:rFonts w:asciiTheme="minorHAnsi" w:hAnsiTheme="minorHAnsi" w:cstheme="minorHAnsi"/>
          <w:szCs w:val="24"/>
        </w:rPr>
        <w:t>APPROVED COST OF POWER PURCHASE: STATE CO-GENERATION</w:t>
      </w:r>
      <w:r w:rsidR="002D7CDF" w:rsidRPr="00942C19">
        <w:rPr>
          <w:rFonts w:asciiTheme="minorHAnsi" w:hAnsiTheme="minorHAnsi" w:cstheme="minorHAnsi"/>
          <w:szCs w:val="24"/>
        </w:rPr>
        <w:t xml:space="preserve"> </w:t>
      </w:r>
      <w:r w:rsidRPr="00942C19">
        <w:rPr>
          <w:rFonts w:asciiTheme="minorHAnsi" w:hAnsiTheme="minorHAnsi" w:cstheme="minorHAnsi"/>
          <w:szCs w:val="24"/>
        </w:rPr>
        <w:t xml:space="preserve">FACILITIES </w:t>
      </w:r>
      <w:r w:rsidRPr="004E2AB9">
        <w:rPr>
          <w:rFonts w:asciiTheme="minorHAnsi" w:hAnsiTheme="minorHAnsi" w:cstheme="minorHAnsi"/>
          <w:caps/>
          <w:szCs w:val="24"/>
        </w:rPr>
        <w:t>in</w:t>
      </w:r>
      <w:r w:rsidRPr="00942C19">
        <w:rPr>
          <w:rFonts w:asciiTheme="minorHAnsi" w:hAnsiTheme="minorHAnsi" w:cstheme="minorHAnsi"/>
          <w:szCs w:val="24"/>
        </w:rPr>
        <w:t xml:space="preserve"> FY </w:t>
      </w:r>
      <w:bookmarkEnd w:id="603"/>
      <w:bookmarkEnd w:id="604"/>
      <w:r w:rsidRPr="00942C19">
        <w:rPr>
          <w:rFonts w:asciiTheme="minorHAnsi" w:hAnsiTheme="minorHAnsi" w:cstheme="minorHAnsi"/>
          <w:szCs w:val="24"/>
        </w:rPr>
        <w:t>2013-14</w:t>
      </w:r>
      <w:bookmarkEnd w:id="605"/>
    </w:p>
    <w:tbl>
      <w:tblPr>
        <w:tblW w:w="48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39"/>
        <w:gridCol w:w="738"/>
        <w:gridCol w:w="786"/>
        <w:gridCol w:w="870"/>
        <w:gridCol w:w="786"/>
        <w:gridCol w:w="1108"/>
        <w:gridCol w:w="786"/>
        <w:gridCol w:w="1110"/>
        <w:gridCol w:w="1075"/>
      </w:tblGrid>
      <w:tr w:rsidR="00F834B0" w:rsidRPr="00942C19" w:rsidTr="00F834B0">
        <w:trPr>
          <w:trHeight w:val="611"/>
        </w:trPr>
        <w:tc>
          <w:tcPr>
            <w:tcW w:w="827"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424"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52"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1089"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1090"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F834B0" w:rsidRPr="00942C19" w:rsidTr="00F834B0">
        <w:trPr>
          <w:trHeight w:val="611"/>
        </w:trPr>
        <w:tc>
          <w:tcPr>
            <w:tcW w:w="827" w:type="pct"/>
            <w:vMerge/>
            <w:vAlign w:val="center"/>
            <w:hideMark/>
          </w:tcPr>
          <w:p w:rsidR="00F834B0" w:rsidRPr="00942C19"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52"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99"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2"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36"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2"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3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F834B0" w:rsidRPr="00942C19" w:rsidTr="00F834B0">
        <w:trPr>
          <w:trHeight w:val="611"/>
        </w:trPr>
        <w:tc>
          <w:tcPr>
            <w:tcW w:w="827" w:type="pct"/>
            <w:shd w:val="clear" w:color="auto" w:fill="auto"/>
            <w:hideMark/>
          </w:tcPr>
          <w:p w:rsidR="00F834B0" w:rsidRPr="00942C19" w:rsidRDefault="00F834B0" w:rsidP="00076A30">
            <w:pPr>
              <w:spacing w:before="0" w:line="240" w:lineRule="auto"/>
              <w:jc w:val="left"/>
              <w:rPr>
                <w:rFonts w:cs="Calibri"/>
                <w:sz w:val="22"/>
                <w:szCs w:val="22"/>
                <w:lang w:val="en-IN" w:eastAsia="en-IN"/>
              </w:rPr>
            </w:pPr>
            <w:r w:rsidRPr="00942C19">
              <w:rPr>
                <w:rFonts w:cs="Calibri"/>
                <w:sz w:val="22"/>
                <w:szCs w:val="22"/>
                <w:lang w:val="en-IN" w:eastAsia="en-IN"/>
              </w:rPr>
              <w:t>Captive and Cogen</w:t>
            </w:r>
          </w:p>
        </w:tc>
        <w:tc>
          <w:tcPr>
            <w:tcW w:w="424"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2830</w:t>
            </w:r>
          </w:p>
        </w:tc>
        <w:tc>
          <w:tcPr>
            <w:tcW w:w="452"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99"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52"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4.62</w:t>
            </w:r>
          </w:p>
        </w:tc>
        <w:tc>
          <w:tcPr>
            <w:tcW w:w="636"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1,308.16</w:t>
            </w:r>
          </w:p>
        </w:tc>
        <w:tc>
          <w:tcPr>
            <w:tcW w:w="452"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4.62</w:t>
            </w:r>
          </w:p>
        </w:tc>
        <w:tc>
          <w:tcPr>
            <w:tcW w:w="638"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1,308.16</w:t>
            </w:r>
          </w:p>
        </w:tc>
        <w:tc>
          <w:tcPr>
            <w:tcW w:w="618"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4.62</w:t>
            </w:r>
          </w:p>
        </w:tc>
      </w:tr>
    </w:tbl>
    <w:p w:rsidR="00A44CA7" w:rsidRPr="00942C19" w:rsidRDefault="00222C32">
      <w:pPr>
        <w:spacing w:after="240" w:line="240" w:lineRule="auto"/>
        <w:jc w:val="center"/>
        <w:rPr>
          <w:sz w:val="23"/>
          <w:szCs w:val="23"/>
        </w:rPr>
      </w:pPr>
      <w:r w:rsidRPr="00942C19" w:rsidDel="00427C80">
        <w:rPr>
          <w:szCs w:val="23"/>
        </w:rPr>
        <w:t xml:space="preserve"> </w:t>
      </w:r>
    </w:p>
    <w:p w:rsidR="00222C32" w:rsidRPr="00942C19" w:rsidRDefault="00222C32" w:rsidP="00222C32">
      <w:pPr>
        <w:pStyle w:val="Heading3"/>
        <w:numPr>
          <w:ilvl w:val="2"/>
          <w:numId w:val="1"/>
        </w:numPr>
        <w:spacing w:before="0"/>
        <w:rPr>
          <w:b/>
        </w:rPr>
      </w:pPr>
      <w:r w:rsidRPr="00942C19">
        <w:rPr>
          <w:b/>
        </w:rPr>
        <w:t xml:space="preserve">The </w:t>
      </w:r>
      <w:r w:rsidR="009A3804" w:rsidRPr="00942C19">
        <w:rPr>
          <w:b/>
        </w:rPr>
        <w:t>Licensee</w:t>
      </w:r>
      <w:r w:rsidRPr="00942C19">
        <w:rPr>
          <w:b/>
        </w:rPr>
        <w:t>’s Submission:</w:t>
      </w:r>
    </w:p>
    <w:p w:rsidR="00A44CA7" w:rsidRPr="00942C19" w:rsidRDefault="00A44CA7">
      <w:pPr>
        <w:tabs>
          <w:tab w:val="left" w:pos="360"/>
        </w:tabs>
        <w:spacing w:before="0"/>
      </w:pPr>
    </w:p>
    <w:p w:rsidR="00222C32" w:rsidRPr="00942C19" w:rsidRDefault="00222C32" w:rsidP="00D05C4B">
      <w:pPr>
        <w:pStyle w:val="Heading4"/>
        <w:rPr>
          <w:i/>
          <w:color w:val="FF0000"/>
        </w:rPr>
      </w:pPr>
      <w:r w:rsidRPr="00942C19">
        <w:t xml:space="preserve">The </w:t>
      </w:r>
      <w:r w:rsidR="009A3804" w:rsidRPr="00942C19">
        <w:t>Licensee</w:t>
      </w:r>
      <w:r w:rsidRPr="00942C19">
        <w:t xml:space="preserve">’s in its additional submission dated </w:t>
      </w:r>
      <w:r w:rsidR="00100B57" w:rsidRPr="00942C19">
        <w:t>4</w:t>
      </w:r>
      <w:r w:rsidR="00100B57" w:rsidRPr="00942C19">
        <w:rPr>
          <w:vertAlign w:val="superscript"/>
        </w:rPr>
        <w:t>th</w:t>
      </w:r>
      <w:r w:rsidR="00100B57" w:rsidRPr="00942C19">
        <w:t xml:space="preserve"> April, 2013 </w:t>
      </w:r>
      <w:r w:rsidRPr="00942C19">
        <w:t xml:space="preserve">has submitted a revised estimate of power purchase from bilateral and other sources for FY 2013-14 for meeting emergency purchase. The </w:t>
      </w:r>
      <w:r w:rsidR="009A3804" w:rsidRPr="00942C19">
        <w:t>Licensee</w:t>
      </w:r>
      <w:r w:rsidRPr="00942C19">
        <w:t xml:space="preserve"> in its submission has projected the cost for such purchases at Rs. 3,132 crore</w:t>
      </w:r>
      <w:r w:rsidR="00112A2A" w:rsidRPr="00942C19">
        <w:t>s</w:t>
      </w:r>
      <w:r w:rsidRPr="00942C19">
        <w:t xml:space="preserve"> for procuring 6214 MU at the rate of Rs. 5.04 per kWh. The </w:t>
      </w:r>
      <w:r w:rsidR="009A3804" w:rsidRPr="00942C19">
        <w:t>Licensee</w:t>
      </w:r>
      <w:r w:rsidRPr="00942C19">
        <w:t>’s submission is provided in the Table 4-</w:t>
      </w:r>
      <w:r w:rsidR="00D92393" w:rsidRPr="00942C19">
        <w:t>31</w:t>
      </w:r>
      <w:r w:rsidRPr="00942C19">
        <w:t xml:space="preserve"> given below:</w:t>
      </w:r>
    </w:p>
    <w:p w:rsidR="00222C32" w:rsidRPr="00942C19" w:rsidRDefault="00222C32" w:rsidP="00222C32">
      <w:pPr>
        <w:jc w:val="center"/>
        <w:rPr>
          <w:rFonts w:asciiTheme="minorHAnsi" w:hAnsiTheme="minorHAnsi" w:cstheme="minorHAnsi"/>
          <w:b/>
          <w:bCs/>
        </w:rPr>
      </w:pPr>
      <w:bookmarkStart w:id="606" w:name="_Toc357719725"/>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31</w:t>
      </w:r>
      <w:r w:rsidR="000C642E" w:rsidRPr="00942C19">
        <w:rPr>
          <w:b/>
        </w:rPr>
        <w:fldChar w:fldCharType="end"/>
      </w:r>
      <w:r w:rsidRPr="00942C19">
        <w:rPr>
          <w:b/>
        </w:rPr>
        <w:t xml:space="preserve">: </w:t>
      </w:r>
      <w:r w:rsidRPr="00942C19">
        <w:rPr>
          <w:rFonts w:asciiTheme="minorHAnsi" w:hAnsiTheme="minorHAnsi" w:cstheme="minorHAnsi"/>
          <w:b/>
          <w:bCs/>
        </w:rPr>
        <w:t>POWER PURCHASE COST: OTHER SOURCES FY 2013-14 - PETITION</w:t>
      </w:r>
      <w:bookmarkEnd w:id="606"/>
    </w:p>
    <w:tbl>
      <w:tblPr>
        <w:tblW w:w="49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500"/>
        <w:gridCol w:w="748"/>
        <w:gridCol w:w="799"/>
        <w:gridCol w:w="830"/>
        <w:gridCol w:w="799"/>
        <w:gridCol w:w="1123"/>
        <w:gridCol w:w="799"/>
        <w:gridCol w:w="1128"/>
        <w:gridCol w:w="1090"/>
      </w:tblGrid>
      <w:tr w:rsidR="00F834B0" w:rsidRPr="00942C19" w:rsidTr="00F834B0">
        <w:trPr>
          <w:trHeight w:val="239"/>
        </w:trPr>
        <w:tc>
          <w:tcPr>
            <w:tcW w:w="851"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424"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23"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1090"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1093"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F834B0" w:rsidRPr="00942C19" w:rsidTr="00F834B0">
        <w:trPr>
          <w:trHeight w:val="247"/>
        </w:trPr>
        <w:tc>
          <w:tcPr>
            <w:tcW w:w="851" w:type="pct"/>
            <w:vMerge/>
            <w:vAlign w:val="center"/>
            <w:hideMark/>
          </w:tcPr>
          <w:p w:rsidR="00F834B0" w:rsidRPr="00942C19"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71"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37"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40"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F834B0" w:rsidRPr="00942C19" w:rsidTr="00F834B0">
        <w:trPr>
          <w:trHeight w:val="286"/>
        </w:trPr>
        <w:tc>
          <w:tcPr>
            <w:tcW w:w="851" w:type="pct"/>
            <w:shd w:val="clear" w:color="auto" w:fill="auto"/>
            <w:hideMark/>
          </w:tcPr>
          <w:p w:rsidR="00F834B0" w:rsidRPr="00942C19" w:rsidRDefault="00F834B0" w:rsidP="00076A30">
            <w:pPr>
              <w:spacing w:before="0" w:line="240" w:lineRule="auto"/>
              <w:jc w:val="left"/>
              <w:rPr>
                <w:rFonts w:cs="Calibri"/>
                <w:sz w:val="22"/>
                <w:szCs w:val="22"/>
                <w:lang w:val="en-IN" w:eastAsia="en-IN"/>
              </w:rPr>
            </w:pPr>
            <w:r w:rsidRPr="00942C19">
              <w:rPr>
                <w:rFonts w:cs="Calibri"/>
                <w:sz w:val="22"/>
                <w:szCs w:val="22"/>
                <w:lang w:val="en-IN" w:eastAsia="en-IN"/>
              </w:rPr>
              <w:t>Inter system exchange (Bilateral &amp; PXIL) / UI</w:t>
            </w:r>
          </w:p>
        </w:tc>
        <w:tc>
          <w:tcPr>
            <w:tcW w:w="424"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6214</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71"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5.04</w:t>
            </w:r>
          </w:p>
        </w:tc>
        <w:tc>
          <w:tcPr>
            <w:tcW w:w="637"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3,132.06</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5.04</w:t>
            </w:r>
          </w:p>
        </w:tc>
        <w:tc>
          <w:tcPr>
            <w:tcW w:w="640"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3,132.06</w:t>
            </w:r>
          </w:p>
        </w:tc>
        <w:tc>
          <w:tcPr>
            <w:tcW w:w="618"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5.04</w:t>
            </w:r>
          </w:p>
        </w:tc>
      </w:tr>
      <w:tr w:rsidR="00F834B0" w:rsidRPr="00942C19" w:rsidTr="00F834B0">
        <w:trPr>
          <w:trHeight w:val="314"/>
        </w:trPr>
        <w:tc>
          <w:tcPr>
            <w:tcW w:w="851" w:type="pct"/>
            <w:shd w:val="clear" w:color="auto" w:fill="auto"/>
            <w:noWrap/>
            <w:hideMark/>
          </w:tcPr>
          <w:p w:rsidR="00F834B0" w:rsidRPr="00942C19" w:rsidRDefault="00F834B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424"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6214</w:t>
            </w:r>
          </w:p>
        </w:tc>
        <w:tc>
          <w:tcPr>
            <w:tcW w:w="453"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71"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637"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3,132.06</w:t>
            </w:r>
          </w:p>
        </w:tc>
        <w:tc>
          <w:tcPr>
            <w:tcW w:w="618"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5.04</w:t>
            </w:r>
          </w:p>
        </w:tc>
      </w:tr>
    </w:tbl>
    <w:p w:rsidR="00A44CA7" w:rsidRPr="00942C19" w:rsidRDefault="00A44CA7">
      <w:pPr>
        <w:rPr>
          <w:szCs w:val="20"/>
        </w:rPr>
      </w:pPr>
    </w:p>
    <w:p w:rsidR="00222C32" w:rsidRPr="00942C19" w:rsidRDefault="00222C32" w:rsidP="00222C32">
      <w:pPr>
        <w:pStyle w:val="Caption"/>
        <w:keepNext/>
        <w:jc w:val="center"/>
      </w:pPr>
      <w:bookmarkStart w:id="607" w:name="_Toc357719726"/>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32</w:t>
      </w:r>
      <w:r w:rsidR="000C642E" w:rsidRPr="00942C19">
        <w:fldChar w:fldCharType="end"/>
      </w:r>
      <w:r w:rsidRPr="00942C19">
        <w:t xml:space="preserve">: </w:t>
      </w:r>
      <w:r w:rsidRPr="00942C19">
        <w:rPr>
          <w:rFonts w:asciiTheme="minorHAnsi" w:hAnsiTheme="minorHAnsi" w:cstheme="minorHAnsi"/>
          <w:szCs w:val="24"/>
        </w:rPr>
        <w:t>APPROVED COST OF POWER PURCHASE: OTHER SOURCES FY 2013-14</w:t>
      </w:r>
      <w:bookmarkEnd w:id="607"/>
    </w:p>
    <w:tbl>
      <w:tblPr>
        <w:tblW w:w="494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94"/>
        <w:gridCol w:w="745"/>
        <w:gridCol w:w="795"/>
        <w:gridCol w:w="825"/>
        <w:gridCol w:w="795"/>
        <w:gridCol w:w="1124"/>
        <w:gridCol w:w="795"/>
        <w:gridCol w:w="1124"/>
        <w:gridCol w:w="1083"/>
      </w:tblGrid>
      <w:tr w:rsidR="00F834B0" w:rsidRPr="00942C19" w:rsidTr="00F834B0">
        <w:trPr>
          <w:trHeight w:val="344"/>
        </w:trPr>
        <w:tc>
          <w:tcPr>
            <w:tcW w:w="850"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Source of Power</w:t>
            </w:r>
          </w:p>
        </w:tc>
        <w:tc>
          <w:tcPr>
            <w:tcW w:w="424" w:type="pct"/>
            <w:vMerge w:val="restar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MU</w:t>
            </w:r>
          </w:p>
        </w:tc>
        <w:tc>
          <w:tcPr>
            <w:tcW w:w="923"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Fixed Cost</w:t>
            </w:r>
          </w:p>
        </w:tc>
        <w:tc>
          <w:tcPr>
            <w:tcW w:w="1092"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Variable Cost</w:t>
            </w:r>
          </w:p>
        </w:tc>
        <w:tc>
          <w:tcPr>
            <w:tcW w:w="1093" w:type="pct"/>
            <w:gridSpan w:val="2"/>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Total Cost</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Average Cost</w:t>
            </w:r>
          </w:p>
        </w:tc>
      </w:tr>
      <w:tr w:rsidR="00F834B0" w:rsidRPr="00942C19" w:rsidTr="00F834B0">
        <w:trPr>
          <w:trHeight w:val="86"/>
        </w:trPr>
        <w:tc>
          <w:tcPr>
            <w:tcW w:w="850" w:type="pct"/>
            <w:vMerge/>
            <w:vAlign w:val="center"/>
            <w:hideMark/>
          </w:tcPr>
          <w:p w:rsidR="00F834B0" w:rsidRPr="00942C19"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470"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40"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453"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c>
          <w:tcPr>
            <w:tcW w:w="640"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Cr.)</w:t>
            </w:r>
          </w:p>
        </w:tc>
        <w:tc>
          <w:tcPr>
            <w:tcW w:w="618" w:type="pct"/>
            <w:shd w:val="clear" w:color="000000" w:fill="DBE5F1"/>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(Rs. / kWh)</w:t>
            </w:r>
          </w:p>
        </w:tc>
      </w:tr>
      <w:tr w:rsidR="00F834B0" w:rsidRPr="00942C19" w:rsidTr="00F834B0">
        <w:trPr>
          <w:trHeight w:val="537"/>
        </w:trPr>
        <w:tc>
          <w:tcPr>
            <w:tcW w:w="850" w:type="pct"/>
            <w:shd w:val="clear" w:color="auto" w:fill="auto"/>
            <w:hideMark/>
          </w:tcPr>
          <w:p w:rsidR="00F834B0" w:rsidRPr="00942C19" w:rsidRDefault="00F834B0" w:rsidP="00076A30">
            <w:pPr>
              <w:spacing w:before="0" w:line="240" w:lineRule="auto"/>
              <w:jc w:val="left"/>
              <w:rPr>
                <w:rFonts w:cs="Calibri"/>
                <w:sz w:val="22"/>
                <w:szCs w:val="22"/>
                <w:lang w:val="en-IN" w:eastAsia="en-IN"/>
              </w:rPr>
            </w:pPr>
            <w:r w:rsidRPr="00942C19">
              <w:rPr>
                <w:rFonts w:cs="Calibri"/>
                <w:sz w:val="22"/>
                <w:szCs w:val="22"/>
                <w:lang w:val="en-IN" w:eastAsia="en-IN"/>
              </w:rPr>
              <w:t>Inter system exchange (Bilateral &amp; PXIL) / UI</w:t>
            </w:r>
          </w:p>
        </w:tc>
        <w:tc>
          <w:tcPr>
            <w:tcW w:w="424"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5627</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70"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5.04</w:t>
            </w:r>
          </w:p>
        </w:tc>
        <w:tc>
          <w:tcPr>
            <w:tcW w:w="640"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2,836.09</w:t>
            </w:r>
          </w:p>
        </w:tc>
        <w:tc>
          <w:tcPr>
            <w:tcW w:w="453"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5.04</w:t>
            </w:r>
          </w:p>
        </w:tc>
        <w:tc>
          <w:tcPr>
            <w:tcW w:w="640"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2,836.09</w:t>
            </w:r>
          </w:p>
        </w:tc>
        <w:tc>
          <w:tcPr>
            <w:tcW w:w="618" w:type="pct"/>
            <w:shd w:val="clear" w:color="auto" w:fill="auto"/>
            <w:vAlign w:val="center"/>
            <w:hideMark/>
          </w:tcPr>
          <w:p w:rsidR="00F834B0" w:rsidRPr="00942C19" w:rsidRDefault="00F834B0" w:rsidP="00076A30">
            <w:pPr>
              <w:spacing w:before="0" w:line="240" w:lineRule="auto"/>
              <w:jc w:val="center"/>
              <w:rPr>
                <w:rFonts w:cs="Calibri"/>
                <w:sz w:val="22"/>
                <w:szCs w:val="22"/>
                <w:lang w:val="en-IN" w:eastAsia="en-IN"/>
              </w:rPr>
            </w:pPr>
            <w:r w:rsidRPr="00942C19">
              <w:rPr>
                <w:rFonts w:cs="Calibri"/>
                <w:sz w:val="22"/>
                <w:szCs w:val="22"/>
                <w:lang w:val="en-IN" w:eastAsia="en-IN"/>
              </w:rPr>
              <w:t>5.04</w:t>
            </w:r>
          </w:p>
        </w:tc>
      </w:tr>
      <w:tr w:rsidR="00F834B0" w:rsidRPr="00942C19" w:rsidTr="00F834B0">
        <w:trPr>
          <w:trHeight w:val="312"/>
        </w:trPr>
        <w:tc>
          <w:tcPr>
            <w:tcW w:w="850" w:type="pct"/>
            <w:shd w:val="clear" w:color="auto" w:fill="auto"/>
            <w:noWrap/>
            <w:hideMark/>
          </w:tcPr>
          <w:p w:rsidR="00F834B0" w:rsidRPr="00942C19" w:rsidRDefault="00F834B0" w:rsidP="00076A30">
            <w:pPr>
              <w:spacing w:before="0" w:line="240" w:lineRule="auto"/>
              <w:jc w:val="left"/>
              <w:rPr>
                <w:rFonts w:cs="Calibri"/>
                <w:b/>
                <w:bCs/>
                <w:sz w:val="22"/>
                <w:szCs w:val="22"/>
                <w:lang w:val="en-IN" w:eastAsia="en-IN"/>
              </w:rPr>
            </w:pPr>
            <w:r w:rsidRPr="00942C19">
              <w:rPr>
                <w:rFonts w:cs="Calibri"/>
                <w:b/>
                <w:bCs/>
                <w:sz w:val="22"/>
                <w:szCs w:val="22"/>
                <w:lang w:val="en-IN" w:eastAsia="en-IN"/>
              </w:rPr>
              <w:t>Total</w:t>
            </w:r>
          </w:p>
        </w:tc>
        <w:tc>
          <w:tcPr>
            <w:tcW w:w="424"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5627</w:t>
            </w:r>
          </w:p>
        </w:tc>
        <w:tc>
          <w:tcPr>
            <w:tcW w:w="453"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70"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2,836.09</w:t>
            </w:r>
          </w:p>
        </w:tc>
        <w:tc>
          <w:tcPr>
            <w:tcW w:w="453"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2,836.09</w:t>
            </w:r>
          </w:p>
        </w:tc>
        <w:tc>
          <w:tcPr>
            <w:tcW w:w="618" w:type="pct"/>
            <w:shd w:val="clear" w:color="auto" w:fill="auto"/>
            <w:vAlign w:val="center"/>
            <w:hideMark/>
          </w:tcPr>
          <w:p w:rsidR="00F834B0" w:rsidRPr="00942C19" w:rsidRDefault="00F834B0" w:rsidP="00076A30">
            <w:pPr>
              <w:spacing w:before="0" w:line="240" w:lineRule="auto"/>
              <w:jc w:val="center"/>
              <w:rPr>
                <w:rFonts w:cs="Calibri"/>
                <w:b/>
                <w:bCs/>
                <w:sz w:val="22"/>
                <w:szCs w:val="22"/>
                <w:lang w:val="en-IN" w:eastAsia="en-IN"/>
              </w:rPr>
            </w:pPr>
            <w:r w:rsidRPr="00942C19">
              <w:rPr>
                <w:rFonts w:cs="Calibri"/>
                <w:b/>
                <w:bCs/>
                <w:sz w:val="22"/>
                <w:szCs w:val="22"/>
                <w:lang w:val="en-IN" w:eastAsia="en-IN"/>
              </w:rPr>
              <w:t>5.04</w:t>
            </w:r>
          </w:p>
        </w:tc>
      </w:tr>
    </w:tbl>
    <w:p w:rsidR="00A44CA7" w:rsidRPr="00942C19" w:rsidRDefault="00A44CA7">
      <w:pPr>
        <w:pStyle w:val="Heading4"/>
        <w:numPr>
          <w:ilvl w:val="0"/>
          <w:numId w:val="0"/>
        </w:numPr>
        <w:spacing w:before="0"/>
        <w:ind w:left="864"/>
      </w:pPr>
    </w:p>
    <w:p w:rsidR="00222C32" w:rsidRPr="00942C19" w:rsidRDefault="00222C32" w:rsidP="00D05C4B">
      <w:pPr>
        <w:pStyle w:val="Heading4"/>
      </w:pPr>
      <w:r w:rsidRPr="00942C19">
        <w:t xml:space="preserve">The Commission has run </w:t>
      </w:r>
      <w:r w:rsidR="00D92393" w:rsidRPr="00942C19">
        <w:t>M</w:t>
      </w:r>
      <w:r w:rsidRPr="00942C19">
        <w:t xml:space="preserve">erit </w:t>
      </w:r>
      <w:r w:rsidR="00D92393" w:rsidRPr="00942C19">
        <w:t>O</w:t>
      </w:r>
      <w:r w:rsidRPr="00942C19">
        <w:t xml:space="preserve">rder </w:t>
      </w:r>
      <w:r w:rsidR="00C8350E" w:rsidRPr="00942C19">
        <w:t>Dispatch</w:t>
      </w:r>
      <w:r w:rsidRPr="00942C19">
        <w:t xml:space="preserve"> considering all possible sources and accordingly approves power purchase from other sources (emergency purchases) at 5,627 MUs. The Commission has assessed the rate for Power purchase from other</w:t>
      </w:r>
      <w:r w:rsidR="00700278" w:rsidRPr="00942C19">
        <w:t xml:space="preserve"> </w:t>
      </w:r>
      <w:r w:rsidRPr="00942C19">
        <w:t xml:space="preserve">/ emergency sources as Rs. 5.04 / kWh for FY 2013-14. In </w:t>
      </w:r>
      <w:r w:rsidR="00D92393" w:rsidRPr="00942C19">
        <w:t>accordance</w:t>
      </w:r>
      <w:r w:rsidRPr="00942C19">
        <w:t xml:space="preserve"> with Clause 4.2.8 of the Distribution Tariff Regulations, the Commission hereby approves a maximum ceiling rate of Rs. 5.04 / kWh towards power purchase cost for FY 2013-14.</w:t>
      </w:r>
    </w:p>
    <w:p w:rsidR="00A44CA7" w:rsidRPr="00942C19" w:rsidRDefault="00A44CA7">
      <w:pPr>
        <w:tabs>
          <w:tab w:val="left" w:pos="360"/>
        </w:tabs>
        <w:spacing w:before="0"/>
      </w:pPr>
    </w:p>
    <w:p w:rsidR="00222C32" w:rsidRPr="00942C19" w:rsidRDefault="00222C32" w:rsidP="00D05C4B">
      <w:pPr>
        <w:pStyle w:val="Heading4"/>
      </w:pPr>
      <w:r w:rsidRPr="00942C19">
        <w:t xml:space="preserve">Considering that Distribution </w:t>
      </w:r>
      <w:r w:rsidR="009A3804" w:rsidRPr="00942C19">
        <w:t>Licensee</w:t>
      </w:r>
      <w:r w:rsidRPr="00942C19">
        <w:t xml:space="preserve"> may need to buy power in exigency to meet immediate and urgent power delivery, the Commission would also like to mention that any quantum of power purchased </w:t>
      </w:r>
      <w:r w:rsidR="00D92393" w:rsidRPr="00942C19">
        <w:t xml:space="preserve">from </w:t>
      </w:r>
      <w:r w:rsidRPr="00942C19">
        <w:t>emergency / other sources should be procured only through bilateral sources / power exchanges or through competitive bidding route to the extent possible.</w:t>
      </w:r>
    </w:p>
    <w:p w:rsidR="00222C32" w:rsidRPr="00942C19" w:rsidRDefault="00222C32" w:rsidP="00222C32">
      <w:pPr>
        <w:spacing w:line="240" w:lineRule="auto"/>
        <w:rPr>
          <w:sz w:val="23"/>
          <w:szCs w:val="23"/>
        </w:rPr>
      </w:pPr>
    </w:p>
    <w:p w:rsidR="00222C32" w:rsidRPr="00942C19" w:rsidRDefault="00222C32" w:rsidP="00D05C4B">
      <w:pPr>
        <w:pStyle w:val="Heading4"/>
      </w:pPr>
      <w:r w:rsidRPr="00942C19">
        <w:t xml:space="preserve">The Commission in </w:t>
      </w:r>
      <w:r w:rsidR="00D92393" w:rsidRPr="00942C19">
        <w:t xml:space="preserve">Clause 4.2(11) of the </w:t>
      </w:r>
      <w:r w:rsidRPr="00942C19">
        <w:t xml:space="preserve">Distribution Tariff </w:t>
      </w:r>
      <w:r w:rsidR="00D31494" w:rsidRPr="00942C19">
        <w:t>Regulations</w:t>
      </w:r>
      <w:r w:rsidRPr="00942C19">
        <w:t xml:space="preserve"> has provided that in the regime of Availability Based Tariff (ABT), the cost of power purchase through UI shall be allowed to be passed through in tariff of the subsequent year subject to the following conditions: </w:t>
      </w:r>
    </w:p>
    <w:p w:rsidR="00222C32" w:rsidRPr="00942C19" w:rsidRDefault="00222C32" w:rsidP="00222C32">
      <w:pPr>
        <w:tabs>
          <w:tab w:val="left" w:pos="360"/>
        </w:tabs>
        <w:ind w:left="720"/>
        <w:rPr>
          <w:i/>
        </w:rPr>
      </w:pPr>
      <w:r w:rsidRPr="00942C19">
        <w:rPr>
          <w:i/>
        </w:rPr>
        <w:t xml:space="preserve">“a) The average rate for power purchased through UI should not exceed the maximum rate for power purchased under the Merit Order of the </w:t>
      </w:r>
      <w:r w:rsidR="009A3804" w:rsidRPr="00942C19">
        <w:rPr>
          <w:i/>
        </w:rPr>
        <w:t>Licensee</w:t>
      </w:r>
      <w:r w:rsidRPr="00942C19">
        <w:rPr>
          <w:i/>
        </w:rPr>
        <w:t xml:space="preserve"> as approved by the Commission. </w:t>
      </w:r>
    </w:p>
    <w:p w:rsidR="00222C32" w:rsidRPr="00942C19" w:rsidRDefault="00222C32" w:rsidP="00222C32">
      <w:pPr>
        <w:tabs>
          <w:tab w:val="left" w:pos="360"/>
        </w:tabs>
        <w:ind w:left="720"/>
        <w:rPr>
          <w:i/>
        </w:rPr>
      </w:pPr>
      <w:r w:rsidRPr="00942C19">
        <w:rPr>
          <w:i/>
        </w:rPr>
        <w:t>b) The total cost of electricity units purchased through UI shall be restricted to 10% of total power purchase cost approved by the Commission.</w:t>
      </w:r>
    </w:p>
    <w:p w:rsidR="00222C32" w:rsidRPr="00942C19" w:rsidRDefault="00222C32" w:rsidP="00222C32">
      <w:pPr>
        <w:tabs>
          <w:tab w:val="left" w:pos="360"/>
        </w:tabs>
        <w:ind w:left="720"/>
        <w:rPr>
          <w:i/>
        </w:rPr>
      </w:pPr>
      <w:r w:rsidRPr="00942C19">
        <w:rPr>
          <w:i/>
        </w:rPr>
        <w:t xml:space="preserve">Provided that where the average rate for power purchased under UI exceeds the maximum specified rate of power purchase under the Merit Order of the </w:t>
      </w:r>
      <w:r w:rsidR="009A3804" w:rsidRPr="00942C19">
        <w:rPr>
          <w:i/>
        </w:rPr>
        <w:t>Licensee</w:t>
      </w:r>
      <w:r w:rsidRPr="00942C19">
        <w:rPr>
          <w:i/>
        </w:rPr>
        <w:t xml:space="preserve">, the cost of such power purchase shall be allowed to be passed through in tariffs of the subsequent year at the maximum rate for power purchase under the Merit Order of the </w:t>
      </w:r>
      <w:r w:rsidR="009A3804" w:rsidRPr="00942C19">
        <w:rPr>
          <w:i/>
        </w:rPr>
        <w:t>Licensee</w:t>
      </w:r>
      <w:r w:rsidRPr="00942C19">
        <w:rPr>
          <w:i/>
        </w:rPr>
        <w:t xml:space="preserve"> as approved by the Commission whether the ceiling limit of 10% as stated in 11 (b) above has reached or not.”</w:t>
      </w:r>
    </w:p>
    <w:p w:rsidR="00A44CA7" w:rsidRPr="00942C19" w:rsidRDefault="00A44CA7">
      <w:pPr>
        <w:spacing w:before="0" w:line="240" w:lineRule="auto"/>
        <w:rPr>
          <w:sz w:val="23"/>
          <w:szCs w:val="23"/>
        </w:rPr>
      </w:pPr>
    </w:p>
    <w:p w:rsidR="00222C32" w:rsidRPr="00942C19" w:rsidRDefault="00D92393" w:rsidP="00D05C4B">
      <w:pPr>
        <w:pStyle w:val="Heading4"/>
      </w:pPr>
      <w:r w:rsidRPr="00942C19">
        <w:t xml:space="preserve">The </w:t>
      </w:r>
      <w:r w:rsidR="00222C32" w:rsidRPr="00942C19">
        <w:t xml:space="preserve">Commission understands that the UI mechanism is meant for the purpose of disciplining the grid operations and is not to be treated as a regular source for power purchase. Hence the Commission reiterates that the </w:t>
      </w:r>
      <w:r w:rsidR="009A3804" w:rsidRPr="00942C19">
        <w:t>Licensee</w:t>
      </w:r>
      <w:r w:rsidR="00222C32" w:rsidRPr="00942C19">
        <w:t xml:space="preserve"> should take due care while overdrawing power from the grid (if any); especially when the UI rates are high. The Commission would also like to caution the </w:t>
      </w:r>
      <w:r w:rsidR="009A3804" w:rsidRPr="00942C19">
        <w:t>Licensee</w:t>
      </w:r>
      <w:r w:rsidR="00222C32" w:rsidRPr="00942C19">
        <w:t xml:space="preserve"> here that this issue would be dealt with at the time of true-up and at that time any power purchases undertaken in contravention to the provisions of the Distribution Tariff Regulations would be disallowed and the </w:t>
      </w:r>
      <w:r w:rsidR="009A3804" w:rsidRPr="00942C19">
        <w:t>Licensee</w:t>
      </w:r>
      <w:r w:rsidR="00222C32" w:rsidRPr="00942C19">
        <w:t xml:space="preserve"> would have to bear the cost for the same.</w:t>
      </w:r>
    </w:p>
    <w:p w:rsidR="00A44CA7" w:rsidRPr="00942C19" w:rsidRDefault="00A44CA7">
      <w:pPr>
        <w:spacing w:before="0" w:line="240" w:lineRule="auto"/>
        <w:rPr>
          <w:sz w:val="23"/>
          <w:szCs w:val="23"/>
        </w:rPr>
      </w:pPr>
    </w:p>
    <w:p w:rsidR="00222C32" w:rsidRPr="00942C19" w:rsidRDefault="00222C32" w:rsidP="00D05C4B">
      <w:pPr>
        <w:pStyle w:val="Heading4"/>
      </w:pPr>
      <w:r w:rsidRPr="00942C19">
        <w:t xml:space="preserve">Further, the Commission would like to reiterate that the </w:t>
      </w:r>
      <w:r w:rsidR="009A3804" w:rsidRPr="00942C19">
        <w:t>Licensee</w:t>
      </w:r>
      <w:r w:rsidRPr="00942C19">
        <w:t xml:space="preserve"> should assess the demand supply position in the state in advance and make its best endeavour to enter into bilateral contracts with generators / traders for meeting the envisaged demand supply gap. This would enable them to optimise on the power purchase expenses.</w:t>
      </w:r>
    </w:p>
    <w:p w:rsidR="00A44CA7" w:rsidRPr="00942C19" w:rsidRDefault="00A44CA7">
      <w:pPr>
        <w:tabs>
          <w:tab w:val="left" w:pos="360"/>
        </w:tabs>
        <w:spacing w:before="0"/>
      </w:pPr>
    </w:p>
    <w:p w:rsidR="00222C32" w:rsidRPr="00942C19" w:rsidRDefault="00222C32" w:rsidP="00D05C4B">
      <w:pPr>
        <w:pStyle w:val="Heading4"/>
      </w:pPr>
      <w:r w:rsidRPr="00942C19">
        <w:t xml:space="preserve">The </w:t>
      </w:r>
      <w:r w:rsidR="00D92393" w:rsidRPr="00942C19">
        <w:t>L</w:t>
      </w:r>
      <w:r w:rsidR="009A3804" w:rsidRPr="00942C19">
        <w:t>icensee</w:t>
      </w:r>
      <w:r w:rsidRPr="00942C19">
        <w:t xml:space="preserve"> </w:t>
      </w:r>
      <w:r w:rsidR="00D92393" w:rsidRPr="00942C19">
        <w:t xml:space="preserve">needs </w:t>
      </w:r>
      <w:r w:rsidRPr="00942C19">
        <w:t xml:space="preserve">to adopt a transparent procedure based on competitive bidding for procuring power on short term basis. </w:t>
      </w:r>
    </w:p>
    <w:p w:rsidR="00A44CA7" w:rsidRPr="00942C19" w:rsidRDefault="00A44CA7">
      <w:pPr>
        <w:tabs>
          <w:tab w:val="left" w:pos="360"/>
        </w:tabs>
        <w:spacing w:before="0"/>
      </w:pPr>
    </w:p>
    <w:p w:rsidR="00A44CA7" w:rsidRPr="00942C19" w:rsidRDefault="00A44CA7">
      <w:pPr>
        <w:tabs>
          <w:tab w:val="left" w:pos="360"/>
        </w:tabs>
        <w:spacing w:before="0"/>
      </w:pPr>
    </w:p>
    <w:p w:rsidR="00D47B3B" w:rsidRPr="00942C19" w:rsidRDefault="00222C32">
      <w:pPr>
        <w:pStyle w:val="Heading2"/>
        <w:keepNext/>
        <w:numPr>
          <w:ilvl w:val="1"/>
          <w:numId w:val="1"/>
        </w:numPr>
        <w:autoSpaceDE/>
        <w:autoSpaceDN/>
        <w:adjustRightInd/>
        <w:spacing w:before="0" w:line="276" w:lineRule="auto"/>
        <w:contextualSpacing w:val="0"/>
      </w:pPr>
      <w:bookmarkStart w:id="608" w:name="_Toc356322592"/>
      <w:bookmarkStart w:id="609" w:name="_Toc357714397"/>
      <w:r w:rsidRPr="00942C19">
        <w:t>FUEL &amp; POWER PURCHASE COST ADJUSTMENT SURCHARGE</w:t>
      </w:r>
      <w:bookmarkEnd w:id="608"/>
      <w:bookmarkEnd w:id="609"/>
    </w:p>
    <w:p w:rsidR="00A44CA7" w:rsidRPr="00942C19" w:rsidRDefault="00A44CA7">
      <w:pPr>
        <w:spacing w:before="0"/>
      </w:pPr>
      <w:bookmarkStart w:id="610" w:name="_Toc336619695"/>
    </w:p>
    <w:p w:rsidR="00222C32" w:rsidRPr="00942C19" w:rsidRDefault="00785E17" w:rsidP="00327FDD">
      <w:pPr>
        <w:pStyle w:val="Heading3"/>
        <w:numPr>
          <w:ilvl w:val="2"/>
          <w:numId w:val="1"/>
        </w:numPr>
      </w:pPr>
      <w:bookmarkStart w:id="611" w:name="_Toc357349067"/>
      <w:bookmarkStart w:id="612" w:name="_Toc357356120"/>
      <w:r w:rsidRPr="00942C19">
        <w:t xml:space="preserve">For the purpose of Fuel &amp; Power Purchase Cost Adjustment (FPPCA) as provided in Regulation 6.9 of the UPERC (Terms and Conditions of Determination of Distribution Tariff) Regulations, Amendment No. 3, 2012, the monthly approvals are provided in </w:t>
      </w:r>
      <w:bookmarkEnd w:id="610"/>
      <w:bookmarkEnd w:id="611"/>
      <w:r w:rsidR="00056C28" w:rsidRPr="00942C19">
        <w:t>Table 1</w:t>
      </w:r>
      <w:r w:rsidR="00112A2A" w:rsidRPr="00942C19">
        <w:t>0.6-1</w:t>
      </w:r>
      <w:bookmarkEnd w:id="612"/>
      <w:r w:rsidR="00112A2A" w:rsidRPr="00942C19">
        <w:t>.</w:t>
      </w:r>
    </w:p>
    <w:p w:rsidR="00112A2A" w:rsidRPr="00942C19" w:rsidRDefault="00112A2A" w:rsidP="00327FDD">
      <w:pPr>
        <w:pStyle w:val="Heading3"/>
        <w:numPr>
          <w:ilvl w:val="2"/>
          <w:numId w:val="1"/>
        </w:numPr>
      </w:pPr>
      <w:r w:rsidRPr="00942C19">
        <w:t>The Licensee is direct</w:t>
      </w:r>
      <w:r w:rsidR="00B272AD" w:rsidRPr="00942C19">
        <w:t>ed</w:t>
      </w:r>
      <w:r w:rsidRPr="00942C19">
        <w:t xml:space="preserve"> to file submissions in respect of FPPCA in a timely and regular manner as stipulated by the Regulations.</w:t>
      </w:r>
    </w:p>
    <w:p w:rsidR="00D05C4B" w:rsidRPr="00942C19" w:rsidRDefault="00D05C4B" w:rsidP="00D05C4B">
      <w:pPr>
        <w:pStyle w:val="Heading2"/>
        <w:keepNext/>
        <w:numPr>
          <w:ilvl w:val="0"/>
          <w:numId w:val="0"/>
        </w:numPr>
        <w:autoSpaceDE/>
        <w:autoSpaceDN/>
        <w:adjustRightInd/>
        <w:spacing w:before="0" w:line="276" w:lineRule="auto"/>
        <w:ind w:left="576"/>
        <w:contextualSpacing w:val="0"/>
      </w:pPr>
      <w:bookmarkStart w:id="613" w:name="_Toc325475523"/>
      <w:bookmarkStart w:id="614" w:name="_Toc356322593"/>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615" w:name="_Toc357714398"/>
      <w:r w:rsidRPr="00942C19">
        <w:t>SUMMARY OF POWER PURCHASE</w:t>
      </w:r>
      <w:bookmarkEnd w:id="613"/>
      <w:bookmarkEnd w:id="614"/>
      <w:bookmarkEnd w:id="615"/>
    </w:p>
    <w:p w:rsidR="00D05C4B" w:rsidRPr="00942C19" w:rsidRDefault="00D05C4B" w:rsidP="00D05C4B">
      <w:pPr>
        <w:pStyle w:val="Heading2"/>
        <w:keepNext/>
        <w:numPr>
          <w:ilvl w:val="0"/>
          <w:numId w:val="0"/>
        </w:numPr>
        <w:autoSpaceDE/>
        <w:autoSpaceDN/>
        <w:adjustRightInd/>
        <w:spacing w:before="0" w:line="276" w:lineRule="auto"/>
        <w:ind w:left="720"/>
        <w:contextualSpacing w:val="0"/>
        <w:rPr>
          <w:b w:val="0"/>
          <w:bCs w:val="0"/>
          <w:szCs w:val="20"/>
        </w:rPr>
      </w:pPr>
    </w:p>
    <w:p w:rsidR="00777CFB" w:rsidRPr="00942C19" w:rsidRDefault="00222C32" w:rsidP="00AB4841">
      <w:pPr>
        <w:pStyle w:val="Heading3"/>
        <w:numPr>
          <w:ilvl w:val="2"/>
          <w:numId w:val="1"/>
        </w:numPr>
      </w:pPr>
      <w:bookmarkStart w:id="616" w:name="_Toc357349069"/>
      <w:bookmarkStart w:id="617" w:name="_Toc357356122"/>
      <w:r w:rsidRPr="00942C19">
        <w:t xml:space="preserve">The total power purchase quantum available in </w:t>
      </w:r>
      <w:r w:rsidR="00D92393" w:rsidRPr="00942C19">
        <w:t>megawatt (MW)</w:t>
      </w:r>
      <w:r w:rsidRPr="00942C19">
        <w:t xml:space="preserve"> terms from State owned generating stations, </w:t>
      </w:r>
      <w:r w:rsidR="00D92393" w:rsidRPr="00942C19">
        <w:t xml:space="preserve">central generating stations </w:t>
      </w:r>
      <w:r w:rsidRPr="00942C19">
        <w:t xml:space="preserve">and other sources along with the quantum and cost approval as submitted by </w:t>
      </w:r>
      <w:r w:rsidR="009A3804" w:rsidRPr="00942C19">
        <w:t>Licensee</w:t>
      </w:r>
      <w:r w:rsidRPr="00942C19">
        <w:t xml:space="preserve"> and approved by Commission for FY 2013-14 is presented in </w:t>
      </w:r>
      <w:r w:rsidR="00777CFB" w:rsidRPr="00942C19">
        <w:t>the Table</w:t>
      </w:r>
      <w:r w:rsidR="00111E35" w:rsidRPr="00942C19">
        <w:t xml:space="preserve">s </w:t>
      </w:r>
      <w:r w:rsidR="00777CFB" w:rsidRPr="00942C19">
        <w:t>below</w:t>
      </w:r>
      <w:bookmarkStart w:id="618" w:name="_Ref322641287"/>
      <w:bookmarkStart w:id="619" w:name="_Toc325475683"/>
      <w:bookmarkStart w:id="620" w:name="_Toc338310698"/>
      <w:bookmarkStart w:id="621" w:name="_Toc338419528"/>
      <w:bookmarkEnd w:id="616"/>
      <w:r w:rsidR="00111E35" w:rsidRPr="00942C19">
        <w:t>:</w:t>
      </w:r>
      <w:bookmarkEnd w:id="617"/>
    </w:p>
    <w:p w:rsidR="00222C32" w:rsidRPr="00942C19" w:rsidRDefault="00222C32" w:rsidP="00222C32">
      <w:pPr>
        <w:pStyle w:val="Heading2"/>
        <w:keepNext/>
        <w:numPr>
          <w:ilvl w:val="2"/>
          <w:numId w:val="1"/>
        </w:numPr>
        <w:autoSpaceDE/>
        <w:autoSpaceDN/>
        <w:adjustRightInd/>
        <w:spacing w:before="0"/>
        <w:contextualSpacing w:val="0"/>
        <w:jc w:val="left"/>
        <w:rPr>
          <w:szCs w:val="20"/>
        </w:rPr>
      </w:pPr>
      <w:r w:rsidRPr="00942C19">
        <w:br w:type="page"/>
      </w:r>
    </w:p>
    <w:p w:rsidR="00222C32" w:rsidRPr="00942C19" w:rsidRDefault="00222C32" w:rsidP="00222C32">
      <w:pPr>
        <w:pStyle w:val="Caption"/>
        <w:keepNext/>
        <w:jc w:val="center"/>
      </w:pPr>
      <w:bookmarkStart w:id="622" w:name="_Toc357719727"/>
      <w:r w:rsidRPr="00942C19">
        <w:t xml:space="preserve">Table </w:t>
      </w:r>
      <w:r w:rsidR="000C642E" w:rsidRPr="00942C19">
        <w:rPr>
          <w:b w:val="0"/>
          <w:bCs w:val="0"/>
        </w:rPr>
        <w:fldChar w:fldCharType="begin"/>
      </w:r>
      <w:r w:rsidRPr="00942C19">
        <w:instrText xml:space="preserve"> STYLEREF 1 \s </w:instrText>
      </w:r>
      <w:r w:rsidR="000C642E" w:rsidRPr="00942C19">
        <w:rPr>
          <w:b w:val="0"/>
          <w:bCs w:val="0"/>
        </w:rPr>
        <w:fldChar w:fldCharType="separate"/>
      </w:r>
      <w:r w:rsidR="00984AA4" w:rsidRPr="00942C19">
        <w:rPr>
          <w:noProof/>
        </w:rPr>
        <w:t>4</w:t>
      </w:r>
      <w:r w:rsidR="000C642E" w:rsidRPr="00942C19">
        <w:rPr>
          <w:b w:val="0"/>
          <w:bCs w:val="0"/>
        </w:rPr>
        <w:fldChar w:fldCharType="end"/>
      </w:r>
      <w:r w:rsidRPr="00942C19">
        <w:noBreakHyphen/>
      </w:r>
      <w:r w:rsidR="000C642E" w:rsidRPr="00942C19">
        <w:rPr>
          <w:b w:val="0"/>
          <w:bCs w:val="0"/>
        </w:rPr>
        <w:fldChar w:fldCharType="begin"/>
      </w:r>
      <w:r w:rsidRPr="00942C19">
        <w:instrText xml:space="preserve"> SEQ Table \* ARABIC \s 1 </w:instrText>
      </w:r>
      <w:r w:rsidR="000C642E" w:rsidRPr="00942C19">
        <w:rPr>
          <w:b w:val="0"/>
          <w:bCs w:val="0"/>
        </w:rPr>
        <w:fldChar w:fldCharType="separate"/>
      </w:r>
      <w:r w:rsidR="00984AA4" w:rsidRPr="00942C19">
        <w:rPr>
          <w:noProof/>
        </w:rPr>
        <w:t>33</w:t>
      </w:r>
      <w:r w:rsidR="000C642E" w:rsidRPr="00942C19">
        <w:rPr>
          <w:b w:val="0"/>
          <w:bCs w:val="0"/>
        </w:rPr>
        <w:fldChar w:fldCharType="end"/>
      </w:r>
      <w:bookmarkEnd w:id="618"/>
      <w:r w:rsidRPr="00942C19">
        <w:t>: SUMMARY OF POWER PURCHASE COST FY 2013-14 - PETITION</w:t>
      </w:r>
      <w:bookmarkEnd w:id="619"/>
      <w:bookmarkEnd w:id="620"/>
      <w:bookmarkEnd w:id="621"/>
      <w:bookmarkEnd w:id="622"/>
    </w:p>
    <w:tbl>
      <w:tblPr>
        <w:tblW w:w="5743"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58"/>
        <w:gridCol w:w="1133"/>
        <w:gridCol w:w="847"/>
        <w:gridCol w:w="847"/>
        <w:gridCol w:w="988"/>
        <w:gridCol w:w="847"/>
        <w:gridCol w:w="1135"/>
        <w:gridCol w:w="723"/>
        <w:gridCol w:w="978"/>
        <w:gridCol w:w="849"/>
      </w:tblGrid>
      <w:tr w:rsidR="007C4D9D" w:rsidRPr="00942C19" w:rsidTr="007C4D9D">
        <w:trPr>
          <w:trHeight w:val="600"/>
          <w:tblHeader/>
        </w:trPr>
        <w:tc>
          <w:tcPr>
            <w:tcW w:w="911" w:type="pct"/>
            <w:vMerge w:val="restart"/>
            <w:shd w:val="clear" w:color="000000" w:fill="DBE5F1"/>
            <w:vAlign w:val="bottom"/>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Arial"/>
                <w:b/>
                <w:bCs/>
                <w:color w:val="000000"/>
                <w:sz w:val="22"/>
                <w:szCs w:val="22"/>
                <w:lang w:val="en-US" w:eastAsia="en-IN"/>
              </w:rPr>
              <w:t>Source of Power</w:t>
            </w:r>
          </w:p>
        </w:tc>
        <w:tc>
          <w:tcPr>
            <w:tcW w:w="555" w:type="pct"/>
            <w:vMerge w:val="restart"/>
            <w:shd w:val="clear" w:color="000000" w:fill="DBE5F1"/>
            <w:vAlign w:val="center"/>
            <w:hideMark/>
          </w:tcPr>
          <w:p w:rsidR="00A44CA7" w:rsidRPr="00942C19" w:rsidRDefault="00B54756">
            <w:pPr>
              <w:spacing w:before="0" w:line="240" w:lineRule="auto"/>
              <w:jc w:val="center"/>
              <w:rPr>
                <w:rFonts w:cs="Calibri"/>
                <w:b/>
                <w:bCs/>
                <w:color w:val="000000"/>
                <w:kern w:val="32"/>
                <w:sz w:val="22"/>
                <w:szCs w:val="22"/>
                <w:lang w:val="en-IN" w:eastAsia="en-IN"/>
              </w:rPr>
            </w:pPr>
            <w:r w:rsidRPr="00942C19">
              <w:rPr>
                <w:rFonts w:cs="Arial"/>
                <w:b/>
                <w:bCs/>
                <w:color w:val="000000"/>
                <w:sz w:val="22"/>
                <w:szCs w:val="22"/>
                <w:lang w:val="en-US" w:eastAsia="en-IN"/>
              </w:rPr>
              <w:t>MW Available</w:t>
            </w:r>
          </w:p>
        </w:tc>
        <w:tc>
          <w:tcPr>
            <w:tcW w:w="415" w:type="pct"/>
            <w:vMerge w:val="restart"/>
            <w:shd w:val="clear" w:color="000000" w:fill="DBE5F1"/>
            <w:vAlign w:val="center"/>
            <w:hideMark/>
          </w:tcPr>
          <w:p w:rsidR="00A44CA7" w:rsidRPr="00942C19" w:rsidRDefault="00B54756">
            <w:pPr>
              <w:spacing w:before="0" w:line="240" w:lineRule="auto"/>
              <w:jc w:val="center"/>
              <w:rPr>
                <w:rFonts w:cs="Calibri"/>
                <w:b/>
                <w:bCs/>
                <w:color w:val="000000"/>
                <w:kern w:val="32"/>
                <w:sz w:val="22"/>
                <w:szCs w:val="22"/>
                <w:lang w:val="en-IN" w:eastAsia="en-IN"/>
              </w:rPr>
            </w:pPr>
            <w:r w:rsidRPr="00942C19">
              <w:rPr>
                <w:rFonts w:cs="Arial"/>
                <w:b/>
                <w:bCs/>
                <w:color w:val="000000"/>
                <w:sz w:val="22"/>
                <w:szCs w:val="22"/>
                <w:lang w:val="en-US" w:eastAsia="en-IN"/>
              </w:rPr>
              <w:t>MU</w:t>
            </w:r>
          </w:p>
        </w:tc>
        <w:tc>
          <w:tcPr>
            <w:tcW w:w="899" w:type="pct"/>
            <w:gridSpan w:val="2"/>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Fixed Cost</w:t>
            </w:r>
          </w:p>
        </w:tc>
        <w:tc>
          <w:tcPr>
            <w:tcW w:w="971" w:type="pct"/>
            <w:gridSpan w:val="2"/>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Variable Cost</w:t>
            </w:r>
          </w:p>
        </w:tc>
        <w:tc>
          <w:tcPr>
            <w:tcW w:w="833" w:type="pct"/>
            <w:gridSpan w:val="2"/>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Total Cost</w:t>
            </w:r>
          </w:p>
        </w:tc>
        <w:tc>
          <w:tcPr>
            <w:tcW w:w="416" w:type="pct"/>
            <w:shd w:val="clear" w:color="000000" w:fill="DBE5F1"/>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Avg Cost</w:t>
            </w:r>
          </w:p>
        </w:tc>
      </w:tr>
      <w:tr w:rsidR="007C4D9D" w:rsidRPr="00942C19" w:rsidTr="007C4D9D">
        <w:trPr>
          <w:trHeight w:val="600"/>
          <w:tblHeader/>
        </w:trPr>
        <w:tc>
          <w:tcPr>
            <w:tcW w:w="911" w:type="pct"/>
            <w:vMerge/>
            <w:vAlign w:val="center"/>
            <w:hideMark/>
          </w:tcPr>
          <w:p w:rsidR="00B54756" w:rsidRPr="00942C19" w:rsidRDefault="00B54756" w:rsidP="00B54756">
            <w:pPr>
              <w:spacing w:before="0" w:line="240" w:lineRule="auto"/>
              <w:jc w:val="left"/>
              <w:rPr>
                <w:rFonts w:cs="Calibri"/>
                <w:b/>
                <w:bCs/>
                <w:color w:val="000000"/>
                <w:sz w:val="22"/>
                <w:szCs w:val="22"/>
                <w:lang w:val="en-IN" w:eastAsia="en-IN"/>
              </w:rPr>
            </w:pPr>
          </w:p>
        </w:tc>
        <w:tc>
          <w:tcPr>
            <w:tcW w:w="555" w:type="pct"/>
            <w:vMerge/>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p>
        </w:tc>
        <w:tc>
          <w:tcPr>
            <w:tcW w:w="415" w:type="pct"/>
            <w:vMerge/>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p>
        </w:tc>
        <w:tc>
          <w:tcPr>
            <w:tcW w:w="415"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(Rs. / kWh)</w:t>
            </w:r>
          </w:p>
        </w:tc>
        <w:tc>
          <w:tcPr>
            <w:tcW w:w="484"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(Rs. Cr.)</w:t>
            </w:r>
          </w:p>
        </w:tc>
        <w:tc>
          <w:tcPr>
            <w:tcW w:w="415"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(Rs. / kWh)</w:t>
            </w:r>
          </w:p>
        </w:tc>
        <w:tc>
          <w:tcPr>
            <w:tcW w:w="556"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(Rs. Cr.)</w:t>
            </w:r>
          </w:p>
        </w:tc>
        <w:tc>
          <w:tcPr>
            <w:tcW w:w="354"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(Rs. / kWh)</w:t>
            </w:r>
          </w:p>
        </w:tc>
        <w:tc>
          <w:tcPr>
            <w:tcW w:w="479"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(Rs. Cr.)</w:t>
            </w:r>
          </w:p>
        </w:tc>
        <w:tc>
          <w:tcPr>
            <w:tcW w:w="416"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(Rs. / kWh)</w:t>
            </w:r>
          </w:p>
        </w:tc>
      </w:tr>
      <w:tr w:rsidR="00B54756" w:rsidRPr="00942C19" w:rsidTr="007C4D9D">
        <w:trPr>
          <w:trHeight w:val="300"/>
        </w:trPr>
        <w:tc>
          <w:tcPr>
            <w:tcW w:w="5000" w:type="pct"/>
            <w:gridSpan w:val="10"/>
            <w:shd w:val="clear" w:color="auto" w:fill="auto"/>
            <w:noWrap/>
            <w:vAlign w:val="center"/>
            <w:hideMark/>
          </w:tcPr>
          <w:p w:rsidR="00B54756" w:rsidRPr="00942C19" w:rsidRDefault="00B54756" w:rsidP="00111E35">
            <w:pPr>
              <w:spacing w:before="0" w:line="240" w:lineRule="auto"/>
              <w:jc w:val="center"/>
              <w:rPr>
                <w:rFonts w:cs="Calibri"/>
                <w:b/>
                <w:bCs/>
                <w:color w:val="000000"/>
                <w:sz w:val="22"/>
                <w:szCs w:val="22"/>
                <w:lang w:val="en-IN" w:eastAsia="en-IN"/>
              </w:rPr>
            </w:pPr>
            <w:r w:rsidRPr="00942C19">
              <w:rPr>
                <w:rFonts w:cs="Arial"/>
                <w:b/>
                <w:bCs/>
                <w:color w:val="000000"/>
                <w:sz w:val="22"/>
                <w:szCs w:val="22"/>
                <w:lang w:val="en-US" w:eastAsia="en-IN"/>
              </w:rPr>
              <w:t>Procurement of power from State Sector Generating Stations</w:t>
            </w:r>
          </w:p>
        </w:tc>
      </w:tr>
      <w:tr w:rsidR="00B54756" w:rsidRPr="00942C19" w:rsidTr="007C4D9D">
        <w:trPr>
          <w:trHeight w:val="300"/>
        </w:trPr>
        <w:tc>
          <w:tcPr>
            <w:tcW w:w="5000" w:type="pct"/>
            <w:gridSpan w:val="10"/>
            <w:shd w:val="clear" w:color="auto" w:fill="D9D9D9" w:themeFill="background1" w:themeFillShade="D9"/>
            <w:noWrap/>
            <w:vAlign w:val="center"/>
            <w:hideMark/>
          </w:tcPr>
          <w:p w:rsidR="00A44CA7" w:rsidRPr="00942C19" w:rsidRDefault="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Thermal Stations</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Anpara A</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630</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4004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0.6</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239.5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1.62</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650.61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2.22</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890.11</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2.22</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Anpara B</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1000</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6333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1.14</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723.14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1.45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917.07</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2.59</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1640.20</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2.59</w:t>
            </w:r>
          </w:p>
        </w:tc>
      </w:tr>
      <w:tr w:rsidR="007C4D9D" w:rsidRPr="00942C19" w:rsidTr="007C4D9D">
        <w:trPr>
          <w:trHeight w:val="77"/>
        </w:trPr>
        <w:tc>
          <w:tcPr>
            <w:tcW w:w="911" w:type="pct"/>
            <w:shd w:val="clear" w:color="auto" w:fill="auto"/>
            <w:hideMark/>
          </w:tcPr>
          <w:p w:rsidR="00B54756" w:rsidRPr="00942C19" w:rsidRDefault="007C4D9D"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Harduaganj</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165</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796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2.97</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236.52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3.58</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285.02</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6.55</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521.54</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6.55</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Obra A</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288</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1038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1.88</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195.65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2.14</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222.46</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4.03</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418.12</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4.03</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Obra B</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1016</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2794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1.47</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411.11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1.99</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555.42</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3.46</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966.53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3.46</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Panki</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210</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1050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1.41</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147.74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3.55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372.87</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4.96</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520.6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4.96</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Parichha</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220</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805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122.65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3.41</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274.13</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4.93</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396.78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4.93</w:t>
            </w:r>
          </w:p>
        </w:tc>
      </w:tr>
      <w:tr w:rsidR="007C4D9D" w:rsidRPr="00942C19" w:rsidTr="007C4D9D">
        <w:trPr>
          <w:trHeight w:val="306"/>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Parichha Extn.</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420</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2526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1.54</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388.02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2.79</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705.78</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4.33</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1093.80</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4.33</w:t>
            </w:r>
          </w:p>
        </w:tc>
      </w:tr>
      <w:tr w:rsidR="007C4D9D" w:rsidRPr="00942C19" w:rsidTr="007C4D9D">
        <w:trPr>
          <w:trHeight w:val="26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Parichha Extn. Stage II (2X250MW)</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500</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2405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2.23</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536.62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2.82</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677.94</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5.05</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1214.56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5.05</w:t>
            </w:r>
          </w:p>
        </w:tc>
      </w:tr>
      <w:tr w:rsidR="007C4D9D" w:rsidRPr="00942C19" w:rsidTr="007C4D9D">
        <w:trPr>
          <w:trHeight w:val="503"/>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Harduaganj Ext. (2X250MW)</w:t>
            </w:r>
          </w:p>
        </w:tc>
        <w:tc>
          <w:tcPr>
            <w:tcW w:w="55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500</w:t>
            </w:r>
          </w:p>
        </w:tc>
        <w:tc>
          <w:tcPr>
            <w:tcW w:w="415" w:type="pct"/>
            <w:shd w:val="clear" w:color="auto" w:fill="auto"/>
            <w:vAlign w:val="center"/>
            <w:hideMark/>
          </w:tcPr>
          <w:p w:rsidR="00A44CA7" w:rsidRPr="00942C19" w:rsidRDefault="00B54756">
            <w:pPr>
              <w:spacing w:before="0" w:line="240" w:lineRule="auto"/>
              <w:jc w:val="center"/>
              <w:rPr>
                <w:rFonts w:cs="Calibri"/>
                <w:color w:val="000000"/>
                <w:sz w:val="22"/>
                <w:szCs w:val="22"/>
                <w:lang w:val="en-IN" w:eastAsia="en-IN"/>
              </w:rPr>
            </w:pPr>
            <w:r w:rsidRPr="00942C19">
              <w:rPr>
                <w:rFonts w:cs="Arial"/>
                <w:color w:val="000000"/>
                <w:sz w:val="22"/>
                <w:szCs w:val="22"/>
                <w:lang w:val="en-US" w:eastAsia="en-IN"/>
              </w:rPr>
              <w:t>2344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2.47</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579.73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2.76</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647.3</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5.24</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1227.03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5.24</w:t>
            </w:r>
          </w:p>
        </w:tc>
      </w:tr>
      <w:tr w:rsidR="007C4D9D" w:rsidRPr="00942C19" w:rsidTr="007C4D9D">
        <w:trPr>
          <w:trHeight w:val="215"/>
        </w:trPr>
        <w:tc>
          <w:tcPr>
            <w:tcW w:w="911" w:type="pct"/>
            <w:shd w:val="clear" w:color="auto" w:fill="auto"/>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Sub total - Thermal</w:t>
            </w:r>
          </w:p>
        </w:tc>
        <w:tc>
          <w:tcPr>
            <w:tcW w:w="555" w:type="pct"/>
            <w:shd w:val="clear" w:color="auto" w:fill="auto"/>
            <w:vAlign w:val="center"/>
            <w:hideMark/>
          </w:tcPr>
          <w:p w:rsidR="00A44CA7" w:rsidRPr="00942C19" w:rsidRDefault="00B54756">
            <w:pPr>
              <w:spacing w:before="0" w:line="240" w:lineRule="auto"/>
              <w:jc w:val="center"/>
              <w:rPr>
                <w:rFonts w:cs="Calibri"/>
                <w:b/>
                <w:bCs/>
                <w:color w:val="000000"/>
                <w:sz w:val="22"/>
                <w:szCs w:val="22"/>
                <w:lang w:val="en-IN" w:eastAsia="en-IN"/>
              </w:rPr>
            </w:pPr>
            <w:r w:rsidRPr="00942C19">
              <w:rPr>
                <w:rFonts w:cs="Arial"/>
                <w:b/>
                <w:bCs/>
                <w:color w:val="000000"/>
                <w:sz w:val="22"/>
                <w:szCs w:val="22"/>
                <w:lang w:val="en-US" w:eastAsia="en-IN"/>
              </w:rPr>
              <w:t>4949</w:t>
            </w:r>
          </w:p>
        </w:tc>
        <w:tc>
          <w:tcPr>
            <w:tcW w:w="415" w:type="pct"/>
            <w:shd w:val="clear" w:color="auto" w:fill="auto"/>
            <w:vAlign w:val="center"/>
            <w:hideMark/>
          </w:tcPr>
          <w:p w:rsidR="00A44CA7" w:rsidRPr="00942C19" w:rsidRDefault="00B54756">
            <w:pPr>
              <w:spacing w:before="0" w:line="240" w:lineRule="auto"/>
              <w:jc w:val="center"/>
              <w:rPr>
                <w:rFonts w:cs="Calibri"/>
                <w:b/>
                <w:bCs/>
                <w:color w:val="000000"/>
                <w:sz w:val="22"/>
                <w:szCs w:val="22"/>
                <w:lang w:val="en-IN" w:eastAsia="en-IN"/>
              </w:rPr>
            </w:pPr>
            <w:r w:rsidRPr="00942C19">
              <w:rPr>
                <w:rFonts w:cs="Arial"/>
                <w:b/>
                <w:bCs/>
                <w:color w:val="000000"/>
                <w:sz w:val="22"/>
                <w:szCs w:val="22"/>
                <w:lang w:val="en-US" w:eastAsia="en-IN"/>
              </w:rPr>
              <w:t>24094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3580.68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5308.59</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8889.27</w:t>
            </w:r>
          </w:p>
        </w:tc>
        <w:tc>
          <w:tcPr>
            <w:tcW w:w="416"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3.69</w:t>
            </w:r>
          </w:p>
        </w:tc>
      </w:tr>
      <w:tr w:rsidR="007C4D9D" w:rsidRPr="00942C19" w:rsidTr="007C4D9D">
        <w:trPr>
          <w:trHeight w:val="300"/>
        </w:trPr>
        <w:tc>
          <w:tcPr>
            <w:tcW w:w="4104" w:type="pct"/>
            <w:gridSpan w:val="8"/>
            <w:shd w:val="clear" w:color="auto" w:fill="auto"/>
            <w:noWrap/>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Per unit Avg Rate of Thermal Generation</w:t>
            </w:r>
          </w:p>
        </w:tc>
        <w:tc>
          <w:tcPr>
            <w:tcW w:w="479"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3.69</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r>
      <w:tr w:rsidR="00B54756" w:rsidRPr="00942C19" w:rsidTr="007C4D9D">
        <w:trPr>
          <w:trHeight w:val="300"/>
        </w:trPr>
        <w:tc>
          <w:tcPr>
            <w:tcW w:w="5000" w:type="pct"/>
            <w:gridSpan w:val="10"/>
            <w:shd w:val="clear" w:color="000000" w:fill="D8D8D8"/>
            <w:noWrap/>
            <w:vAlign w:val="center"/>
            <w:hideMark/>
          </w:tcPr>
          <w:p w:rsidR="00A44CA7" w:rsidRPr="00942C19" w:rsidRDefault="00785E17">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Hydro Stations</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Khara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208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1.04</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21.69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1.04</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21.69</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1.04</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Matatila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0.81</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5.43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0.81</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5.43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0.81</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Obra (Hydel)</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99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0.99</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17.27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0.99</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17.27</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0.99</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Rihand</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417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1.01</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1.01</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42.2</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1.01</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UGC Power Stations</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2.64</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6.61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2.64</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6.61</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2.64</w:t>
            </w:r>
          </w:p>
        </w:tc>
      </w:tr>
      <w:tr w:rsidR="007C4D9D" w:rsidRPr="00942C19" w:rsidTr="007C4D9D">
        <w:trPr>
          <w:trHeight w:val="38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Belka &amp; Babail</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2.48</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2.25</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2.25</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Sheetla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2.81</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2.68</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2.81</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2.81</w:t>
            </w:r>
          </w:p>
        </w:tc>
      </w:tr>
      <w:tr w:rsidR="007C4D9D" w:rsidRPr="00942C19" w:rsidTr="007C4D9D">
        <w:trPr>
          <w:trHeight w:val="315"/>
        </w:trPr>
        <w:tc>
          <w:tcPr>
            <w:tcW w:w="911" w:type="pct"/>
            <w:shd w:val="clear" w:color="auto" w:fill="auto"/>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Sub total - Hydro</w:t>
            </w:r>
          </w:p>
        </w:tc>
        <w:tc>
          <w:tcPr>
            <w:tcW w:w="555"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458</w:t>
            </w:r>
          </w:p>
        </w:tc>
        <w:tc>
          <w:tcPr>
            <w:tcW w:w="415"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912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93.2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5.15</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98.35</w:t>
            </w:r>
          </w:p>
        </w:tc>
        <w:tc>
          <w:tcPr>
            <w:tcW w:w="416"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1.08</w:t>
            </w:r>
          </w:p>
        </w:tc>
      </w:tr>
      <w:tr w:rsidR="007C4D9D" w:rsidRPr="00942C19" w:rsidTr="007C4D9D">
        <w:trPr>
          <w:trHeight w:val="300"/>
        </w:trPr>
        <w:tc>
          <w:tcPr>
            <w:tcW w:w="4104" w:type="pct"/>
            <w:gridSpan w:val="8"/>
            <w:shd w:val="clear" w:color="auto" w:fill="auto"/>
            <w:noWrap/>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Purchase Per unit Avg Rate from hydro generating stations</w:t>
            </w:r>
          </w:p>
        </w:tc>
        <w:tc>
          <w:tcPr>
            <w:tcW w:w="479"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1.08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r>
      <w:tr w:rsidR="007C4D9D" w:rsidRPr="00942C19" w:rsidTr="007C4D9D">
        <w:trPr>
          <w:trHeight w:val="458"/>
        </w:trPr>
        <w:tc>
          <w:tcPr>
            <w:tcW w:w="911" w:type="pct"/>
            <w:shd w:val="clear" w:color="auto" w:fill="auto"/>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Sub-Total Own generation</w:t>
            </w:r>
          </w:p>
        </w:tc>
        <w:tc>
          <w:tcPr>
            <w:tcW w:w="555"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5407</w:t>
            </w:r>
          </w:p>
        </w:tc>
        <w:tc>
          <w:tcPr>
            <w:tcW w:w="415"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25006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3673.88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5313.75</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8987.62</w:t>
            </w:r>
          </w:p>
        </w:tc>
        <w:tc>
          <w:tcPr>
            <w:tcW w:w="416" w:type="pct"/>
            <w:shd w:val="clear" w:color="auto" w:fill="auto"/>
            <w:vAlign w:val="center"/>
            <w:hideMark/>
          </w:tcPr>
          <w:p w:rsidR="00B54756" w:rsidRPr="00942C19" w:rsidRDefault="00B54756" w:rsidP="00B54756">
            <w:pPr>
              <w:spacing w:before="0" w:line="240" w:lineRule="auto"/>
              <w:jc w:val="right"/>
              <w:rPr>
                <w:rFonts w:cs="Calibri"/>
                <w:b/>
                <w:bCs/>
                <w:color w:val="000000"/>
                <w:sz w:val="20"/>
                <w:szCs w:val="20"/>
                <w:lang w:val="en-IN" w:eastAsia="en-IN"/>
              </w:rPr>
            </w:pPr>
            <w:r w:rsidRPr="00942C19">
              <w:rPr>
                <w:rFonts w:cs="Arial"/>
                <w:b/>
                <w:bCs/>
                <w:color w:val="000000"/>
                <w:sz w:val="20"/>
                <w:szCs w:val="20"/>
                <w:lang w:val="en-US" w:eastAsia="en-IN"/>
              </w:rPr>
              <w:t>3.59</w:t>
            </w:r>
          </w:p>
        </w:tc>
      </w:tr>
      <w:tr w:rsidR="00B54756" w:rsidRPr="00942C19" w:rsidTr="007C4D9D">
        <w:trPr>
          <w:trHeight w:val="300"/>
        </w:trPr>
        <w:tc>
          <w:tcPr>
            <w:tcW w:w="5000" w:type="pct"/>
            <w:gridSpan w:val="10"/>
            <w:shd w:val="clear" w:color="000000" w:fill="D8D8D8"/>
            <w:noWrap/>
            <w:vAlign w:val="center"/>
            <w:hideMark/>
          </w:tcPr>
          <w:p w:rsidR="00A44CA7" w:rsidRPr="00942C19" w:rsidRDefault="00B54756">
            <w:pPr>
              <w:spacing w:before="0" w:line="240" w:lineRule="auto"/>
              <w:jc w:val="left"/>
              <w:rPr>
                <w:rFonts w:cs="Arial"/>
                <w:b/>
                <w:bCs/>
                <w:color w:val="000000"/>
                <w:sz w:val="22"/>
                <w:szCs w:val="22"/>
                <w:lang w:val="en-US" w:eastAsia="en-IN"/>
              </w:rPr>
            </w:pPr>
            <w:r w:rsidRPr="00942C19">
              <w:rPr>
                <w:rFonts w:cs="Arial"/>
                <w:b/>
                <w:bCs/>
                <w:color w:val="000000"/>
                <w:sz w:val="22"/>
                <w:szCs w:val="22"/>
                <w:lang w:val="en-US" w:eastAsia="en-IN"/>
              </w:rPr>
              <w:t>Procurement of power from Central Sector Generating Stations</w:t>
            </w:r>
          </w:p>
          <w:p w:rsidR="00A44CA7" w:rsidRPr="00942C19" w:rsidRDefault="00A44CA7">
            <w:pPr>
              <w:spacing w:before="0" w:line="240" w:lineRule="auto"/>
              <w:jc w:val="left"/>
              <w:rPr>
                <w:rFonts w:cs="Calibri"/>
                <w:b/>
                <w:bCs/>
                <w:color w:val="000000"/>
                <w:sz w:val="22"/>
                <w:szCs w:val="22"/>
                <w:lang w:val="en-IN" w:eastAsia="en-IN"/>
              </w:rPr>
            </w:pP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Anta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849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0.71</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60.49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415.83</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5.61</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476.32</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5.61</w:t>
            </w:r>
          </w:p>
        </w:tc>
      </w:tr>
      <w:tr w:rsidR="007C4D9D" w:rsidRPr="00942C19" w:rsidTr="007C4D9D">
        <w:trPr>
          <w:trHeight w:val="300"/>
        </w:trPr>
        <w:tc>
          <w:tcPr>
            <w:tcW w:w="911" w:type="pct"/>
            <w:shd w:val="clear" w:color="auto" w:fill="auto"/>
            <w:hideMark/>
          </w:tcPr>
          <w:p w:rsidR="00B54756" w:rsidRPr="00942C19" w:rsidRDefault="007C4D9D"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Auraiya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1769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0.55</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97.47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7.06</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1249.22</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7.61</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1346.68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7.61</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Dadri Thermal</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697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1.15</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80.34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3.16</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219.93</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4.31</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300.27</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4.31</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Dadri Gas</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1986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0.62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123.27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5.26</w:t>
            </w:r>
          </w:p>
        </w:tc>
        <w:tc>
          <w:tcPr>
            <w:tcW w:w="556"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1044.90</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5.88</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1168.17</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5.88</w:t>
            </w:r>
          </w:p>
        </w:tc>
      </w:tr>
      <w:tr w:rsidR="007C4D9D" w:rsidRPr="00942C19" w:rsidTr="007C4D9D">
        <w:trPr>
          <w:trHeight w:val="143"/>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Dadri Extension</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1073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1.67</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179.52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3.11</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334</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4.78</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513.52</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4.78</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Rihand-I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2828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0.79</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222.11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383.05</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2.14</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605.16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2.14</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Rihand-II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2524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1.03</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259.7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341.87</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2.38</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601.57</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2.38</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Singrauli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853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6420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0.55</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354.35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831.63</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1.85</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1185.98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1.85</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Tanda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440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3276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392.29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801.89</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3.65</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1194.18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3.65</w:t>
            </w:r>
          </w:p>
        </w:tc>
      </w:tr>
      <w:tr w:rsidR="007C4D9D" w:rsidRPr="00942C19" w:rsidTr="007C4D9D">
        <w:trPr>
          <w:trHeight w:val="152"/>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Unchahar-I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1951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0.82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160.72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2.44</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476.41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3.27</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637.13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3.27</w:t>
            </w:r>
          </w:p>
        </w:tc>
      </w:tr>
      <w:tr w:rsidR="007C4D9D" w:rsidRPr="00942C19" w:rsidTr="007C4D9D">
        <w:trPr>
          <w:trHeight w:val="359"/>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Unchahar-II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1090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111.07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2.44</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266.3</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3.46</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377.37</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3.46</w:t>
            </w:r>
          </w:p>
        </w:tc>
      </w:tr>
      <w:tr w:rsidR="007C4D9D" w:rsidRPr="00942C19" w:rsidTr="007C4D9D">
        <w:trPr>
          <w:trHeight w:val="323"/>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Unchahar-III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593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77.34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2.44</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144.96</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3.75</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222.3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3.75</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Farakka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0.98</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19.57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67.79</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4.38</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87.36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4.38</w:t>
            </w:r>
          </w:p>
        </w:tc>
      </w:tr>
      <w:tr w:rsidR="007C4D9D" w:rsidRPr="00942C19" w:rsidTr="007C4D9D">
        <w:trPr>
          <w:trHeight w:val="6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Kahalgaon St. 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581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0.91</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52.82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3.13</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182.01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4.04</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234.83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4.04</w:t>
            </w:r>
          </w:p>
        </w:tc>
      </w:tr>
      <w:tr w:rsidR="007C4D9D" w:rsidRPr="00942C19" w:rsidTr="007C4D9D">
        <w:trPr>
          <w:trHeight w:val="512"/>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Kahalgaon St.II Ph.I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1712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1.28</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218.84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2.96</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506.11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4.23</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724.95</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4.23</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Rihand-III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1523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494.87</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3.25</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494.87</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3.25</w:t>
            </w:r>
          </w:p>
        </w:tc>
      </w:tr>
      <w:tr w:rsidR="007C4D9D" w:rsidRPr="00942C19" w:rsidTr="007C4D9D">
        <w:trPr>
          <w:trHeight w:val="305"/>
        </w:trPr>
        <w:tc>
          <w:tcPr>
            <w:tcW w:w="911" w:type="pct"/>
            <w:shd w:val="clear" w:color="000000" w:fill="D8D8D8"/>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Sub-Total NTPC</w:t>
            </w:r>
          </w:p>
        </w:tc>
        <w:tc>
          <w:tcPr>
            <w:tcW w:w="55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4088</w:t>
            </w:r>
          </w:p>
        </w:tc>
        <w:tc>
          <w:tcPr>
            <w:tcW w:w="41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29071</w:t>
            </w: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2409.91</w:t>
            </w: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7760.76</w:t>
            </w:r>
          </w:p>
        </w:tc>
        <w:tc>
          <w:tcPr>
            <w:tcW w:w="354"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A44CA7" w:rsidRPr="00942C19" w:rsidRDefault="00B54756">
            <w:pPr>
              <w:spacing w:before="0" w:line="240" w:lineRule="auto"/>
              <w:ind w:right="-108"/>
              <w:jc w:val="right"/>
              <w:rPr>
                <w:rFonts w:cs="Calibri"/>
                <w:b/>
                <w:bCs/>
                <w:color w:val="000000"/>
                <w:sz w:val="22"/>
                <w:szCs w:val="22"/>
                <w:lang w:val="en-IN" w:eastAsia="en-IN"/>
              </w:rPr>
            </w:pPr>
            <w:r w:rsidRPr="00942C19">
              <w:rPr>
                <w:rFonts w:cs="Arial"/>
                <w:b/>
                <w:bCs/>
                <w:color w:val="000000"/>
                <w:sz w:val="22"/>
                <w:szCs w:val="22"/>
                <w:lang w:val="en-US" w:eastAsia="en-IN"/>
              </w:rPr>
              <w:t>10170.67</w:t>
            </w:r>
          </w:p>
        </w:tc>
        <w:tc>
          <w:tcPr>
            <w:tcW w:w="416"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3.5</w:t>
            </w:r>
            <w:r w:rsidR="006B5AAB" w:rsidRPr="00942C19">
              <w:rPr>
                <w:rFonts w:cs="Arial"/>
                <w:b/>
                <w:bCs/>
                <w:color w:val="000000"/>
                <w:sz w:val="22"/>
                <w:szCs w:val="22"/>
                <w:lang w:val="en-US" w:eastAsia="en-IN"/>
              </w:rPr>
              <w:t>0</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Chamera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452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1.89</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85.43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1.89</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85.43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1.89</w:t>
            </w:r>
          </w:p>
        </w:tc>
      </w:tr>
      <w:tr w:rsidR="007C4D9D" w:rsidRPr="00942C19" w:rsidTr="007C4D9D">
        <w:trPr>
          <w:trHeight w:val="19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Chamera-II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456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2.98</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135.86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2.98</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135.86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2.98</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Chamera-III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1.96</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61.66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1.99</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62.64</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3.94</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124.3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3.94</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Dhauliganga</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2.29</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71.18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2.29</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71.18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2.29</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Salal I&amp;II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0.82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17.65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0.47</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10.19</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1.29</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27.84</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1.29</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Tanakpur</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1.89</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19.57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11.38</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2.98</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30.94</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2.98</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Uri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96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534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1.33</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71.16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0.79</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42.15</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2.12</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113.31</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2.12</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Dulhasti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107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581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5.55</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322.39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5.55</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322.39</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5.55</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Sewa-II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3.34</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55.32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35.72</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5.49</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91.04</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5.49</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Uri-II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3.32</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69.61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3.32</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69.61</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3.32</w:t>
            </w:r>
          </w:p>
        </w:tc>
      </w:tr>
      <w:tr w:rsidR="007C4D9D" w:rsidRPr="00942C19" w:rsidTr="007C4D9D">
        <w:trPr>
          <w:trHeight w:val="567"/>
        </w:trPr>
        <w:tc>
          <w:tcPr>
            <w:tcW w:w="911" w:type="pct"/>
            <w:shd w:val="clear" w:color="000000" w:fill="D8D8D8"/>
            <w:vAlign w:val="center"/>
            <w:hideMark/>
          </w:tcPr>
          <w:p w:rsidR="00A44CA7"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Sub-Total NHPC</w:t>
            </w:r>
          </w:p>
        </w:tc>
        <w:tc>
          <w:tcPr>
            <w:tcW w:w="555"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676</w:t>
            </w:r>
          </w:p>
        </w:tc>
        <w:tc>
          <w:tcPr>
            <w:tcW w:w="415"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3345</w:t>
            </w:r>
          </w:p>
        </w:tc>
        <w:tc>
          <w:tcPr>
            <w:tcW w:w="415" w:type="pct"/>
            <w:shd w:val="clear" w:color="000000" w:fill="D8D8D8"/>
            <w:vAlign w:val="center"/>
            <w:hideMark/>
          </w:tcPr>
          <w:p w:rsidR="00A44CA7" w:rsidRPr="00942C19" w:rsidRDefault="00A44CA7">
            <w:pPr>
              <w:spacing w:before="0" w:line="240" w:lineRule="auto"/>
              <w:jc w:val="right"/>
              <w:rPr>
                <w:rFonts w:cs="Calibri"/>
                <w:b/>
                <w:bCs/>
                <w:color w:val="000000"/>
                <w:sz w:val="22"/>
                <w:szCs w:val="22"/>
                <w:lang w:val="en-IN" w:eastAsia="en-IN"/>
              </w:rPr>
            </w:pPr>
          </w:p>
        </w:tc>
        <w:tc>
          <w:tcPr>
            <w:tcW w:w="484"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840.22</w:t>
            </w:r>
          </w:p>
        </w:tc>
        <w:tc>
          <w:tcPr>
            <w:tcW w:w="415" w:type="pct"/>
            <w:shd w:val="clear" w:color="000000" w:fill="D8D8D8"/>
            <w:vAlign w:val="center"/>
            <w:hideMark/>
          </w:tcPr>
          <w:p w:rsidR="00A44CA7" w:rsidRPr="00942C19" w:rsidRDefault="00A44CA7">
            <w:pPr>
              <w:spacing w:before="0" w:line="240" w:lineRule="auto"/>
              <w:jc w:val="right"/>
              <w:rPr>
                <w:rFonts w:cs="Calibri"/>
                <w:b/>
                <w:bCs/>
                <w:color w:val="000000"/>
                <w:sz w:val="22"/>
                <w:szCs w:val="22"/>
                <w:lang w:val="en-IN" w:eastAsia="en-IN"/>
              </w:rPr>
            </w:pPr>
          </w:p>
        </w:tc>
        <w:tc>
          <w:tcPr>
            <w:tcW w:w="556"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231.69</w:t>
            </w:r>
          </w:p>
        </w:tc>
        <w:tc>
          <w:tcPr>
            <w:tcW w:w="354" w:type="pct"/>
            <w:shd w:val="clear" w:color="000000" w:fill="D8D8D8"/>
            <w:vAlign w:val="center"/>
            <w:hideMark/>
          </w:tcPr>
          <w:p w:rsidR="00A44CA7" w:rsidRPr="00942C19" w:rsidRDefault="00A44CA7">
            <w:pPr>
              <w:spacing w:before="0" w:line="240" w:lineRule="auto"/>
              <w:jc w:val="right"/>
              <w:rPr>
                <w:rFonts w:cs="Calibri"/>
                <w:b/>
                <w:bCs/>
                <w:color w:val="000000"/>
                <w:sz w:val="22"/>
                <w:szCs w:val="22"/>
                <w:lang w:val="en-IN" w:eastAsia="en-IN"/>
              </w:rPr>
            </w:pPr>
          </w:p>
        </w:tc>
        <w:tc>
          <w:tcPr>
            <w:tcW w:w="479"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1071.91</w:t>
            </w:r>
          </w:p>
        </w:tc>
        <w:tc>
          <w:tcPr>
            <w:tcW w:w="416"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3.2</w:t>
            </w:r>
            <w:r w:rsidR="006B5AAB" w:rsidRPr="00942C19">
              <w:rPr>
                <w:rFonts w:cs="Arial"/>
                <w:b/>
                <w:bCs/>
                <w:color w:val="000000"/>
                <w:sz w:val="22"/>
                <w:szCs w:val="22"/>
                <w:lang w:val="en-US" w:eastAsia="en-IN"/>
              </w:rPr>
              <w:t>0</w:t>
            </w:r>
          </w:p>
        </w:tc>
      </w:tr>
      <w:tr w:rsidR="007C4D9D" w:rsidRPr="00942C19" w:rsidTr="007C4D9D">
        <w:trPr>
          <w:trHeight w:val="3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NAPP</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596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157.94</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2.65</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157.94</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2.65</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RAPP #3&amp;4</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541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2.97</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160.6</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2.97</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160.6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2.97</w:t>
            </w:r>
          </w:p>
        </w:tc>
      </w:tr>
      <w:tr w:rsidR="007C4D9D" w:rsidRPr="00942C19" w:rsidTr="007C4D9D">
        <w:trPr>
          <w:trHeight w:val="314"/>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RAPP#5&amp;6</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670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3.67</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246.01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3.67</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246.01</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3.67</w:t>
            </w:r>
          </w:p>
        </w:tc>
      </w:tr>
      <w:tr w:rsidR="007C4D9D" w:rsidRPr="00942C19" w:rsidTr="007C4D9D">
        <w:trPr>
          <w:trHeight w:val="431"/>
        </w:trPr>
        <w:tc>
          <w:tcPr>
            <w:tcW w:w="911" w:type="pct"/>
            <w:shd w:val="clear" w:color="000000" w:fill="D8D8D8"/>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Sub-Total NPCIL</w:t>
            </w:r>
          </w:p>
        </w:tc>
        <w:tc>
          <w:tcPr>
            <w:tcW w:w="55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358</w:t>
            </w:r>
          </w:p>
        </w:tc>
        <w:tc>
          <w:tcPr>
            <w:tcW w:w="41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1807</w:t>
            </w: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564.55</w:t>
            </w:r>
          </w:p>
        </w:tc>
        <w:tc>
          <w:tcPr>
            <w:tcW w:w="354"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564.55</w:t>
            </w:r>
          </w:p>
        </w:tc>
        <w:tc>
          <w:tcPr>
            <w:tcW w:w="416"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3.12</w:t>
            </w:r>
          </w:p>
        </w:tc>
      </w:tr>
      <w:tr w:rsidR="007C4D9D" w:rsidRPr="00942C19" w:rsidTr="007C4D9D">
        <w:trPr>
          <w:trHeight w:val="77"/>
        </w:trPr>
        <w:tc>
          <w:tcPr>
            <w:tcW w:w="911" w:type="pct"/>
            <w:shd w:val="clear" w:color="auto" w:fill="auto"/>
            <w:hideMark/>
          </w:tcPr>
          <w:p w:rsidR="00B54756" w:rsidRPr="00942C19" w:rsidRDefault="00D31494"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Naptha Jhakri HPS</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275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1365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1.42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194.27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1.14</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155.75</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2.56</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350.02</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2.56</w:t>
            </w:r>
          </w:p>
        </w:tc>
      </w:tr>
      <w:tr w:rsidR="007C4D9D" w:rsidRPr="00942C19" w:rsidTr="007C4D9D">
        <w:trPr>
          <w:trHeight w:val="77"/>
        </w:trPr>
        <w:tc>
          <w:tcPr>
            <w:tcW w:w="911" w:type="pct"/>
            <w:shd w:val="clear" w:color="auto" w:fill="auto"/>
            <w:hideMark/>
          </w:tcPr>
          <w:p w:rsidR="00B54756" w:rsidRPr="00942C19" w:rsidRDefault="004F32BA"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Vishnu Prayag</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352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1752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1.13</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198.23</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1.18</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207.1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2.31</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405.33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2.31</w:t>
            </w:r>
          </w:p>
        </w:tc>
      </w:tr>
      <w:tr w:rsidR="007C4D9D" w:rsidRPr="00942C19" w:rsidTr="007C4D9D">
        <w:trPr>
          <w:trHeight w:val="314"/>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Tala Power</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184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2.14</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39.4</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2.14</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39.4</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2.14</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Tehri Hydro</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410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1241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285.45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310.25</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4.8</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595.7</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4.8</w:t>
            </w:r>
          </w:p>
        </w:tc>
      </w:tr>
      <w:tr w:rsidR="007C4D9D" w:rsidRPr="00942C19" w:rsidTr="007C4D9D">
        <w:trPr>
          <w:trHeight w:val="161"/>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Rosa Power Project 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900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3205</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1.44</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461.46</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3.68</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1178.24</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5.12</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1639.70</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5.12</w:t>
            </w:r>
          </w:p>
        </w:tc>
      </w:tr>
      <w:tr w:rsidR="007C4D9D" w:rsidRPr="00942C19" w:rsidTr="007C4D9D">
        <w:trPr>
          <w:trHeight w:val="335"/>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 xml:space="preserve">IGSTPP, </w:t>
            </w:r>
            <w:r w:rsidR="004F32BA" w:rsidRPr="00942C19">
              <w:rPr>
                <w:rFonts w:cs="Arial"/>
                <w:color w:val="000000"/>
                <w:sz w:val="22"/>
                <w:szCs w:val="22"/>
                <w:lang w:val="en-US" w:eastAsia="en-IN"/>
              </w:rPr>
              <w:t>Jhajjar</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350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5.06</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177.42</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5.06</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177.42</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5.06</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Koteshwar</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522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2.65</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138.32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2.19</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114.31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4.84</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252.63</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4.84</w:t>
            </w:r>
          </w:p>
        </w:tc>
      </w:tr>
      <w:tr w:rsidR="007C4D9D" w:rsidRPr="00942C19" w:rsidTr="007C4D9D">
        <w:trPr>
          <w:trHeight w:val="98"/>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Anpara 'C'</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1100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5918</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3.48</w:t>
            </w:r>
          </w:p>
        </w:tc>
        <w:tc>
          <w:tcPr>
            <w:tcW w:w="556"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2061.22</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3.48</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2061.22</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3.48</w:t>
            </w:r>
          </w:p>
        </w:tc>
      </w:tr>
      <w:tr w:rsidR="007C4D9D" w:rsidRPr="00942C19" w:rsidTr="007C4D9D">
        <w:trPr>
          <w:trHeight w:val="60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Karcham-Wangtoo</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200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160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59.16</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59.16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3.7</w:t>
            </w:r>
          </w:p>
        </w:tc>
      </w:tr>
      <w:tr w:rsidR="007C4D9D" w:rsidRPr="00942C19" w:rsidTr="007C4D9D">
        <w:trPr>
          <w:trHeight w:val="449"/>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Bajaj Hindusthan</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450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2101</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1.92</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403.17</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2.35</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494.71</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4.27</w:t>
            </w:r>
          </w:p>
        </w:tc>
        <w:tc>
          <w:tcPr>
            <w:tcW w:w="479"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897.88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4.27</w:t>
            </w:r>
          </w:p>
        </w:tc>
      </w:tr>
      <w:tr w:rsidR="007C4D9D" w:rsidRPr="00942C19" w:rsidTr="007C4D9D">
        <w:trPr>
          <w:trHeight w:val="260"/>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Rosa Power Project II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300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2102</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2.04</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428.19</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3.68</w:t>
            </w:r>
          </w:p>
        </w:tc>
        <w:tc>
          <w:tcPr>
            <w:tcW w:w="55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772.89</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5.71</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1201.08</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5.71</w:t>
            </w:r>
          </w:p>
        </w:tc>
      </w:tr>
      <w:tr w:rsidR="007C4D9D" w:rsidRPr="00942C19" w:rsidTr="007C4D9D">
        <w:trPr>
          <w:trHeight w:val="467"/>
        </w:trPr>
        <w:tc>
          <w:tcPr>
            <w:tcW w:w="911" w:type="pct"/>
            <w:shd w:val="clear" w:color="000000" w:fill="D8D8D8"/>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Sub-Total IPP/JV</w:t>
            </w:r>
          </w:p>
        </w:tc>
        <w:tc>
          <w:tcPr>
            <w:tcW w:w="55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4243</w:t>
            </w:r>
          </w:p>
        </w:tc>
        <w:tc>
          <w:tcPr>
            <w:tcW w:w="41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18900</w:t>
            </w: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2109.09</w:t>
            </w: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5570.44</w:t>
            </w:r>
          </w:p>
        </w:tc>
        <w:tc>
          <w:tcPr>
            <w:tcW w:w="354"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7679.54</w:t>
            </w:r>
          </w:p>
        </w:tc>
        <w:tc>
          <w:tcPr>
            <w:tcW w:w="416"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4.06</w:t>
            </w:r>
          </w:p>
        </w:tc>
      </w:tr>
      <w:tr w:rsidR="007C4D9D" w:rsidRPr="00942C19" w:rsidTr="007C4D9D">
        <w:trPr>
          <w:trHeight w:val="602"/>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Captive and Cogen</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2830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4.62</w:t>
            </w:r>
          </w:p>
        </w:tc>
        <w:tc>
          <w:tcPr>
            <w:tcW w:w="556"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1308.16</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4.62</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1308.16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4.62</w:t>
            </w:r>
          </w:p>
        </w:tc>
      </w:tr>
      <w:tr w:rsidR="007C4D9D" w:rsidRPr="00942C19" w:rsidTr="007C4D9D">
        <w:trPr>
          <w:trHeight w:val="77"/>
        </w:trPr>
        <w:tc>
          <w:tcPr>
            <w:tcW w:w="911" w:type="pct"/>
            <w:shd w:val="clear" w:color="auto" w:fill="auto"/>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Arial"/>
                <w:color w:val="000000"/>
                <w:sz w:val="22"/>
                <w:szCs w:val="22"/>
                <w:lang w:val="en-US" w:eastAsia="en-IN"/>
              </w:rPr>
              <w:t>Inter system exchange (Bilateral &amp; PXIL, IEX)/ UI</w:t>
            </w:r>
          </w:p>
        </w:tc>
        <w:tc>
          <w:tcPr>
            <w:tcW w:w="55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0</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6214</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8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w:t>
            </w:r>
          </w:p>
        </w:tc>
        <w:tc>
          <w:tcPr>
            <w:tcW w:w="415"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5.04</w:t>
            </w:r>
          </w:p>
        </w:tc>
        <w:tc>
          <w:tcPr>
            <w:tcW w:w="556"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3132.06</w:t>
            </w:r>
          </w:p>
        </w:tc>
        <w:tc>
          <w:tcPr>
            <w:tcW w:w="354"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5.04</w:t>
            </w:r>
          </w:p>
        </w:tc>
        <w:tc>
          <w:tcPr>
            <w:tcW w:w="479" w:type="pct"/>
            <w:shd w:val="clear" w:color="auto" w:fill="auto"/>
            <w:vAlign w:val="center"/>
            <w:hideMark/>
          </w:tcPr>
          <w:p w:rsidR="00D47B3B" w:rsidRPr="00942C19" w:rsidRDefault="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3132.06</w:t>
            </w:r>
          </w:p>
        </w:tc>
        <w:tc>
          <w:tcPr>
            <w:tcW w:w="416" w:type="pct"/>
            <w:shd w:val="clear" w:color="auto" w:fill="auto"/>
            <w:vAlign w:val="center"/>
            <w:hideMark/>
          </w:tcPr>
          <w:p w:rsidR="00B54756" w:rsidRPr="00942C19" w:rsidRDefault="00B54756" w:rsidP="00B54756">
            <w:pPr>
              <w:spacing w:before="0" w:line="240" w:lineRule="auto"/>
              <w:jc w:val="right"/>
              <w:rPr>
                <w:rFonts w:cs="Calibri"/>
                <w:color w:val="000000"/>
                <w:sz w:val="22"/>
                <w:szCs w:val="22"/>
                <w:lang w:val="en-IN" w:eastAsia="en-IN"/>
              </w:rPr>
            </w:pPr>
            <w:r w:rsidRPr="00942C19">
              <w:rPr>
                <w:rFonts w:cs="Arial"/>
                <w:color w:val="000000"/>
                <w:sz w:val="22"/>
                <w:szCs w:val="22"/>
                <w:lang w:val="en-US" w:eastAsia="en-IN"/>
              </w:rPr>
              <w:t>5.04</w:t>
            </w:r>
          </w:p>
        </w:tc>
      </w:tr>
      <w:tr w:rsidR="007C4D9D" w:rsidRPr="00942C19" w:rsidTr="007C4D9D">
        <w:trPr>
          <w:trHeight w:val="926"/>
        </w:trPr>
        <w:tc>
          <w:tcPr>
            <w:tcW w:w="911" w:type="pct"/>
            <w:shd w:val="clear" w:color="000000" w:fill="D8D8D8"/>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Sub-Total : Co-Generation &amp; Other Sources</w:t>
            </w:r>
          </w:p>
        </w:tc>
        <w:tc>
          <w:tcPr>
            <w:tcW w:w="55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0</w:t>
            </w:r>
          </w:p>
        </w:tc>
        <w:tc>
          <w:tcPr>
            <w:tcW w:w="415" w:type="pct"/>
            <w:shd w:val="clear" w:color="000000" w:fill="D8D8D8"/>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9044</w:t>
            </w: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15"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4440.22</w:t>
            </w:r>
          </w:p>
        </w:tc>
        <w:tc>
          <w:tcPr>
            <w:tcW w:w="354"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4440.22</w:t>
            </w:r>
          </w:p>
        </w:tc>
        <w:tc>
          <w:tcPr>
            <w:tcW w:w="416" w:type="pct"/>
            <w:shd w:val="clear" w:color="000000" w:fill="D8D8D8"/>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r>
      <w:tr w:rsidR="007C4D9D" w:rsidRPr="00942C19" w:rsidTr="007C4D9D">
        <w:trPr>
          <w:trHeight w:val="377"/>
        </w:trPr>
        <w:tc>
          <w:tcPr>
            <w:tcW w:w="911" w:type="pct"/>
            <w:shd w:val="clear" w:color="000000" w:fill="DBE5F1"/>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Arial"/>
                <w:b/>
                <w:bCs/>
                <w:color w:val="000000"/>
                <w:sz w:val="22"/>
                <w:szCs w:val="22"/>
                <w:lang w:val="en-US" w:eastAsia="en-IN"/>
              </w:rPr>
              <w:t>Grand Total of Power Purchase</w:t>
            </w:r>
          </w:p>
        </w:tc>
        <w:tc>
          <w:tcPr>
            <w:tcW w:w="555"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14772</w:t>
            </w:r>
          </w:p>
        </w:tc>
        <w:tc>
          <w:tcPr>
            <w:tcW w:w="415"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87173</w:t>
            </w:r>
          </w:p>
        </w:tc>
        <w:tc>
          <w:tcPr>
            <w:tcW w:w="415" w:type="pct"/>
            <w:shd w:val="clear" w:color="000000" w:fill="DBE5F1"/>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84" w:type="pct"/>
            <w:shd w:val="clear" w:color="000000" w:fill="DBE5F1"/>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9033.10</w:t>
            </w:r>
          </w:p>
        </w:tc>
        <w:tc>
          <w:tcPr>
            <w:tcW w:w="415" w:type="pct"/>
            <w:shd w:val="clear" w:color="000000" w:fill="DBE5F1"/>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556" w:type="pct"/>
            <w:shd w:val="clear" w:color="000000" w:fill="DBE5F1"/>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23881.40</w:t>
            </w:r>
          </w:p>
        </w:tc>
        <w:tc>
          <w:tcPr>
            <w:tcW w:w="354" w:type="pct"/>
            <w:shd w:val="clear" w:color="000000" w:fill="DBE5F1"/>
            <w:vAlign w:val="center"/>
            <w:hideMark/>
          </w:tcPr>
          <w:p w:rsidR="00B54756" w:rsidRPr="00942C19" w:rsidRDefault="00B54756" w:rsidP="00B54756">
            <w:pPr>
              <w:spacing w:before="0" w:line="240" w:lineRule="auto"/>
              <w:jc w:val="right"/>
              <w:rPr>
                <w:rFonts w:cs="Calibri"/>
                <w:color w:val="000000"/>
                <w:sz w:val="22"/>
                <w:szCs w:val="22"/>
                <w:lang w:val="en-IN" w:eastAsia="en-IN"/>
              </w:rPr>
            </w:pPr>
          </w:p>
        </w:tc>
        <w:tc>
          <w:tcPr>
            <w:tcW w:w="479" w:type="pct"/>
            <w:shd w:val="clear" w:color="000000" w:fill="DBE5F1"/>
            <w:vAlign w:val="center"/>
            <w:hideMark/>
          </w:tcPr>
          <w:p w:rsidR="00D47B3B" w:rsidRPr="00942C19" w:rsidRDefault="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32915</w:t>
            </w:r>
          </w:p>
        </w:tc>
        <w:tc>
          <w:tcPr>
            <w:tcW w:w="416" w:type="pct"/>
            <w:shd w:val="clear" w:color="000000" w:fill="DBE5F1"/>
            <w:vAlign w:val="center"/>
            <w:hideMark/>
          </w:tcPr>
          <w:p w:rsidR="00B54756" w:rsidRPr="00942C19" w:rsidRDefault="00B54756" w:rsidP="00B54756">
            <w:pPr>
              <w:spacing w:before="0" w:line="240" w:lineRule="auto"/>
              <w:jc w:val="right"/>
              <w:rPr>
                <w:rFonts w:cs="Calibri"/>
                <w:b/>
                <w:bCs/>
                <w:color w:val="000000"/>
                <w:sz w:val="22"/>
                <w:szCs w:val="22"/>
                <w:lang w:val="en-IN" w:eastAsia="en-IN"/>
              </w:rPr>
            </w:pPr>
            <w:r w:rsidRPr="00942C19">
              <w:rPr>
                <w:rFonts w:cs="Arial"/>
                <w:b/>
                <w:bCs/>
                <w:color w:val="000000"/>
                <w:sz w:val="22"/>
                <w:szCs w:val="22"/>
                <w:lang w:val="en-US" w:eastAsia="en-IN"/>
              </w:rPr>
              <w:t>3.78</w:t>
            </w:r>
          </w:p>
        </w:tc>
      </w:tr>
    </w:tbl>
    <w:p w:rsidR="00667E67" w:rsidRPr="00942C19" w:rsidRDefault="00667E67" w:rsidP="00222C32"/>
    <w:p w:rsidR="00D92393" w:rsidRPr="00942C19" w:rsidRDefault="00D92393">
      <w:pPr>
        <w:spacing w:before="0" w:line="240" w:lineRule="auto"/>
        <w:jc w:val="left"/>
        <w:rPr>
          <w:b/>
          <w:bCs/>
          <w:szCs w:val="20"/>
        </w:rPr>
      </w:pPr>
      <w:bookmarkStart w:id="623" w:name="_Ref325471137"/>
      <w:bookmarkStart w:id="624" w:name="_Toc325475684"/>
      <w:bookmarkStart w:id="625" w:name="_Toc338310699"/>
      <w:bookmarkStart w:id="626" w:name="_Toc338419529"/>
      <w:r w:rsidRPr="00942C19">
        <w:br w:type="page"/>
      </w:r>
    </w:p>
    <w:p w:rsidR="00222C32" w:rsidRPr="00942C19" w:rsidRDefault="00222C32" w:rsidP="00222C32">
      <w:pPr>
        <w:pStyle w:val="Caption"/>
        <w:keepNext/>
        <w:jc w:val="center"/>
      </w:pPr>
      <w:bookmarkStart w:id="627" w:name="_Toc357719728"/>
      <w:r w:rsidRPr="00942C19">
        <w:t xml:space="preserve">Table </w:t>
      </w:r>
      <w:r w:rsidR="000C642E" w:rsidRPr="00942C19">
        <w:rPr>
          <w:b w:val="0"/>
          <w:bCs w:val="0"/>
        </w:rPr>
        <w:fldChar w:fldCharType="begin"/>
      </w:r>
      <w:r w:rsidRPr="00942C19">
        <w:instrText xml:space="preserve"> STYLEREF 1 \s </w:instrText>
      </w:r>
      <w:r w:rsidR="000C642E" w:rsidRPr="00942C19">
        <w:rPr>
          <w:b w:val="0"/>
          <w:bCs w:val="0"/>
        </w:rPr>
        <w:fldChar w:fldCharType="separate"/>
      </w:r>
      <w:r w:rsidR="00984AA4" w:rsidRPr="00942C19">
        <w:rPr>
          <w:noProof/>
        </w:rPr>
        <w:t>4</w:t>
      </w:r>
      <w:r w:rsidR="000C642E" w:rsidRPr="00942C19">
        <w:rPr>
          <w:b w:val="0"/>
          <w:bCs w:val="0"/>
        </w:rPr>
        <w:fldChar w:fldCharType="end"/>
      </w:r>
      <w:r w:rsidRPr="00942C19">
        <w:noBreakHyphen/>
      </w:r>
      <w:r w:rsidR="000C642E" w:rsidRPr="00942C19">
        <w:rPr>
          <w:b w:val="0"/>
          <w:bCs w:val="0"/>
        </w:rPr>
        <w:fldChar w:fldCharType="begin"/>
      </w:r>
      <w:r w:rsidRPr="00942C19">
        <w:instrText xml:space="preserve"> SEQ Table \* ARABIC \s 1 </w:instrText>
      </w:r>
      <w:r w:rsidR="000C642E" w:rsidRPr="00942C19">
        <w:rPr>
          <w:b w:val="0"/>
          <w:bCs w:val="0"/>
        </w:rPr>
        <w:fldChar w:fldCharType="separate"/>
      </w:r>
      <w:r w:rsidR="00984AA4" w:rsidRPr="00942C19">
        <w:rPr>
          <w:noProof/>
        </w:rPr>
        <w:t>34</w:t>
      </w:r>
      <w:r w:rsidR="000C642E" w:rsidRPr="00942C19">
        <w:rPr>
          <w:b w:val="0"/>
          <w:bCs w:val="0"/>
        </w:rPr>
        <w:fldChar w:fldCharType="end"/>
      </w:r>
      <w:bookmarkEnd w:id="623"/>
      <w:r w:rsidRPr="00942C19">
        <w:t xml:space="preserve">: SUMMARY OF APPROVED POWER PURCHASE COST </w:t>
      </w:r>
      <w:bookmarkEnd w:id="624"/>
      <w:bookmarkEnd w:id="625"/>
      <w:bookmarkEnd w:id="626"/>
      <w:r w:rsidRPr="00942C19">
        <w:t>FY 2013-14</w:t>
      </w:r>
      <w:bookmarkEnd w:id="627"/>
      <w:r w:rsidRPr="00942C19">
        <w:t xml:space="preserve"> </w:t>
      </w:r>
    </w:p>
    <w:tbl>
      <w:tblPr>
        <w:tblW w:w="5719"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45"/>
        <w:gridCol w:w="1138"/>
        <w:gridCol w:w="852"/>
        <w:gridCol w:w="705"/>
        <w:gridCol w:w="142"/>
        <w:gridCol w:w="988"/>
        <w:gridCol w:w="705"/>
        <w:gridCol w:w="132"/>
        <w:gridCol w:w="872"/>
        <w:gridCol w:w="709"/>
        <w:gridCol w:w="1114"/>
        <w:gridCol w:w="961"/>
      </w:tblGrid>
      <w:tr w:rsidR="006B5AAB" w:rsidRPr="00942C19" w:rsidTr="006B5AAB">
        <w:trPr>
          <w:trHeight w:val="321"/>
          <w:tblHeader/>
        </w:trPr>
        <w:tc>
          <w:tcPr>
            <w:tcW w:w="907" w:type="pct"/>
            <w:vMerge w:val="restart"/>
            <w:shd w:val="clear" w:color="000000" w:fill="DBE5F1"/>
            <w:vAlign w:val="center"/>
            <w:hideMark/>
          </w:tcPr>
          <w:p w:rsidR="00A44CA7" w:rsidRPr="00942C19" w:rsidRDefault="00222C32">
            <w:pPr>
              <w:spacing w:before="0" w:line="240" w:lineRule="auto"/>
              <w:jc w:val="center"/>
              <w:rPr>
                <w:rFonts w:cs="Arial"/>
                <w:b/>
                <w:bCs/>
                <w:color w:val="333399"/>
                <w:kern w:val="32"/>
                <w:sz w:val="22"/>
                <w:szCs w:val="22"/>
                <w:lang w:val="en-US"/>
              </w:rPr>
            </w:pPr>
            <w:r w:rsidRPr="00942C19">
              <w:rPr>
                <w:rFonts w:cs="Arial"/>
                <w:b/>
                <w:bCs/>
                <w:sz w:val="22"/>
                <w:szCs w:val="22"/>
                <w:lang w:val="en-US"/>
              </w:rPr>
              <w:t>Source of Power</w:t>
            </w:r>
          </w:p>
        </w:tc>
        <w:tc>
          <w:tcPr>
            <w:tcW w:w="560" w:type="pct"/>
            <w:vMerge w:val="restart"/>
            <w:shd w:val="clear" w:color="000000" w:fill="DBE5F1"/>
            <w:vAlign w:val="center"/>
            <w:hideMark/>
          </w:tcPr>
          <w:p w:rsidR="00A44CA7" w:rsidRPr="00942C19" w:rsidRDefault="00222C32">
            <w:pPr>
              <w:spacing w:before="0" w:line="240" w:lineRule="auto"/>
              <w:jc w:val="center"/>
              <w:rPr>
                <w:rFonts w:cs="Arial"/>
                <w:b/>
                <w:bCs/>
                <w:color w:val="333399"/>
                <w:kern w:val="32"/>
                <w:sz w:val="22"/>
                <w:szCs w:val="22"/>
                <w:lang w:val="en-US"/>
              </w:rPr>
            </w:pPr>
            <w:r w:rsidRPr="00942C19">
              <w:rPr>
                <w:rFonts w:cs="Arial"/>
                <w:b/>
                <w:bCs/>
                <w:sz w:val="22"/>
                <w:szCs w:val="22"/>
                <w:lang w:val="en-US"/>
              </w:rPr>
              <w:t>MW Available</w:t>
            </w:r>
          </w:p>
        </w:tc>
        <w:tc>
          <w:tcPr>
            <w:tcW w:w="419" w:type="pct"/>
            <w:vMerge w:val="restart"/>
            <w:shd w:val="clear" w:color="000000" w:fill="DBE5F1"/>
            <w:vAlign w:val="center"/>
            <w:hideMark/>
          </w:tcPr>
          <w:p w:rsidR="00A44CA7" w:rsidRPr="00942C19" w:rsidRDefault="00222C32">
            <w:pPr>
              <w:spacing w:before="0" w:line="240" w:lineRule="auto"/>
              <w:jc w:val="center"/>
              <w:rPr>
                <w:rFonts w:cs="Arial"/>
                <w:b/>
                <w:bCs/>
                <w:color w:val="333399"/>
                <w:kern w:val="32"/>
                <w:sz w:val="22"/>
                <w:szCs w:val="22"/>
                <w:lang w:val="en-US"/>
              </w:rPr>
            </w:pPr>
            <w:r w:rsidRPr="00942C19">
              <w:rPr>
                <w:rFonts w:cs="Arial"/>
                <w:b/>
                <w:bCs/>
                <w:sz w:val="22"/>
                <w:szCs w:val="22"/>
                <w:lang w:val="en-US"/>
              </w:rPr>
              <w:t>MU</w:t>
            </w:r>
          </w:p>
        </w:tc>
        <w:tc>
          <w:tcPr>
            <w:tcW w:w="903" w:type="pct"/>
            <w:gridSpan w:val="3"/>
            <w:shd w:val="clear" w:color="000000" w:fill="DBE5F1"/>
            <w:vAlign w:val="center"/>
            <w:hideMark/>
          </w:tcPr>
          <w:p w:rsidR="00A44CA7" w:rsidRPr="00942C19" w:rsidRDefault="00222C32">
            <w:pPr>
              <w:spacing w:before="0" w:line="240" w:lineRule="auto"/>
              <w:jc w:val="center"/>
              <w:rPr>
                <w:rFonts w:cs="Arial"/>
                <w:b/>
                <w:bCs/>
                <w:color w:val="333399"/>
                <w:kern w:val="32"/>
                <w:sz w:val="22"/>
                <w:szCs w:val="22"/>
                <w:lang w:val="en-US"/>
              </w:rPr>
            </w:pPr>
            <w:r w:rsidRPr="00942C19">
              <w:rPr>
                <w:rFonts w:cs="Arial"/>
                <w:b/>
                <w:bCs/>
                <w:sz w:val="22"/>
                <w:szCs w:val="22"/>
                <w:lang w:val="en-US"/>
              </w:rPr>
              <w:t>Fixed Cost</w:t>
            </w:r>
          </w:p>
        </w:tc>
        <w:tc>
          <w:tcPr>
            <w:tcW w:w="841" w:type="pct"/>
            <w:gridSpan w:val="3"/>
            <w:shd w:val="clear" w:color="000000" w:fill="DBE5F1"/>
            <w:vAlign w:val="center"/>
            <w:hideMark/>
          </w:tcPr>
          <w:p w:rsidR="00A44CA7" w:rsidRPr="00942C19" w:rsidRDefault="00222C32">
            <w:pPr>
              <w:spacing w:before="0" w:line="240" w:lineRule="auto"/>
              <w:jc w:val="center"/>
              <w:rPr>
                <w:rFonts w:cs="Arial"/>
                <w:b/>
                <w:bCs/>
                <w:color w:val="333399"/>
                <w:kern w:val="32"/>
                <w:sz w:val="22"/>
                <w:szCs w:val="22"/>
                <w:lang w:val="en-US"/>
              </w:rPr>
            </w:pPr>
            <w:r w:rsidRPr="00942C19">
              <w:rPr>
                <w:rFonts w:cs="Arial"/>
                <w:b/>
                <w:bCs/>
                <w:sz w:val="22"/>
                <w:szCs w:val="22"/>
                <w:lang w:val="en-US"/>
              </w:rPr>
              <w:t>Variable Cost</w:t>
            </w:r>
          </w:p>
        </w:tc>
        <w:tc>
          <w:tcPr>
            <w:tcW w:w="896" w:type="pct"/>
            <w:gridSpan w:val="2"/>
            <w:shd w:val="clear" w:color="000000" w:fill="DBE5F1"/>
            <w:vAlign w:val="center"/>
            <w:hideMark/>
          </w:tcPr>
          <w:p w:rsidR="00A44CA7" w:rsidRPr="00942C19" w:rsidRDefault="00222C32">
            <w:pPr>
              <w:spacing w:before="0" w:line="240" w:lineRule="auto"/>
              <w:jc w:val="center"/>
              <w:rPr>
                <w:rFonts w:cs="Arial"/>
                <w:b/>
                <w:bCs/>
                <w:color w:val="333399"/>
                <w:kern w:val="32"/>
                <w:sz w:val="22"/>
                <w:szCs w:val="22"/>
                <w:lang w:val="en-US"/>
              </w:rPr>
            </w:pPr>
            <w:r w:rsidRPr="00942C19">
              <w:rPr>
                <w:rFonts w:cs="Arial"/>
                <w:b/>
                <w:bCs/>
                <w:sz w:val="22"/>
                <w:szCs w:val="22"/>
                <w:lang w:val="en-US"/>
              </w:rPr>
              <w:t>Total Cost</w:t>
            </w:r>
          </w:p>
        </w:tc>
        <w:tc>
          <w:tcPr>
            <w:tcW w:w="473" w:type="pct"/>
            <w:shd w:val="clear" w:color="000000" w:fill="DBE5F1"/>
            <w:vAlign w:val="center"/>
            <w:hideMark/>
          </w:tcPr>
          <w:p w:rsidR="00A44CA7" w:rsidRPr="00942C19" w:rsidRDefault="00222C32">
            <w:pPr>
              <w:spacing w:before="0" w:line="240" w:lineRule="auto"/>
              <w:jc w:val="center"/>
              <w:rPr>
                <w:rFonts w:cs="Arial"/>
                <w:b/>
                <w:bCs/>
                <w:color w:val="333399"/>
                <w:kern w:val="32"/>
                <w:sz w:val="22"/>
                <w:szCs w:val="22"/>
                <w:lang w:val="en-US"/>
              </w:rPr>
            </w:pPr>
            <w:r w:rsidRPr="00942C19">
              <w:rPr>
                <w:rFonts w:cs="Arial"/>
                <w:b/>
                <w:bCs/>
                <w:sz w:val="22"/>
                <w:szCs w:val="22"/>
                <w:lang w:val="en-US"/>
              </w:rPr>
              <w:t>Av</w:t>
            </w:r>
            <w:r w:rsidR="006B5AAB" w:rsidRPr="00942C19">
              <w:rPr>
                <w:rFonts w:cs="Arial"/>
                <w:b/>
                <w:bCs/>
                <w:sz w:val="22"/>
                <w:szCs w:val="22"/>
                <w:lang w:val="en-US"/>
              </w:rPr>
              <w:t>g</w:t>
            </w:r>
            <w:r w:rsidRPr="00942C19">
              <w:rPr>
                <w:rFonts w:cs="Arial"/>
                <w:b/>
                <w:bCs/>
                <w:sz w:val="22"/>
                <w:szCs w:val="22"/>
                <w:lang w:val="en-US"/>
              </w:rPr>
              <w:t xml:space="preserve"> Cost</w:t>
            </w:r>
          </w:p>
        </w:tc>
      </w:tr>
      <w:tr w:rsidR="006B5AAB" w:rsidRPr="00942C19" w:rsidTr="006B5AAB">
        <w:trPr>
          <w:trHeight w:val="90"/>
          <w:tblHeader/>
        </w:trPr>
        <w:tc>
          <w:tcPr>
            <w:tcW w:w="907" w:type="pct"/>
            <w:vMerge/>
            <w:vAlign w:val="center"/>
            <w:hideMark/>
          </w:tcPr>
          <w:p w:rsidR="00A44CA7" w:rsidRPr="00942C19" w:rsidRDefault="00A44CA7">
            <w:pPr>
              <w:spacing w:before="0" w:line="240" w:lineRule="auto"/>
              <w:jc w:val="left"/>
              <w:rPr>
                <w:rFonts w:cs="Arial"/>
                <w:b/>
                <w:bCs/>
                <w:sz w:val="22"/>
                <w:szCs w:val="22"/>
                <w:lang w:val="en-US"/>
              </w:rPr>
            </w:pPr>
          </w:p>
        </w:tc>
        <w:tc>
          <w:tcPr>
            <w:tcW w:w="560" w:type="pct"/>
            <w:vMerge/>
            <w:vAlign w:val="center"/>
            <w:hideMark/>
          </w:tcPr>
          <w:p w:rsidR="00A44CA7" w:rsidRPr="00942C19" w:rsidRDefault="00A44CA7">
            <w:pPr>
              <w:spacing w:before="0" w:line="240" w:lineRule="auto"/>
              <w:jc w:val="center"/>
              <w:rPr>
                <w:rFonts w:cs="Arial"/>
                <w:b/>
                <w:bCs/>
                <w:sz w:val="22"/>
                <w:szCs w:val="22"/>
                <w:lang w:val="en-US"/>
              </w:rPr>
            </w:pPr>
          </w:p>
        </w:tc>
        <w:tc>
          <w:tcPr>
            <w:tcW w:w="419" w:type="pct"/>
            <w:vMerge/>
            <w:vAlign w:val="center"/>
            <w:hideMark/>
          </w:tcPr>
          <w:p w:rsidR="00A44CA7" w:rsidRPr="00942C19" w:rsidRDefault="00A44CA7">
            <w:pPr>
              <w:spacing w:before="0" w:line="240" w:lineRule="auto"/>
              <w:jc w:val="center"/>
              <w:rPr>
                <w:rFonts w:cs="Arial"/>
                <w:b/>
                <w:bCs/>
                <w:sz w:val="22"/>
                <w:szCs w:val="22"/>
                <w:lang w:val="en-US"/>
              </w:rPr>
            </w:pPr>
          </w:p>
        </w:tc>
        <w:tc>
          <w:tcPr>
            <w:tcW w:w="417" w:type="pct"/>
            <w:gridSpan w:val="2"/>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(Rs. / kWh)</w:t>
            </w:r>
          </w:p>
        </w:tc>
        <w:tc>
          <w:tcPr>
            <w:tcW w:w="486"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(Rs. Cr.)</w:t>
            </w:r>
          </w:p>
        </w:tc>
        <w:tc>
          <w:tcPr>
            <w:tcW w:w="412" w:type="pct"/>
            <w:gridSpan w:val="2"/>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(Rs. / kWh)</w:t>
            </w:r>
          </w:p>
        </w:tc>
        <w:tc>
          <w:tcPr>
            <w:tcW w:w="429"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(Rs. Cr.)</w:t>
            </w:r>
          </w:p>
        </w:tc>
        <w:tc>
          <w:tcPr>
            <w:tcW w:w="348"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(Rs. / kWh)</w:t>
            </w:r>
          </w:p>
        </w:tc>
        <w:tc>
          <w:tcPr>
            <w:tcW w:w="548"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(Rs. Cr.)</w:t>
            </w:r>
          </w:p>
        </w:tc>
        <w:tc>
          <w:tcPr>
            <w:tcW w:w="473"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(Rs. / kWh)</w:t>
            </w:r>
          </w:p>
        </w:tc>
      </w:tr>
      <w:tr w:rsidR="00222C32" w:rsidRPr="00942C19" w:rsidTr="006B5AAB">
        <w:trPr>
          <w:trHeight w:val="300"/>
        </w:trPr>
        <w:tc>
          <w:tcPr>
            <w:tcW w:w="5000" w:type="pct"/>
            <w:gridSpan w:val="12"/>
            <w:shd w:val="clear" w:color="auto" w:fill="auto"/>
            <w:noWrap/>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Procurement of power from State Sector Generating Stations</w:t>
            </w:r>
          </w:p>
        </w:tc>
      </w:tr>
      <w:tr w:rsidR="00222C32" w:rsidRPr="00942C19" w:rsidTr="006B5AAB">
        <w:trPr>
          <w:trHeight w:val="300"/>
        </w:trPr>
        <w:tc>
          <w:tcPr>
            <w:tcW w:w="5000" w:type="pct"/>
            <w:gridSpan w:val="12"/>
            <w:shd w:val="clear" w:color="auto" w:fill="auto"/>
            <w:noWrap/>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Thermal Stations</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Anpara 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630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4004</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0.59</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236.25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1.33</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531.13</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767.38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1.92</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Anpara B</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6333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1.11</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703.00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1.36</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859.50</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1,562.49</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2.47</w:t>
            </w:r>
          </w:p>
        </w:tc>
      </w:tr>
      <w:tr w:rsidR="006B5AAB" w:rsidRPr="00942C19" w:rsidTr="006B5AAB">
        <w:trPr>
          <w:trHeight w:val="300"/>
        </w:trPr>
        <w:tc>
          <w:tcPr>
            <w:tcW w:w="907" w:type="pct"/>
            <w:shd w:val="clear" w:color="auto" w:fill="auto"/>
            <w:hideMark/>
          </w:tcPr>
          <w:p w:rsidR="00A44CA7" w:rsidRPr="00942C19" w:rsidRDefault="007C4D9D">
            <w:pPr>
              <w:spacing w:before="0" w:line="240" w:lineRule="auto"/>
              <w:jc w:val="left"/>
              <w:rPr>
                <w:rFonts w:cs="Arial"/>
                <w:sz w:val="22"/>
                <w:szCs w:val="22"/>
                <w:lang w:val="en-US"/>
              </w:rPr>
            </w:pPr>
            <w:r w:rsidRPr="00942C19">
              <w:rPr>
                <w:rFonts w:cs="Arial"/>
                <w:sz w:val="22"/>
                <w:szCs w:val="22"/>
                <w:lang w:val="en-US"/>
              </w:rPr>
              <w:t>Harduaganj</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165</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597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2.14</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127.73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3.13</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186.64</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5.27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314.38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5.27</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Obra 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288</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783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1.00</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78.28</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1.87</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146.73</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225.02</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2.87</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Obra B</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2750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0.69</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189.75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1.72</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472.37</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2.41</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662.12</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2.41</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Panki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1050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141.75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3.21</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336.84</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4.56</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478.59</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4.56</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Parichha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805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1.02</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82.08</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2.98</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239.50</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4.00</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321.59</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4.00</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Parichha Extn.</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2526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366.22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2.62</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662.01</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1,028.23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4.07</w:t>
            </w:r>
          </w:p>
        </w:tc>
      </w:tr>
      <w:tr w:rsidR="006B5AAB" w:rsidRPr="00942C19" w:rsidTr="006B5AAB">
        <w:trPr>
          <w:trHeight w:val="381"/>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Parichha Extn. Stage II (2X250MW)</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3309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1.58</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522.83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2.59</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857.50</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1,380.33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4.17</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Harduaganj Ext. (2X250MW)</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2970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1.71</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507.91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2.39</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708.52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4.10</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1,216.43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4.10</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 total - Thermal</w:t>
            </w:r>
          </w:p>
        </w:tc>
        <w:tc>
          <w:tcPr>
            <w:tcW w:w="560"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4933</w:t>
            </w:r>
          </w:p>
        </w:tc>
        <w:tc>
          <w:tcPr>
            <w:tcW w:w="419"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25127</w:t>
            </w:r>
          </w:p>
        </w:tc>
        <w:tc>
          <w:tcPr>
            <w:tcW w:w="347"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2955.81</w:t>
            </w:r>
          </w:p>
        </w:tc>
        <w:tc>
          <w:tcPr>
            <w:tcW w:w="347"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5000.74</w:t>
            </w:r>
          </w:p>
        </w:tc>
        <w:tc>
          <w:tcPr>
            <w:tcW w:w="348"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7956.55</w:t>
            </w:r>
          </w:p>
        </w:tc>
        <w:tc>
          <w:tcPr>
            <w:tcW w:w="473"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3.17</w:t>
            </w:r>
          </w:p>
        </w:tc>
      </w:tr>
      <w:tr w:rsidR="006B5AAB" w:rsidRPr="00942C19" w:rsidTr="006B5AAB">
        <w:trPr>
          <w:trHeight w:val="300"/>
        </w:trPr>
        <w:tc>
          <w:tcPr>
            <w:tcW w:w="3979" w:type="pct"/>
            <w:gridSpan w:val="10"/>
            <w:shd w:val="clear" w:color="auto" w:fill="auto"/>
            <w:noWrap/>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Per unit Avg Rate of Thermal Generation</w:t>
            </w:r>
          </w:p>
        </w:tc>
        <w:tc>
          <w:tcPr>
            <w:tcW w:w="548"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3.17</w:t>
            </w:r>
          </w:p>
        </w:tc>
        <w:tc>
          <w:tcPr>
            <w:tcW w:w="473"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r>
      <w:tr w:rsidR="00222C32" w:rsidRPr="00942C19" w:rsidTr="006B5AAB">
        <w:trPr>
          <w:trHeight w:val="300"/>
        </w:trPr>
        <w:tc>
          <w:tcPr>
            <w:tcW w:w="5000" w:type="pct"/>
            <w:gridSpan w:val="12"/>
            <w:shd w:val="clear" w:color="000000" w:fill="D8D8D8"/>
            <w:noWrap/>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Hydro Stations</w:t>
            </w:r>
          </w:p>
        </w:tc>
      </w:tr>
      <w:tr w:rsidR="006B5AAB" w:rsidRPr="00942C19" w:rsidTr="006B5AAB">
        <w:trPr>
          <w:trHeight w:val="300"/>
        </w:trPr>
        <w:tc>
          <w:tcPr>
            <w:tcW w:w="907" w:type="pct"/>
            <w:shd w:val="clear" w:color="auto" w:fill="auto"/>
            <w:noWrap/>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Khara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58</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303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0.72</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21.83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0.72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21.83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0.72</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Matatila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5.24</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5.24</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0.65</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Obra (Hydel)</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99</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0.63</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17.39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0.63</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17.39</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0.63</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Rihand</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255</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773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0.55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42.50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0.55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42.50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0.55</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UGC Power Stations</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2.13</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6.60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2.13</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6.60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2.13</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Belka &amp; Babail</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2.25</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2.48</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2.25</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Sheetla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2.73</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2.73</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2.73</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2.73</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 total - Hydro</w:t>
            </w:r>
          </w:p>
        </w:tc>
        <w:tc>
          <w:tcPr>
            <w:tcW w:w="560"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463</w:t>
            </w:r>
          </w:p>
        </w:tc>
        <w:tc>
          <w:tcPr>
            <w:tcW w:w="419"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1485</w:t>
            </w:r>
          </w:p>
        </w:tc>
        <w:tc>
          <w:tcPr>
            <w:tcW w:w="347"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93.56</w:t>
            </w:r>
          </w:p>
        </w:tc>
        <w:tc>
          <w:tcPr>
            <w:tcW w:w="347"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5.21</w:t>
            </w:r>
          </w:p>
        </w:tc>
        <w:tc>
          <w:tcPr>
            <w:tcW w:w="348"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98.77</w:t>
            </w:r>
          </w:p>
        </w:tc>
        <w:tc>
          <w:tcPr>
            <w:tcW w:w="473"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0.67</w:t>
            </w:r>
          </w:p>
        </w:tc>
      </w:tr>
      <w:tr w:rsidR="006B5AAB" w:rsidRPr="00942C19" w:rsidTr="006B5AAB">
        <w:trPr>
          <w:trHeight w:val="300"/>
        </w:trPr>
        <w:tc>
          <w:tcPr>
            <w:tcW w:w="3979" w:type="pct"/>
            <w:gridSpan w:val="10"/>
            <w:shd w:val="clear" w:color="auto" w:fill="auto"/>
            <w:noWrap/>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Purchase Per unit Avg Rate from hydro generating stations</w:t>
            </w:r>
          </w:p>
        </w:tc>
        <w:tc>
          <w:tcPr>
            <w:tcW w:w="548"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0.67</w:t>
            </w:r>
          </w:p>
        </w:tc>
        <w:tc>
          <w:tcPr>
            <w:tcW w:w="473"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Sub-Total Own generation</w:t>
            </w:r>
          </w:p>
        </w:tc>
        <w:tc>
          <w:tcPr>
            <w:tcW w:w="560"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5396</w:t>
            </w:r>
          </w:p>
        </w:tc>
        <w:tc>
          <w:tcPr>
            <w:tcW w:w="419"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26612</w:t>
            </w:r>
          </w:p>
        </w:tc>
        <w:tc>
          <w:tcPr>
            <w:tcW w:w="347"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3,049.37</w:t>
            </w:r>
          </w:p>
        </w:tc>
        <w:tc>
          <w:tcPr>
            <w:tcW w:w="347"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5,005.95</w:t>
            </w:r>
          </w:p>
        </w:tc>
        <w:tc>
          <w:tcPr>
            <w:tcW w:w="348" w:type="pct"/>
            <w:shd w:val="clear" w:color="auto" w:fill="auto"/>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8,055.32</w:t>
            </w:r>
          </w:p>
        </w:tc>
        <w:tc>
          <w:tcPr>
            <w:tcW w:w="473" w:type="pct"/>
            <w:shd w:val="clear" w:color="auto" w:fill="auto"/>
            <w:vAlign w:val="center"/>
            <w:hideMark/>
          </w:tcPr>
          <w:p w:rsidR="00A44CA7" w:rsidRPr="00942C19" w:rsidRDefault="00222C32">
            <w:pPr>
              <w:spacing w:before="0" w:line="240" w:lineRule="auto"/>
              <w:jc w:val="center"/>
              <w:rPr>
                <w:rFonts w:cs="Arial"/>
                <w:b/>
                <w:bCs/>
                <w:sz w:val="20"/>
                <w:szCs w:val="20"/>
                <w:lang w:val="en-US"/>
              </w:rPr>
            </w:pPr>
            <w:r w:rsidRPr="00942C19">
              <w:rPr>
                <w:rFonts w:cs="Arial"/>
                <w:b/>
                <w:bCs/>
                <w:sz w:val="20"/>
                <w:szCs w:val="20"/>
                <w:lang w:val="en-US"/>
              </w:rPr>
              <w:t>3.03</w:t>
            </w:r>
          </w:p>
        </w:tc>
      </w:tr>
      <w:tr w:rsidR="00222C32" w:rsidRPr="00942C19" w:rsidTr="006B5AAB">
        <w:trPr>
          <w:trHeight w:val="300"/>
        </w:trPr>
        <w:tc>
          <w:tcPr>
            <w:tcW w:w="5000" w:type="pct"/>
            <w:gridSpan w:val="12"/>
            <w:shd w:val="clear" w:color="000000" w:fill="D8D8D8"/>
            <w:noWrap/>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Procurement of power from Central Sector Generating Stations</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Anta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114</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639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0.99</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63.00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4.90</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312.95</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5.88</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375.95</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5.88</w:t>
            </w:r>
          </w:p>
        </w:tc>
      </w:tr>
      <w:tr w:rsidR="006B5AAB" w:rsidRPr="00942C19" w:rsidTr="006B5AAB">
        <w:trPr>
          <w:trHeight w:val="300"/>
        </w:trPr>
        <w:tc>
          <w:tcPr>
            <w:tcW w:w="907" w:type="pct"/>
            <w:shd w:val="clear" w:color="auto" w:fill="auto"/>
            <w:hideMark/>
          </w:tcPr>
          <w:p w:rsidR="00A44CA7" w:rsidRPr="00942C19" w:rsidRDefault="007C4D9D">
            <w:pPr>
              <w:spacing w:before="0" w:line="240" w:lineRule="auto"/>
              <w:jc w:val="left"/>
              <w:rPr>
                <w:rFonts w:cs="Arial"/>
                <w:sz w:val="22"/>
                <w:szCs w:val="22"/>
                <w:lang w:val="en-US"/>
              </w:rPr>
            </w:pPr>
            <w:r w:rsidRPr="00942C19">
              <w:rPr>
                <w:rFonts w:cs="Arial"/>
                <w:sz w:val="22"/>
                <w:szCs w:val="22"/>
                <w:lang w:val="en-US"/>
              </w:rPr>
              <w:t>Auraiya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237</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1260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0.91</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114.97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7.06</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889.53</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7.97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1,004.50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7.97</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Dadri Thermal</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84</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578</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1.03</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59.79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3.16</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182.45</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4.19</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242.24</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4.19</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Dadri Gas</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266</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1572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0.94</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147.88</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5.26</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827.07</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6.20</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974.95</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6.20</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Dadri Extension</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135</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851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1.86</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158.12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3.11</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264.75</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4.97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422.88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4.97</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Rihand-I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364</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2585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0.85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220.94</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1.35</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350.13</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2.21</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571.07</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2.21</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Rihand-II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334</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2451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0.96</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235.78</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1.35</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332.02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567.80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2.32</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Singrauli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830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6113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0.56</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344.37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1.30</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791.83</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1.86</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1,136.21</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1.86</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Tanda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440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2989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1.09</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326.30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2.45</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731.52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3.54</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1,057.81</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3.54</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Unchahar-I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255</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1874</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0.94</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176.36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457.74</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3.38</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634.10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3.38</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Unchahar-II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145</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1056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0.98</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103.55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258.00</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361.54</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3.42</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Unchahar-III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71</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1.43</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72.96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2.44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124.72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3.87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197.68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3.87</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Farakka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200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18.92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3.40</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68.00</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4.35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86.91</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4.35</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Kahalgaon St. 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77</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431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1.10</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47.31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3.13</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134.88</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4.23</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182.20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4.23</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Kahalgaon St.II Ph.I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167</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1065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1.84</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195.87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2.96</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314.73</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4.80</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510.60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4.80</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Rihand-III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1523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3.25</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494.87</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3.25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494.87</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3.25</w:t>
            </w:r>
          </w:p>
        </w:tc>
      </w:tr>
      <w:tr w:rsidR="006B5AAB" w:rsidRPr="00942C19" w:rsidTr="006B5AAB">
        <w:trPr>
          <w:trHeight w:val="300"/>
        </w:trPr>
        <w:tc>
          <w:tcPr>
            <w:tcW w:w="907" w:type="pct"/>
            <w:shd w:val="clear" w:color="000000" w:fill="D8D8D8"/>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Sub-Total NTPC</w:t>
            </w:r>
          </w:p>
        </w:tc>
        <w:tc>
          <w:tcPr>
            <w:tcW w:w="560"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3893</w:t>
            </w:r>
          </w:p>
        </w:tc>
        <w:tc>
          <w:tcPr>
            <w:tcW w:w="419"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25695</w:t>
            </w: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2,286.11</w:t>
            </w: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6,535.21</w:t>
            </w:r>
          </w:p>
        </w:tc>
        <w:tc>
          <w:tcPr>
            <w:tcW w:w="348"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8,821.32</w:t>
            </w:r>
          </w:p>
        </w:tc>
        <w:tc>
          <w:tcPr>
            <w:tcW w:w="473"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3.43</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Chamera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109</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0.86</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28.60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0.82</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27.17</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55.78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1.67</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Chamera-II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81</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1.21</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48.57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1.13</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45.46</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94.02</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2.35</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Chamera-III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59</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2.11</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61.66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62.64</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124.30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4.25</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Dhauliganga</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71</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1.32</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37.69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1.20</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34.39</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72.07</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2.52</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Salal I&amp;II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0.44</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9.39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0.41</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8.78</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0.86</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18.17</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0.86</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Tanakpur</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11.67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0.99</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10.02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2.14</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21.69</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2.14</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Uri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96</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0.88</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45.22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0.66</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34.08</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79.30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1.55</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Dulhasti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106</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2.58</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131.98</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129.84</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261.83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5.12</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Sewa-II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1.92</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28.11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1.78</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26.16</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3.70</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54.27</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3.70</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Uri-II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3.32</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69.61</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69.61</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3.32</w:t>
            </w:r>
          </w:p>
        </w:tc>
      </w:tr>
      <w:tr w:rsidR="006B5AAB" w:rsidRPr="00942C19" w:rsidTr="006B5AAB">
        <w:trPr>
          <w:trHeight w:val="300"/>
        </w:trPr>
        <w:tc>
          <w:tcPr>
            <w:tcW w:w="907" w:type="pct"/>
            <w:shd w:val="clear" w:color="000000" w:fill="D8D8D8"/>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Sub-Total NHPC</w:t>
            </w:r>
          </w:p>
        </w:tc>
        <w:tc>
          <w:tcPr>
            <w:tcW w:w="560"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673</w:t>
            </w:r>
          </w:p>
        </w:tc>
        <w:tc>
          <w:tcPr>
            <w:tcW w:w="419"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3006</w:t>
            </w: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402.89</w:t>
            </w: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448.15</w:t>
            </w:r>
          </w:p>
        </w:tc>
        <w:tc>
          <w:tcPr>
            <w:tcW w:w="348"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851.04</w:t>
            </w:r>
          </w:p>
        </w:tc>
        <w:tc>
          <w:tcPr>
            <w:tcW w:w="473"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NAPP</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161</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665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2.65</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176.34</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2.65</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176.34</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2.65</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RAPP #3&amp;4</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2.97</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144.36</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144.36</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2.97</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RAPP#5&amp;6</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124</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810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3.67</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297.52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297.52</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3.67</w:t>
            </w:r>
          </w:p>
        </w:tc>
      </w:tr>
      <w:tr w:rsidR="006B5AAB" w:rsidRPr="00942C19" w:rsidTr="006B5AAB">
        <w:trPr>
          <w:trHeight w:val="300"/>
        </w:trPr>
        <w:tc>
          <w:tcPr>
            <w:tcW w:w="907" w:type="pct"/>
            <w:shd w:val="clear" w:color="000000" w:fill="D8D8D8"/>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Sub-Total NPCIL</w:t>
            </w:r>
          </w:p>
        </w:tc>
        <w:tc>
          <w:tcPr>
            <w:tcW w:w="560"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364</w:t>
            </w:r>
          </w:p>
        </w:tc>
        <w:tc>
          <w:tcPr>
            <w:tcW w:w="419"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1962</w:t>
            </w: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618.23</w:t>
            </w:r>
          </w:p>
        </w:tc>
        <w:tc>
          <w:tcPr>
            <w:tcW w:w="348"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618.23</w:t>
            </w:r>
          </w:p>
        </w:tc>
        <w:tc>
          <w:tcPr>
            <w:tcW w:w="473"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r>
      <w:tr w:rsidR="006B5AAB" w:rsidRPr="00942C19" w:rsidTr="006B5AAB">
        <w:trPr>
          <w:trHeight w:val="600"/>
        </w:trPr>
        <w:tc>
          <w:tcPr>
            <w:tcW w:w="907" w:type="pct"/>
            <w:shd w:val="clear" w:color="auto" w:fill="auto"/>
            <w:hideMark/>
          </w:tcPr>
          <w:p w:rsidR="00A44CA7" w:rsidRPr="00942C19" w:rsidRDefault="00D31494">
            <w:pPr>
              <w:spacing w:before="0" w:line="240" w:lineRule="auto"/>
              <w:jc w:val="left"/>
              <w:rPr>
                <w:rFonts w:cs="Arial"/>
                <w:sz w:val="22"/>
                <w:szCs w:val="22"/>
                <w:lang w:val="en-US"/>
              </w:rPr>
            </w:pPr>
            <w:r w:rsidRPr="00942C19">
              <w:rPr>
                <w:rFonts w:cs="Arial"/>
                <w:sz w:val="22"/>
                <w:szCs w:val="22"/>
                <w:lang w:val="en-US"/>
              </w:rPr>
              <w:t>Naptha</w:t>
            </w:r>
            <w:r w:rsidR="00222C32" w:rsidRPr="00942C19">
              <w:rPr>
                <w:rFonts w:cs="Arial"/>
                <w:sz w:val="22"/>
                <w:szCs w:val="22"/>
                <w:lang w:val="en-US"/>
              </w:rPr>
              <w:t xml:space="preserve"> Jhakri HPS</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275</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1365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1.42</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194.27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155.75</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2.56</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350.02</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2.56</w:t>
            </w:r>
          </w:p>
        </w:tc>
      </w:tr>
      <w:tr w:rsidR="006B5AAB" w:rsidRPr="00942C19" w:rsidTr="006B5AAB">
        <w:trPr>
          <w:trHeight w:val="300"/>
        </w:trPr>
        <w:tc>
          <w:tcPr>
            <w:tcW w:w="907" w:type="pct"/>
            <w:shd w:val="clear" w:color="auto" w:fill="auto"/>
            <w:hideMark/>
          </w:tcPr>
          <w:p w:rsidR="00A44CA7" w:rsidRPr="00942C19" w:rsidRDefault="004F32BA">
            <w:pPr>
              <w:spacing w:before="0" w:line="240" w:lineRule="auto"/>
              <w:jc w:val="left"/>
              <w:rPr>
                <w:rFonts w:cs="Arial"/>
                <w:sz w:val="22"/>
                <w:szCs w:val="22"/>
                <w:lang w:val="en-US"/>
              </w:rPr>
            </w:pPr>
            <w:r w:rsidRPr="00942C19">
              <w:rPr>
                <w:rFonts w:cs="Arial"/>
                <w:sz w:val="22"/>
                <w:szCs w:val="22"/>
                <w:lang w:val="en-US"/>
              </w:rPr>
              <w:t>Vishnu Prayag</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352</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1752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1.13</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198.23</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1.18</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207.10</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2.31</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405.33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2.31</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Tala Power</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45</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184</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39.40</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2.14</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39.40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2.14</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Tehri Hydro</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1241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2.30</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285.45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2.50</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310.25</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4.80</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595.70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4.80</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Rosa Power Project 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900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3205</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1.44</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461.46</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3.68</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1,178.24</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1,639.70</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5.12</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 xml:space="preserve">IGSTPP, </w:t>
            </w:r>
            <w:r w:rsidR="004F32BA" w:rsidRPr="00942C19">
              <w:rPr>
                <w:rFonts w:cs="Arial"/>
                <w:sz w:val="22"/>
                <w:szCs w:val="22"/>
                <w:lang w:val="en-US"/>
              </w:rPr>
              <w:t>Jhajjar</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41</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350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5.06</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177.42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5.06</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177.42</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5.06</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Koteshwar</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169</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522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2.65</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138.32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2.19</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114.31</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4.84</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252.63</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4.84</w:t>
            </w:r>
          </w:p>
        </w:tc>
      </w:tr>
      <w:tr w:rsidR="006B5AAB" w:rsidRPr="00942C19" w:rsidTr="006B5AAB">
        <w:trPr>
          <w:trHeight w:val="3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Anpara 'C'</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1100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5918</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3.48</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2,061.22</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3.48</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2,061.22</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3.48</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Karcham-Wangtoo</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160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3.70</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59.16</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3.70</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59.16</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3.70</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Bajaj Hindusthan</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450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2101</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1.92</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403.17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2.35</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494.71</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4.27</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897.88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4.27</w:t>
            </w: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Rosa Power Project II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300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2102</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2.04</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428.19</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3.68</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772.89</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5.71</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1,201.08</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5.71</w:t>
            </w:r>
          </w:p>
        </w:tc>
      </w:tr>
      <w:tr w:rsidR="006B5AAB" w:rsidRPr="00942C19" w:rsidTr="006B5AAB">
        <w:trPr>
          <w:trHeight w:val="600"/>
        </w:trPr>
        <w:tc>
          <w:tcPr>
            <w:tcW w:w="907" w:type="pct"/>
            <w:shd w:val="clear" w:color="000000" w:fill="D8D8D8"/>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Sub-Total IPP/JV</w:t>
            </w:r>
          </w:p>
        </w:tc>
        <w:tc>
          <w:tcPr>
            <w:tcW w:w="560"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4243</w:t>
            </w:r>
          </w:p>
        </w:tc>
        <w:tc>
          <w:tcPr>
            <w:tcW w:w="419"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18900</w:t>
            </w: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5,570.44</w:t>
            </w:r>
          </w:p>
        </w:tc>
        <w:tc>
          <w:tcPr>
            <w:tcW w:w="348"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7,679.54</w:t>
            </w:r>
          </w:p>
        </w:tc>
        <w:tc>
          <w:tcPr>
            <w:tcW w:w="473"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r>
      <w:tr w:rsidR="006B5AAB" w:rsidRPr="00942C19" w:rsidTr="006B5AAB">
        <w:trPr>
          <w:trHeight w:val="6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Captive and Cogen</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2830</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4.62</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1,308.16</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4.62</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1,308.16</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4.62</w:t>
            </w:r>
          </w:p>
        </w:tc>
      </w:tr>
      <w:tr w:rsidR="006B5AAB" w:rsidRPr="00942C19" w:rsidTr="006B5AAB">
        <w:trPr>
          <w:trHeight w:val="1200"/>
        </w:trPr>
        <w:tc>
          <w:tcPr>
            <w:tcW w:w="907" w:type="pct"/>
            <w:shd w:val="clear" w:color="auto" w:fill="auto"/>
            <w:hideMark/>
          </w:tcPr>
          <w:p w:rsidR="00A44CA7" w:rsidRPr="00942C19" w:rsidRDefault="00222C32">
            <w:pPr>
              <w:spacing w:before="0" w:line="240" w:lineRule="auto"/>
              <w:jc w:val="left"/>
              <w:rPr>
                <w:rFonts w:cs="Arial"/>
                <w:sz w:val="22"/>
                <w:szCs w:val="22"/>
                <w:lang w:val="en-US"/>
              </w:rPr>
            </w:pPr>
            <w:r w:rsidRPr="00942C19">
              <w:rPr>
                <w:rFonts w:cs="Arial"/>
                <w:sz w:val="22"/>
                <w:szCs w:val="22"/>
                <w:lang w:val="en-US"/>
              </w:rPr>
              <w:t>Inter system exchange (Bilateral &amp; PXIL, IEX) / UI</w:t>
            </w:r>
          </w:p>
        </w:tc>
        <w:tc>
          <w:tcPr>
            <w:tcW w:w="560"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0</w:t>
            </w:r>
          </w:p>
        </w:tc>
        <w:tc>
          <w:tcPr>
            <w:tcW w:w="419"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5627</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556"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w:t>
            </w:r>
          </w:p>
        </w:tc>
        <w:tc>
          <w:tcPr>
            <w:tcW w:w="347"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5.04</w:t>
            </w:r>
          </w:p>
        </w:tc>
        <w:tc>
          <w:tcPr>
            <w:tcW w:w="494" w:type="pct"/>
            <w:gridSpan w:val="2"/>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2836.09</w:t>
            </w:r>
          </w:p>
        </w:tc>
        <w:tc>
          <w:tcPr>
            <w:tcW w:w="3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5.04</w:t>
            </w:r>
          </w:p>
        </w:tc>
        <w:tc>
          <w:tcPr>
            <w:tcW w:w="548"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2836.09</w:t>
            </w:r>
          </w:p>
        </w:tc>
        <w:tc>
          <w:tcPr>
            <w:tcW w:w="473" w:type="pct"/>
            <w:shd w:val="clear" w:color="auto" w:fill="auto"/>
            <w:vAlign w:val="center"/>
            <w:hideMark/>
          </w:tcPr>
          <w:p w:rsidR="00A44CA7" w:rsidRPr="00942C19" w:rsidRDefault="00222C32">
            <w:pPr>
              <w:spacing w:before="0" w:line="240" w:lineRule="auto"/>
              <w:jc w:val="center"/>
              <w:rPr>
                <w:rFonts w:cs="Arial"/>
                <w:sz w:val="22"/>
                <w:szCs w:val="22"/>
                <w:lang w:val="en-US"/>
              </w:rPr>
            </w:pPr>
            <w:r w:rsidRPr="00942C19">
              <w:rPr>
                <w:rFonts w:cs="Arial"/>
                <w:sz w:val="22"/>
                <w:szCs w:val="22"/>
                <w:lang w:val="en-US"/>
              </w:rPr>
              <w:t>5.04</w:t>
            </w:r>
          </w:p>
        </w:tc>
      </w:tr>
      <w:tr w:rsidR="006B5AAB" w:rsidRPr="00942C19" w:rsidTr="006B5AAB">
        <w:trPr>
          <w:trHeight w:val="474"/>
        </w:trPr>
        <w:tc>
          <w:tcPr>
            <w:tcW w:w="907" w:type="pct"/>
            <w:shd w:val="clear" w:color="000000" w:fill="D8D8D8"/>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Sub-Total : Co-Generation &amp; Other Sources</w:t>
            </w:r>
          </w:p>
        </w:tc>
        <w:tc>
          <w:tcPr>
            <w:tcW w:w="560"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0</w:t>
            </w:r>
          </w:p>
        </w:tc>
        <w:tc>
          <w:tcPr>
            <w:tcW w:w="419"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8457</w:t>
            </w: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4,144.26</w:t>
            </w:r>
          </w:p>
        </w:tc>
        <w:tc>
          <w:tcPr>
            <w:tcW w:w="348" w:type="pct"/>
            <w:shd w:val="clear" w:color="000000" w:fill="D8D8D8"/>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4,144.26</w:t>
            </w:r>
          </w:p>
        </w:tc>
        <w:tc>
          <w:tcPr>
            <w:tcW w:w="473" w:type="pct"/>
            <w:shd w:val="clear" w:color="000000" w:fill="D8D8D8"/>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4.90</w:t>
            </w:r>
          </w:p>
        </w:tc>
      </w:tr>
      <w:tr w:rsidR="006B5AAB" w:rsidRPr="00942C19" w:rsidTr="006B5AAB">
        <w:trPr>
          <w:trHeight w:val="515"/>
        </w:trPr>
        <w:tc>
          <w:tcPr>
            <w:tcW w:w="907" w:type="pct"/>
            <w:shd w:val="clear" w:color="000000" w:fill="DBE5F1"/>
            <w:hideMark/>
          </w:tcPr>
          <w:p w:rsidR="00A44CA7" w:rsidRPr="00942C19" w:rsidRDefault="00222C32">
            <w:pPr>
              <w:spacing w:before="0" w:line="240" w:lineRule="auto"/>
              <w:jc w:val="left"/>
              <w:rPr>
                <w:rFonts w:cs="Arial"/>
                <w:b/>
                <w:bCs/>
                <w:sz w:val="22"/>
                <w:szCs w:val="22"/>
                <w:lang w:val="en-US"/>
              </w:rPr>
            </w:pPr>
            <w:r w:rsidRPr="00942C19">
              <w:rPr>
                <w:rFonts w:cs="Arial"/>
                <w:b/>
                <w:bCs/>
                <w:sz w:val="22"/>
                <w:szCs w:val="22"/>
                <w:lang w:val="en-US"/>
              </w:rPr>
              <w:t>Grand Total of Power Purchase</w:t>
            </w:r>
          </w:p>
        </w:tc>
        <w:tc>
          <w:tcPr>
            <w:tcW w:w="560"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14569</w:t>
            </w:r>
          </w:p>
        </w:tc>
        <w:tc>
          <w:tcPr>
            <w:tcW w:w="419"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84632</w:t>
            </w:r>
          </w:p>
        </w:tc>
        <w:tc>
          <w:tcPr>
            <w:tcW w:w="347" w:type="pct"/>
            <w:shd w:val="clear" w:color="000000" w:fill="DBE5F1"/>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5,738.37</w:t>
            </w:r>
          </w:p>
        </w:tc>
        <w:tc>
          <w:tcPr>
            <w:tcW w:w="347" w:type="pct"/>
            <w:shd w:val="clear" w:color="000000" w:fill="DBE5F1"/>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22,322.2</w:t>
            </w:r>
          </w:p>
        </w:tc>
        <w:tc>
          <w:tcPr>
            <w:tcW w:w="348" w:type="pct"/>
            <w:shd w:val="clear" w:color="000000" w:fill="DBE5F1"/>
            <w:vAlign w:val="center"/>
            <w:hideMark/>
          </w:tcPr>
          <w:p w:rsidR="00A44CA7" w:rsidRPr="00942C19" w:rsidRDefault="00A44CA7">
            <w:pPr>
              <w:spacing w:before="0" w:line="240" w:lineRule="auto"/>
              <w:jc w:val="center"/>
              <w:rPr>
                <w:rFonts w:cs="Arial"/>
                <w:b/>
                <w:bCs/>
                <w:color w:val="333399"/>
                <w:kern w:val="32"/>
                <w:sz w:val="22"/>
                <w:szCs w:val="22"/>
                <w:lang w:val="en-US"/>
              </w:rPr>
            </w:pPr>
          </w:p>
        </w:tc>
        <w:tc>
          <w:tcPr>
            <w:tcW w:w="548"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30,169.70</w:t>
            </w:r>
          </w:p>
        </w:tc>
        <w:tc>
          <w:tcPr>
            <w:tcW w:w="473" w:type="pct"/>
            <w:shd w:val="clear" w:color="000000" w:fill="DBE5F1"/>
            <w:vAlign w:val="center"/>
            <w:hideMark/>
          </w:tcPr>
          <w:p w:rsidR="00A44CA7" w:rsidRPr="00942C19" w:rsidRDefault="00222C32">
            <w:pPr>
              <w:spacing w:before="0" w:line="240" w:lineRule="auto"/>
              <w:jc w:val="center"/>
              <w:rPr>
                <w:rFonts w:cs="Arial"/>
                <w:b/>
                <w:bCs/>
                <w:sz w:val="22"/>
                <w:szCs w:val="22"/>
                <w:lang w:val="en-US"/>
              </w:rPr>
            </w:pPr>
            <w:r w:rsidRPr="00942C19">
              <w:rPr>
                <w:rFonts w:cs="Arial"/>
                <w:b/>
                <w:bCs/>
                <w:sz w:val="22"/>
                <w:szCs w:val="22"/>
                <w:lang w:val="en-US"/>
              </w:rPr>
              <w:t>3.56</w:t>
            </w:r>
          </w:p>
        </w:tc>
      </w:tr>
    </w:tbl>
    <w:p w:rsidR="00A44CA7" w:rsidRPr="00942C19" w:rsidRDefault="00A44CA7">
      <w:pPr>
        <w:spacing w:before="0"/>
      </w:pPr>
    </w:p>
    <w:p w:rsidR="00222C32" w:rsidRPr="00942C19" w:rsidRDefault="00222C32" w:rsidP="00222C32">
      <w:pPr>
        <w:tabs>
          <w:tab w:val="left" w:pos="360"/>
        </w:tabs>
        <w:jc w:val="center"/>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628" w:name="_Toc325475524"/>
      <w:bookmarkStart w:id="629" w:name="_Toc356322594"/>
      <w:bookmarkStart w:id="630" w:name="_Toc357714399"/>
      <w:r w:rsidRPr="00942C19">
        <w:t>APPROVED MERIT ORDER</w:t>
      </w:r>
      <w:bookmarkEnd w:id="628"/>
      <w:bookmarkEnd w:id="629"/>
      <w:r w:rsidR="00766755" w:rsidRPr="00942C19">
        <w:t xml:space="preserve"> DISPATCH</w:t>
      </w:r>
      <w:bookmarkEnd w:id="630"/>
    </w:p>
    <w:p w:rsidR="009036DE" w:rsidRPr="00942C19"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AB4841">
      <w:pPr>
        <w:pStyle w:val="Heading3"/>
        <w:numPr>
          <w:ilvl w:val="2"/>
          <w:numId w:val="1"/>
        </w:numPr>
      </w:pPr>
      <w:bookmarkStart w:id="631" w:name="_Toc357349071"/>
      <w:bookmarkStart w:id="632" w:name="_Toc357356124"/>
      <w:r w:rsidRPr="00942C19">
        <w:t xml:space="preserve">Merit </w:t>
      </w:r>
      <w:r w:rsidR="00766755" w:rsidRPr="00942C19">
        <w:t>O</w:t>
      </w:r>
      <w:r w:rsidRPr="00942C19">
        <w:t xml:space="preserve">rder </w:t>
      </w:r>
      <w:r w:rsidR="00766755" w:rsidRPr="00942C19">
        <w:t xml:space="preserve">Dispatch </w:t>
      </w:r>
      <w:r w:rsidRPr="00942C19">
        <w:t xml:space="preserve">as approved by the Commission after evaluating the power purchase cost is given in </w:t>
      </w:r>
      <w:fldSimple w:instr=" REF _Ref323374995 \h  \* MERGEFORMAT ">
        <w:r w:rsidR="00984AA4" w:rsidRPr="00942C19">
          <w:t xml:space="preserve">Table </w:t>
        </w:r>
        <w:r w:rsidR="00984AA4" w:rsidRPr="00942C19">
          <w:rPr>
            <w:noProof/>
          </w:rPr>
          <w:t>4</w:t>
        </w:r>
        <w:r w:rsidR="00984AA4" w:rsidRPr="00942C19">
          <w:rPr>
            <w:noProof/>
          </w:rPr>
          <w:noBreakHyphen/>
          <w:t>35</w:t>
        </w:r>
      </w:fldSimple>
      <w:r w:rsidRPr="00942C19">
        <w:t xml:space="preserve"> below:</w:t>
      </w:r>
      <w:bookmarkEnd w:id="631"/>
      <w:bookmarkEnd w:id="632"/>
    </w:p>
    <w:p w:rsidR="00222C32" w:rsidRPr="00942C19" w:rsidRDefault="00222C32" w:rsidP="00222C32">
      <w:pPr>
        <w:pStyle w:val="Caption"/>
        <w:keepNext/>
        <w:jc w:val="center"/>
      </w:pPr>
      <w:bookmarkStart w:id="633" w:name="_Ref323374995"/>
      <w:bookmarkStart w:id="634" w:name="_Toc325475685"/>
      <w:bookmarkStart w:id="635" w:name="_Toc338310700"/>
      <w:bookmarkStart w:id="636" w:name="_Toc338419530"/>
      <w:bookmarkStart w:id="637" w:name="_Toc357719729"/>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35</w:t>
      </w:r>
      <w:r w:rsidR="000C642E" w:rsidRPr="00942C19">
        <w:fldChar w:fldCharType="end"/>
      </w:r>
      <w:bookmarkEnd w:id="633"/>
      <w:r w:rsidRPr="00942C19">
        <w:t xml:space="preserve">: APPROVED MERIT ORDER </w:t>
      </w:r>
      <w:r w:rsidR="00C8350E" w:rsidRPr="00942C19">
        <w:t>DISPATCH</w:t>
      </w:r>
      <w:r w:rsidRPr="00942C19">
        <w:t xml:space="preserve"> FY </w:t>
      </w:r>
      <w:bookmarkEnd w:id="634"/>
      <w:bookmarkEnd w:id="635"/>
      <w:bookmarkEnd w:id="636"/>
      <w:r w:rsidRPr="00942C19">
        <w:t>2013-14</w:t>
      </w:r>
      <w:bookmarkEnd w:id="637"/>
    </w:p>
    <w:tbl>
      <w:tblPr>
        <w:tblW w:w="532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5"/>
        <w:gridCol w:w="1701"/>
        <w:gridCol w:w="1984"/>
        <w:gridCol w:w="1136"/>
        <w:gridCol w:w="992"/>
        <w:gridCol w:w="1418"/>
        <w:gridCol w:w="1418"/>
      </w:tblGrid>
      <w:tr w:rsidR="00766755" w:rsidRPr="00942C19" w:rsidTr="00766755">
        <w:trPr>
          <w:trHeight w:val="765"/>
          <w:tblHeader/>
        </w:trPr>
        <w:tc>
          <w:tcPr>
            <w:tcW w:w="431" w:type="pct"/>
            <w:shd w:val="clear" w:color="000000" w:fill="DBE5F1"/>
            <w:vAlign w:val="center"/>
            <w:hideMark/>
          </w:tcPr>
          <w:p w:rsidR="00222C32" w:rsidRPr="00942C19" w:rsidRDefault="00222C32" w:rsidP="003F5C37">
            <w:pPr>
              <w:spacing w:line="240" w:lineRule="auto"/>
              <w:jc w:val="center"/>
              <w:rPr>
                <w:rFonts w:cs="Arial"/>
                <w:b/>
                <w:bCs/>
                <w:sz w:val="22"/>
                <w:szCs w:val="22"/>
                <w:lang w:val="en-US"/>
              </w:rPr>
            </w:pPr>
            <w:r w:rsidRPr="00942C19">
              <w:rPr>
                <w:rFonts w:cs="Arial"/>
                <w:b/>
                <w:bCs/>
                <w:sz w:val="22"/>
                <w:szCs w:val="22"/>
                <w:lang w:val="en-US"/>
              </w:rPr>
              <w:t>Rank</w:t>
            </w:r>
          </w:p>
        </w:tc>
        <w:tc>
          <w:tcPr>
            <w:tcW w:w="899" w:type="pct"/>
            <w:shd w:val="clear" w:color="000000" w:fill="DBE5F1"/>
            <w:vAlign w:val="center"/>
            <w:hideMark/>
          </w:tcPr>
          <w:p w:rsidR="00222C32" w:rsidRPr="00942C19" w:rsidRDefault="00222C32" w:rsidP="003F5C37">
            <w:pPr>
              <w:spacing w:line="240" w:lineRule="auto"/>
              <w:jc w:val="center"/>
              <w:rPr>
                <w:rFonts w:cs="Arial"/>
                <w:b/>
                <w:bCs/>
                <w:sz w:val="22"/>
                <w:szCs w:val="22"/>
                <w:lang w:val="en-US"/>
              </w:rPr>
            </w:pPr>
            <w:r w:rsidRPr="00942C19">
              <w:rPr>
                <w:rFonts w:cs="Arial"/>
                <w:b/>
                <w:bCs/>
                <w:sz w:val="22"/>
                <w:szCs w:val="22"/>
                <w:lang w:val="en-US"/>
              </w:rPr>
              <w:t xml:space="preserve">Power  Station </w:t>
            </w:r>
          </w:p>
        </w:tc>
        <w:tc>
          <w:tcPr>
            <w:tcW w:w="1048" w:type="pct"/>
            <w:shd w:val="clear" w:color="000000" w:fill="DBE5F1"/>
            <w:vAlign w:val="center"/>
            <w:hideMark/>
          </w:tcPr>
          <w:p w:rsidR="00222C32" w:rsidRPr="00942C19" w:rsidRDefault="00222C32" w:rsidP="003F5C37">
            <w:pPr>
              <w:spacing w:line="240" w:lineRule="auto"/>
              <w:jc w:val="center"/>
              <w:rPr>
                <w:rFonts w:cs="Arial"/>
                <w:b/>
                <w:bCs/>
                <w:sz w:val="22"/>
                <w:szCs w:val="22"/>
                <w:lang w:val="en-US"/>
              </w:rPr>
            </w:pPr>
            <w:r w:rsidRPr="00942C19">
              <w:rPr>
                <w:rFonts w:cs="Arial"/>
                <w:b/>
                <w:bCs/>
                <w:sz w:val="22"/>
                <w:szCs w:val="22"/>
                <w:lang w:val="en-US"/>
              </w:rPr>
              <w:t>Type</w:t>
            </w:r>
          </w:p>
        </w:tc>
        <w:tc>
          <w:tcPr>
            <w:tcW w:w="600" w:type="pct"/>
            <w:shd w:val="clear" w:color="000000" w:fill="DBE5F1"/>
            <w:vAlign w:val="center"/>
            <w:hideMark/>
          </w:tcPr>
          <w:p w:rsidR="00D47B3B" w:rsidRPr="00942C19" w:rsidRDefault="00222C32">
            <w:pPr>
              <w:spacing w:line="240" w:lineRule="auto"/>
              <w:jc w:val="center"/>
              <w:rPr>
                <w:rFonts w:cs="Arial"/>
                <w:b/>
                <w:bCs/>
                <w:sz w:val="22"/>
                <w:szCs w:val="22"/>
                <w:lang w:val="en-US"/>
              </w:rPr>
            </w:pPr>
            <w:r w:rsidRPr="00942C19">
              <w:rPr>
                <w:rFonts w:cs="Arial"/>
                <w:b/>
                <w:bCs/>
                <w:sz w:val="22"/>
                <w:szCs w:val="22"/>
                <w:lang w:val="en-US"/>
              </w:rPr>
              <w:t>Dispatch Mode</w:t>
            </w:r>
          </w:p>
        </w:tc>
        <w:tc>
          <w:tcPr>
            <w:tcW w:w="524" w:type="pct"/>
            <w:shd w:val="clear" w:color="000000" w:fill="DBE5F1"/>
            <w:vAlign w:val="center"/>
            <w:hideMark/>
          </w:tcPr>
          <w:p w:rsidR="00222C32" w:rsidRPr="00942C19" w:rsidRDefault="00222C32" w:rsidP="003F5C37">
            <w:pPr>
              <w:spacing w:line="240" w:lineRule="auto"/>
              <w:jc w:val="center"/>
              <w:rPr>
                <w:rFonts w:cs="Arial"/>
                <w:b/>
                <w:bCs/>
                <w:sz w:val="22"/>
                <w:szCs w:val="22"/>
                <w:lang w:val="en-US"/>
              </w:rPr>
            </w:pPr>
            <w:r w:rsidRPr="00942C19">
              <w:rPr>
                <w:rFonts w:cs="Arial"/>
                <w:b/>
                <w:bCs/>
                <w:sz w:val="22"/>
                <w:szCs w:val="22"/>
                <w:lang w:val="en-US"/>
              </w:rPr>
              <w:t>Variable Charge (Rs</w:t>
            </w:r>
            <w:r w:rsidR="00766755" w:rsidRPr="00942C19">
              <w:rPr>
                <w:rFonts w:cs="Arial"/>
                <w:b/>
                <w:bCs/>
                <w:sz w:val="22"/>
                <w:szCs w:val="22"/>
                <w:lang w:val="en-US"/>
              </w:rPr>
              <w:t xml:space="preserve"> </w:t>
            </w:r>
            <w:r w:rsidRPr="00942C19">
              <w:rPr>
                <w:rFonts w:cs="Arial"/>
                <w:b/>
                <w:bCs/>
                <w:sz w:val="22"/>
                <w:szCs w:val="22"/>
                <w:lang w:val="en-US"/>
              </w:rPr>
              <w:t>/</w:t>
            </w:r>
            <w:r w:rsidR="00766755" w:rsidRPr="00942C19">
              <w:rPr>
                <w:rFonts w:cs="Arial"/>
                <w:b/>
                <w:bCs/>
                <w:sz w:val="22"/>
                <w:szCs w:val="22"/>
                <w:lang w:val="en-US"/>
              </w:rPr>
              <w:t xml:space="preserve"> </w:t>
            </w:r>
            <w:r w:rsidRPr="00942C19">
              <w:rPr>
                <w:rFonts w:cs="Arial"/>
                <w:b/>
                <w:bCs/>
                <w:sz w:val="22"/>
                <w:szCs w:val="22"/>
                <w:lang w:val="en-US"/>
              </w:rPr>
              <w:t>kWh)</w:t>
            </w:r>
          </w:p>
        </w:tc>
        <w:tc>
          <w:tcPr>
            <w:tcW w:w="749" w:type="pct"/>
            <w:shd w:val="clear" w:color="000000" w:fill="DBE5F1"/>
            <w:vAlign w:val="center"/>
            <w:hideMark/>
          </w:tcPr>
          <w:p w:rsidR="00222C32" w:rsidRPr="00942C19" w:rsidRDefault="00222C32" w:rsidP="003F5C37">
            <w:pPr>
              <w:spacing w:line="240" w:lineRule="auto"/>
              <w:jc w:val="center"/>
              <w:rPr>
                <w:rFonts w:cs="Arial"/>
                <w:b/>
                <w:bCs/>
                <w:sz w:val="22"/>
                <w:szCs w:val="22"/>
                <w:lang w:val="en-US"/>
              </w:rPr>
            </w:pPr>
            <w:r w:rsidRPr="00942C19">
              <w:rPr>
                <w:rFonts w:cs="Arial"/>
                <w:b/>
                <w:bCs/>
                <w:sz w:val="22"/>
                <w:szCs w:val="22"/>
                <w:lang w:val="en-US"/>
              </w:rPr>
              <w:t>Power  Procurement (MU)</w:t>
            </w:r>
          </w:p>
        </w:tc>
        <w:tc>
          <w:tcPr>
            <w:tcW w:w="749" w:type="pct"/>
            <w:shd w:val="clear" w:color="000000" w:fill="DBE5F1"/>
            <w:vAlign w:val="center"/>
            <w:hideMark/>
          </w:tcPr>
          <w:p w:rsidR="00222C32" w:rsidRPr="00942C19" w:rsidRDefault="00222C32" w:rsidP="003F5C37">
            <w:pPr>
              <w:spacing w:line="240" w:lineRule="auto"/>
              <w:jc w:val="center"/>
              <w:rPr>
                <w:rFonts w:cs="Arial"/>
                <w:b/>
                <w:bCs/>
                <w:sz w:val="22"/>
                <w:szCs w:val="22"/>
                <w:lang w:val="en-US"/>
              </w:rPr>
            </w:pPr>
            <w:r w:rsidRPr="00942C19">
              <w:rPr>
                <w:rFonts w:cs="Arial"/>
                <w:b/>
                <w:bCs/>
                <w:sz w:val="22"/>
                <w:szCs w:val="22"/>
                <w:lang w:val="en-US"/>
              </w:rPr>
              <w:t>Cumulative Procurement (MU)</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Khara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UPJVNL-Hydro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0.00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303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303</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Matatila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UPJVNL-Hydro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0.00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81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384</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Obra (Hydel)</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UPJVNL-Hydro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0.00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276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660</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Rihand</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UPJVNL-Hydro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0.00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773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1,433</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UGC Power Stations</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UPJVNL-Hydro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0.00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1,464</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Salal I&amp;II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0.41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1,676</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Uri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0.66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513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2,188</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8</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Chamera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0.82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333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2,522</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9</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Tanakpur</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0.99</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101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2,623</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10</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Chamera-II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1.13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401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3,024</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11</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Nathpa Jhakri HPS</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1.14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1,365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4,389</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12</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VishnuPrayag</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1.18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1,752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6,141</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13</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Dhauliganga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1.20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286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6,426</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14</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Anpara 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1.33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4,004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10,431</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15</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Anpara B</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1.36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6,333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16,764</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16</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Sewa-II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1.78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147</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16,911</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17</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Tala Power</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184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17,095</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18</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Chamera-III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292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17,387</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19</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Belka &amp; Babail</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UPJVNL-Hydro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2.25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17,398</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20</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Tehri Hydro</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2.50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1,241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18,639</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Dulhasti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2.54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512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19,151</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22</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NAPP</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NPCIL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2.65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665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19,816</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23</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Sheetla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UPJVNL-Hydro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2.73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19,826</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24</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RAPP #3&amp;4</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NPCIL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2.97</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487</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20,312</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25</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Uri-II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NHPC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3.32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20,522</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26</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RAPP#5&amp;6</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NPCIL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3.67</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810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21,332</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27</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Karcham-Wangtoo</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Must Run</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3.70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160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21,492</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28</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Singrauli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1.30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6,113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27,605</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29</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Rihand-II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1.35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2,451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30,056</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30</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Rihand-I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1.35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2,585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32,641</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31</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Obra B</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1.72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2,750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35,391</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32</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Obra 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1.87</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783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36,174</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33</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Koteshwar</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2.19</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522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36,696</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34</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Bajaj Hindusthan</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2.35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2,101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38,797</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35</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Harduaganj Ext. (2X250MW)</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2.39</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2,970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41,767</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36</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Unchahar-I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2.44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1,874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43,642</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37</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Unchahar-II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2.44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1,056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44,697</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38</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Unchahar-III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2.44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510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45,208</w:t>
            </w:r>
          </w:p>
        </w:tc>
      </w:tr>
      <w:tr w:rsidR="007A291F" w:rsidRPr="00942C19" w:rsidTr="007A291F">
        <w:trPr>
          <w:trHeight w:val="76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39</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Tanda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2.45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2,989</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48,196</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40</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Parichha Extn. Stage II (2X250MW)</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2.59</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3,309</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51,505</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41</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Parichha Extn.</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2.62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2,526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54,031</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42</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Kahalgaon St.II Ph.I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2.96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1,065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55,095</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43</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Parichha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2.98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805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55,900</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44</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Dadri Extension</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3.11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851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56,751</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45</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Harduagunj</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3.13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597</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57,348</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46</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Kahalgaon St. 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3.13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431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57,779</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47</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Dadri Thermal</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3.16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578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58,357</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48</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Panki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UPRVNL-Thermal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3.21</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1,050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59,407</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49</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Rihand-III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3.25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1,523</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60,929</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50</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Farakka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3.40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200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61,129</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51</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Anpara 'C'</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3.48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5,918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67,047</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52</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Rosa Power Project II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3.68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2,102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69,149</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53</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Rosa Power Project 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3.68</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3,205</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72,354</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54</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Captive and Cogen</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-Hydro</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4.62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2,830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75,184</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55</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Anta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4.90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639</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75,823</w:t>
            </w:r>
          </w:p>
        </w:tc>
      </w:tr>
      <w:tr w:rsidR="007A291F" w:rsidRPr="00942C19" w:rsidTr="007A291F">
        <w:trPr>
          <w:trHeight w:val="510"/>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56</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IGSTPP, Jhajhjhar</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 -Thermal</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5.06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350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76,173</w:t>
            </w:r>
          </w:p>
        </w:tc>
      </w:tr>
      <w:tr w:rsidR="007A291F" w:rsidRPr="00942C19" w:rsidTr="007A291F">
        <w:trPr>
          <w:trHeight w:val="25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57</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Dadri Gas</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5.26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1,572</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77,745</w:t>
            </w:r>
          </w:p>
        </w:tc>
      </w:tr>
      <w:tr w:rsidR="007A291F" w:rsidRPr="00942C19" w:rsidTr="007A291F">
        <w:trPr>
          <w:trHeight w:val="765"/>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58</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Auriya</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NTPC</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7.06</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1,260</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79,005</w:t>
            </w:r>
          </w:p>
        </w:tc>
      </w:tr>
      <w:tr w:rsidR="007A291F" w:rsidRPr="00942C19" w:rsidTr="007A291F">
        <w:trPr>
          <w:trHeight w:val="539"/>
        </w:trPr>
        <w:tc>
          <w:tcPr>
            <w:tcW w:w="431"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59</w:t>
            </w:r>
          </w:p>
        </w:tc>
        <w:tc>
          <w:tcPr>
            <w:tcW w:w="899" w:type="pct"/>
            <w:shd w:val="clear" w:color="auto" w:fill="auto"/>
            <w:vAlign w:val="center"/>
            <w:hideMark/>
          </w:tcPr>
          <w:p w:rsidR="007A291F" w:rsidRPr="00942C19" w:rsidRDefault="007A291F" w:rsidP="007A291F">
            <w:pPr>
              <w:spacing w:before="0" w:line="240" w:lineRule="auto"/>
              <w:jc w:val="left"/>
              <w:rPr>
                <w:rFonts w:asciiTheme="minorHAnsi" w:hAnsiTheme="minorHAnsi" w:cs="Arial"/>
                <w:sz w:val="22"/>
                <w:szCs w:val="22"/>
                <w:lang w:val="en-US"/>
              </w:rPr>
            </w:pPr>
            <w:r w:rsidRPr="00942C19">
              <w:rPr>
                <w:rFonts w:asciiTheme="minorHAnsi" w:hAnsiTheme="minorHAnsi" w:cs="Arial"/>
                <w:sz w:val="22"/>
                <w:szCs w:val="22"/>
              </w:rPr>
              <w:t>Inter system exchange (Bilateral &amp; PXIL, IEX) / UI</w:t>
            </w:r>
          </w:p>
        </w:tc>
        <w:tc>
          <w:tcPr>
            <w:tcW w:w="1048"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IPP/JV/Others</w:t>
            </w:r>
          </w:p>
        </w:tc>
        <w:tc>
          <w:tcPr>
            <w:tcW w:w="600" w:type="pct"/>
            <w:shd w:val="clear" w:color="auto" w:fill="auto"/>
            <w:noWrap/>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Merit</w:t>
            </w:r>
          </w:p>
        </w:tc>
        <w:tc>
          <w:tcPr>
            <w:tcW w:w="524"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5.04</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5,627</w:t>
            </w:r>
          </w:p>
        </w:tc>
        <w:tc>
          <w:tcPr>
            <w:tcW w:w="749" w:type="pct"/>
            <w:shd w:val="clear" w:color="auto" w:fill="auto"/>
            <w:vAlign w:val="center"/>
            <w:hideMark/>
          </w:tcPr>
          <w:p w:rsidR="007A291F" w:rsidRPr="00942C19" w:rsidRDefault="007A291F" w:rsidP="007A291F">
            <w:pPr>
              <w:spacing w:before="0" w:line="240" w:lineRule="auto"/>
              <w:jc w:val="center"/>
              <w:rPr>
                <w:rFonts w:asciiTheme="minorHAnsi" w:hAnsiTheme="minorHAnsi" w:cs="Arial"/>
                <w:sz w:val="22"/>
                <w:szCs w:val="22"/>
                <w:lang w:val="en-US"/>
              </w:rPr>
            </w:pPr>
            <w:r w:rsidRPr="00942C19">
              <w:rPr>
                <w:rFonts w:asciiTheme="minorHAnsi" w:hAnsiTheme="minorHAnsi" w:cs="Arial"/>
                <w:sz w:val="22"/>
                <w:szCs w:val="22"/>
              </w:rPr>
              <w:t>84,632</w:t>
            </w:r>
          </w:p>
        </w:tc>
      </w:tr>
    </w:tbl>
    <w:p w:rsidR="00A44CA7" w:rsidRPr="00942C19" w:rsidRDefault="00A44CA7">
      <w:pPr>
        <w:pStyle w:val="Heading2"/>
        <w:keepNext/>
        <w:numPr>
          <w:ilvl w:val="0"/>
          <w:numId w:val="0"/>
        </w:numPr>
        <w:autoSpaceDE/>
        <w:autoSpaceDN/>
        <w:adjustRightInd/>
        <w:spacing w:before="0" w:line="276" w:lineRule="auto"/>
        <w:ind w:left="576"/>
        <w:contextualSpacing w:val="0"/>
      </w:pPr>
      <w:bookmarkStart w:id="638" w:name="_Toc323652116"/>
      <w:bookmarkStart w:id="639" w:name="_Toc356322595"/>
    </w:p>
    <w:p w:rsidR="00700278" w:rsidRPr="00942C19" w:rsidRDefault="00700278">
      <w:pPr>
        <w:spacing w:before="0" w:line="240" w:lineRule="auto"/>
        <w:jc w:val="left"/>
        <w:rPr>
          <w:rFonts w:asciiTheme="minorHAnsi" w:hAnsiTheme="minorHAnsi" w:cstheme="minorHAnsi"/>
          <w:b/>
          <w:bCs/>
          <w:color w:val="000000"/>
        </w:rPr>
      </w:pPr>
      <w:r w:rsidRPr="00942C19">
        <w:br w:type="page"/>
      </w:r>
    </w:p>
    <w:p w:rsidR="00D47B3B" w:rsidRPr="00942C19" w:rsidRDefault="00222C32">
      <w:pPr>
        <w:pStyle w:val="Heading2"/>
        <w:keepNext/>
        <w:numPr>
          <w:ilvl w:val="1"/>
          <w:numId w:val="1"/>
        </w:numPr>
        <w:autoSpaceDE/>
        <w:autoSpaceDN/>
        <w:adjustRightInd/>
        <w:spacing w:before="0" w:line="276" w:lineRule="auto"/>
        <w:contextualSpacing w:val="0"/>
      </w:pPr>
      <w:bookmarkStart w:id="640" w:name="_Toc357714400"/>
      <w:r w:rsidRPr="00942C19">
        <w:t xml:space="preserve">ANNUAL REVENUE REQUIREMENT FOR FY </w:t>
      </w:r>
      <w:bookmarkEnd w:id="638"/>
      <w:bookmarkEnd w:id="639"/>
      <w:r w:rsidRPr="00942C19">
        <w:t>2013-14</w:t>
      </w:r>
      <w:bookmarkEnd w:id="640"/>
    </w:p>
    <w:p w:rsidR="009036DE" w:rsidRPr="00942C19" w:rsidRDefault="009036DE" w:rsidP="009036DE">
      <w:pPr>
        <w:pStyle w:val="Heading2"/>
        <w:keepNext/>
        <w:numPr>
          <w:ilvl w:val="0"/>
          <w:numId w:val="0"/>
        </w:numPr>
        <w:autoSpaceDE/>
        <w:autoSpaceDN/>
        <w:adjustRightInd/>
        <w:spacing w:before="0" w:line="276" w:lineRule="auto"/>
        <w:ind w:left="720"/>
        <w:contextualSpacing w:val="0"/>
      </w:pPr>
    </w:p>
    <w:p w:rsidR="00222C32" w:rsidRPr="00942C19" w:rsidRDefault="00222C32" w:rsidP="00AB4841">
      <w:pPr>
        <w:pStyle w:val="Heading3"/>
        <w:numPr>
          <w:ilvl w:val="2"/>
          <w:numId w:val="1"/>
        </w:numPr>
      </w:pPr>
      <w:bookmarkStart w:id="641" w:name="_Toc357349073"/>
      <w:bookmarkStart w:id="642" w:name="_Toc357356126"/>
      <w:r w:rsidRPr="00942C19">
        <w:t>The Commission has analysed all the components of the Aggregate Revenue Requirement (ARR) to arrive at suitable values. As per the Distribution Tariff Regulations, the ARR includes the following components:</w:t>
      </w:r>
      <w:bookmarkEnd w:id="641"/>
      <w:bookmarkEnd w:id="642"/>
    </w:p>
    <w:p w:rsidR="00222C32" w:rsidRPr="00942C19" w:rsidRDefault="00222C32" w:rsidP="00222C32">
      <w:pPr>
        <w:autoSpaceDE w:val="0"/>
        <w:autoSpaceDN w:val="0"/>
        <w:adjustRightInd w:val="0"/>
        <w:spacing w:line="180" w:lineRule="auto"/>
        <w:ind w:firstLine="720"/>
        <w:rPr>
          <w:rFonts w:cstheme="minorHAnsi"/>
        </w:rPr>
      </w:pPr>
      <w:r w:rsidRPr="00942C19">
        <w:rPr>
          <w:rFonts w:cstheme="minorHAnsi"/>
        </w:rPr>
        <w:t>a) Power Purchase cost</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b) Transmission Charges</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c) SLDC Charges</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 xml:space="preserve">d) Operation and Maintenance Expenses </w:t>
      </w:r>
    </w:p>
    <w:p w:rsidR="00222C32" w:rsidRPr="00942C19" w:rsidRDefault="00222C32" w:rsidP="00A818DC">
      <w:pPr>
        <w:pStyle w:val="ListParagraph"/>
        <w:numPr>
          <w:ilvl w:val="0"/>
          <w:numId w:val="50"/>
        </w:numPr>
        <w:autoSpaceDE w:val="0"/>
        <w:autoSpaceDN w:val="0"/>
        <w:adjustRightInd w:val="0"/>
        <w:spacing w:line="180" w:lineRule="auto"/>
        <w:rPr>
          <w:rFonts w:cstheme="minorHAnsi"/>
        </w:rPr>
      </w:pPr>
      <w:r w:rsidRPr="00942C19">
        <w:rPr>
          <w:rFonts w:cstheme="minorHAnsi"/>
        </w:rPr>
        <w:t xml:space="preserve">Employee Expenses </w:t>
      </w:r>
    </w:p>
    <w:p w:rsidR="00222C32" w:rsidRPr="00942C19" w:rsidRDefault="00222C32" w:rsidP="00A818DC">
      <w:pPr>
        <w:pStyle w:val="ListParagraph"/>
        <w:numPr>
          <w:ilvl w:val="0"/>
          <w:numId w:val="50"/>
        </w:numPr>
        <w:autoSpaceDE w:val="0"/>
        <w:autoSpaceDN w:val="0"/>
        <w:adjustRightInd w:val="0"/>
        <w:spacing w:line="180" w:lineRule="auto"/>
        <w:rPr>
          <w:rFonts w:cstheme="minorHAnsi"/>
        </w:rPr>
      </w:pPr>
      <w:r w:rsidRPr="00942C19">
        <w:rPr>
          <w:rFonts w:cstheme="minorHAnsi"/>
        </w:rPr>
        <w:t xml:space="preserve">Administration &amp; General Expenses </w:t>
      </w:r>
    </w:p>
    <w:p w:rsidR="00222C32" w:rsidRPr="00942C19" w:rsidRDefault="00222C32" w:rsidP="00A818DC">
      <w:pPr>
        <w:pStyle w:val="ListParagraph"/>
        <w:numPr>
          <w:ilvl w:val="0"/>
          <w:numId w:val="50"/>
        </w:numPr>
        <w:autoSpaceDE w:val="0"/>
        <w:autoSpaceDN w:val="0"/>
        <w:adjustRightInd w:val="0"/>
        <w:spacing w:line="180" w:lineRule="auto"/>
        <w:rPr>
          <w:rFonts w:cstheme="minorHAnsi"/>
        </w:rPr>
      </w:pPr>
      <w:r w:rsidRPr="00942C19">
        <w:rPr>
          <w:rFonts w:cstheme="minorHAnsi"/>
        </w:rPr>
        <w:t>Repairs and Maintenance Expenses</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e) Depreciation</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f) Interest and Financing Costs</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g) Bad and Doubtful Debts</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h) Return on Equity</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i) Taxes on Income</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j) Other Expenses</w:t>
      </w:r>
    </w:p>
    <w:p w:rsidR="00222C32" w:rsidRPr="00942C19" w:rsidRDefault="00222C32" w:rsidP="00222C32">
      <w:pPr>
        <w:autoSpaceDE w:val="0"/>
        <w:autoSpaceDN w:val="0"/>
        <w:adjustRightInd w:val="0"/>
        <w:spacing w:line="180" w:lineRule="auto"/>
        <w:ind w:left="720"/>
        <w:rPr>
          <w:rFonts w:cstheme="minorHAnsi"/>
        </w:rPr>
      </w:pPr>
      <w:r w:rsidRPr="00942C19">
        <w:rPr>
          <w:rFonts w:cstheme="minorHAnsi"/>
        </w:rPr>
        <w:t>k) Contribution to Contingency Reserve</w:t>
      </w:r>
    </w:p>
    <w:p w:rsidR="009036DE" w:rsidRPr="00942C19" w:rsidRDefault="009036DE" w:rsidP="009036DE">
      <w:pPr>
        <w:pStyle w:val="Heading2"/>
        <w:keepNext/>
        <w:numPr>
          <w:ilvl w:val="0"/>
          <w:numId w:val="0"/>
        </w:numPr>
        <w:autoSpaceDE/>
        <w:autoSpaceDN/>
        <w:adjustRightInd/>
        <w:spacing w:before="0" w:line="276" w:lineRule="auto"/>
        <w:ind w:left="720"/>
        <w:contextualSpacing w:val="0"/>
      </w:pPr>
    </w:p>
    <w:p w:rsidR="00222C32" w:rsidRPr="00942C19" w:rsidRDefault="00222C32" w:rsidP="00AB4841">
      <w:pPr>
        <w:pStyle w:val="Heading3"/>
        <w:numPr>
          <w:ilvl w:val="2"/>
          <w:numId w:val="1"/>
        </w:numPr>
      </w:pPr>
      <w:bookmarkStart w:id="643" w:name="_Toc357349074"/>
      <w:bookmarkStart w:id="644" w:name="_Toc357356127"/>
      <w:r w:rsidRPr="00942C19">
        <w:t>The detailed analysis of each and every element identified above is presented in the subsequent sections. For approving the O&amp;M expenses for the ensuing year, the Distribution Tariff Regulations provides for a formula of escalation index to be applied to the base year as detailed below.</w:t>
      </w:r>
      <w:bookmarkEnd w:id="643"/>
      <w:bookmarkEnd w:id="644"/>
    </w:p>
    <w:p w:rsidR="00222C32" w:rsidRPr="00942C19" w:rsidRDefault="00222C32" w:rsidP="00222C32">
      <w:pPr>
        <w:tabs>
          <w:tab w:val="left" w:pos="360"/>
        </w:tabs>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645" w:name="_Toc356322596"/>
      <w:bookmarkStart w:id="646" w:name="_Toc357714401"/>
      <w:r w:rsidRPr="00942C19">
        <w:t>ESCALATION INDEX</w:t>
      </w:r>
      <w:bookmarkEnd w:id="645"/>
      <w:bookmarkEnd w:id="646"/>
    </w:p>
    <w:p w:rsidR="00222C32" w:rsidRPr="00942C19" w:rsidRDefault="00222C32" w:rsidP="00222C32">
      <w:pPr>
        <w:pStyle w:val="Heading2"/>
        <w:numPr>
          <w:ilvl w:val="0"/>
          <w:numId w:val="0"/>
        </w:numPr>
        <w:ind w:left="576"/>
      </w:pPr>
    </w:p>
    <w:p w:rsidR="00222C32" w:rsidRPr="00942C19" w:rsidRDefault="00222C32" w:rsidP="00AB4841">
      <w:pPr>
        <w:pStyle w:val="Heading3"/>
        <w:numPr>
          <w:ilvl w:val="2"/>
          <w:numId w:val="1"/>
        </w:numPr>
      </w:pPr>
      <w:bookmarkStart w:id="647" w:name="_Toc357349076"/>
      <w:bookmarkStart w:id="648" w:name="_Toc357356129"/>
      <w:r w:rsidRPr="00942C19">
        <w:t>The Regulation 4.3 of Distribution Tariff Regulations stipulates the methodology for consideration of the O&amp;M Expenses, wherein such expenses are linked to the inflation index determined under these Regulations. The relevant provisions of the Distribution Tariff Regulation are reproduced below:</w:t>
      </w:r>
      <w:bookmarkEnd w:id="647"/>
      <w:bookmarkEnd w:id="648"/>
      <w:r w:rsidRPr="00942C19">
        <w:t xml:space="preserve"> </w:t>
      </w:r>
    </w:p>
    <w:p w:rsidR="00A44CA7" w:rsidRPr="00942C19" w:rsidRDefault="00A44CA7">
      <w:pPr>
        <w:autoSpaceDE w:val="0"/>
        <w:autoSpaceDN w:val="0"/>
        <w:adjustRightInd w:val="0"/>
        <w:spacing w:before="0" w:line="240" w:lineRule="auto"/>
        <w:rPr>
          <w:rFonts w:asciiTheme="minorHAnsi" w:hAnsiTheme="minorHAnsi" w:cstheme="minorHAnsi"/>
          <w:i/>
          <w:lang w:val="en-US"/>
        </w:rPr>
      </w:pPr>
    </w:p>
    <w:p w:rsidR="00222C32" w:rsidRPr="00942C19" w:rsidRDefault="00222C32" w:rsidP="00222C32">
      <w:pPr>
        <w:autoSpaceDE w:val="0"/>
        <w:autoSpaceDN w:val="0"/>
        <w:adjustRightInd w:val="0"/>
        <w:spacing w:line="240" w:lineRule="auto"/>
        <w:ind w:left="720"/>
        <w:rPr>
          <w:rFonts w:asciiTheme="minorHAnsi" w:hAnsiTheme="minorHAnsi" w:cstheme="minorHAnsi"/>
          <w:i/>
          <w:u w:val="single"/>
          <w:lang w:val="en-US"/>
        </w:rPr>
      </w:pPr>
      <w:r w:rsidRPr="00942C19">
        <w:rPr>
          <w:rFonts w:asciiTheme="minorHAnsi" w:hAnsiTheme="minorHAnsi" w:cstheme="minorHAnsi"/>
          <w:i/>
          <w:lang w:val="en-US"/>
        </w:rPr>
        <w:t xml:space="preserve">“The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w:t>
      </w:r>
      <w:r w:rsidRPr="00942C19">
        <w:rPr>
          <w:rFonts w:asciiTheme="minorHAnsi" w:hAnsiTheme="minorHAnsi" w:cstheme="minorHAnsi"/>
          <w:i/>
          <w:u w:val="single"/>
          <w:lang w:val="en-US"/>
        </w:rPr>
        <w:t>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942C19" w:rsidRDefault="00222C32" w:rsidP="00222C32">
      <w:pPr>
        <w:autoSpaceDE w:val="0"/>
        <w:autoSpaceDN w:val="0"/>
        <w:adjustRightInd w:val="0"/>
        <w:spacing w:line="240" w:lineRule="auto"/>
        <w:ind w:left="720"/>
        <w:rPr>
          <w:rFonts w:asciiTheme="minorHAnsi" w:hAnsiTheme="minorHAnsi" w:cstheme="minorHAnsi"/>
          <w:i/>
          <w:lang w:val="en-US"/>
        </w:rPr>
      </w:pPr>
      <w:r w:rsidRPr="00942C19">
        <w:rPr>
          <w:rFonts w:asciiTheme="minorHAnsi" w:hAnsiTheme="minorHAnsi" w:cstheme="minorHAnsi"/>
          <w:i/>
          <w:lang w:val="en-US"/>
        </w:rPr>
        <w:t>……..”[Emphasis supplied]</w:t>
      </w:r>
    </w:p>
    <w:p w:rsidR="00222C32" w:rsidRPr="00942C19" w:rsidRDefault="00222C32" w:rsidP="00222C32">
      <w:pPr>
        <w:autoSpaceDE w:val="0"/>
        <w:autoSpaceDN w:val="0"/>
        <w:adjustRightInd w:val="0"/>
        <w:spacing w:line="240" w:lineRule="auto"/>
        <w:jc w:val="left"/>
        <w:rPr>
          <w:rFonts w:ascii="Tahoma" w:hAnsi="Tahoma" w:cs="Tahoma"/>
          <w:sz w:val="21"/>
          <w:szCs w:val="21"/>
          <w:lang w:val="en-US"/>
        </w:rPr>
      </w:pPr>
    </w:p>
    <w:p w:rsidR="00222C32" w:rsidRPr="00942C19" w:rsidRDefault="00222C32" w:rsidP="00AB4841">
      <w:pPr>
        <w:pStyle w:val="Heading3"/>
        <w:numPr>
          <w:ilvl w:val="2"/>
          <w:numId w:val="1"/>
        </w:numPr>
      </w:pPr>
      <w:bookmarkStart w:id="649" w:name="_Toc357349077"/>
      <w:bookmarkStart w:id="650" w:name="_Toc357356130"/>
      <w:r w:rsidRPr="00942C19">
        <w:t>The Commission in accordance with the above stated regulation has calculated the inflation index for the FY 201</w:t>
      </w:r>
      <w:r w:rsidR="00C16172" w:rsidRPr="00942C19">
        <w:t>3-14</w:t>
      </w:r>
      <w:r w:rsidRPr="00942C19">
        <w:t xml:space="preserve"> based on the weighted average index of WPI and CPI. The Commission has considered the WPI and CPI index as available on the website of Economic Advisor, Ministry of Commerce and Industry Ministry of Labour respectively. Accordingly, the Commission has calculated the inflation index for approval of O&amp;M expenses at 8.75% as shown in the </w:t>
      </w:r>
      <w:fldSimple w:instr=" REF _Ref325534883 \h  \* MERGEFORMAT ">
        <w:r w:rsidR="00984AA4" w:rsidRPr="00942C19">
          <w:t xml:space="preserve">Table </w:t>
        </w:r>
        <w:r w:rsidR="00984AA4" w:rsidRPr="00942C19">
          <w:rPr>
            <w:noProof/>
          </w:rPr>
          <w:t>4</w:t>
        </w:r>
        <w:r w:rsidR="00984AA4" w:rsidRPr="00942C19">
          <w:rPr>
            <w:noProof/>
          </w:rPr>
          <w:noBreakHyphen/>
          <w:t>36</w:t>
        </w:r>
      </w:fldSimple>
      <w:r w:rsidRPr="00942C19">
        <w:t xml:space="preserve"> below:</w:t>
      </w:r>
      <w:bookmarkEnd w:id="649"/>
      <w:bookmarkEnd w:id="650"/>
    </w:p>
    <w:p w:rsidR="00222C32" w:rsidRPr="00942C19" w:rsidRDefault="00222C32" w:rsidP="00222C32">
      <w:pPr>
        <w:spacing w:line="240" w:lineRule="auto"/>
        <w:jc w:val="left"/>
        <w:rPr>
          <w:sz w:val="2"/>
        </w:rPr>
        <w:sectPr w:rsidR="00222C32" w:rsidRPr="00942C19" w:rsidSect="003F5C37">
          <w:headerReference w:type="default" r:id="rId17"/>
          <w:footerReference w:type="default" r:id="rId18"/>
          <w:pgSz w:w="11909" w:h="16834"/>
          <w:pgMar w:top="1440" w:right="1440" w:bottom="1440" w:left="1800" w:header="720" w:footer="720" w:gutter="0"/>
          <w:pgNumType w:chapSep="colon"/>
          <w:cols w:space="720"/>
          <w:docGrid w:linePitch="326"/>
        </w:sectPr>
      </w:pPr>
    </w:p>
    <w:p w:rsidR="00222C32" w:rsidRPr="00942C19" w:rsidRDefault="00222C32" w:rsidP="009036DE">
      <w:pPr>
        <w:pStyle w:val="Caption"/>
        <w:keepNext/>
        <w:spacing w:before="0" w:after="0"/>
        <w:jc w:val="center"/>
      </w:pPr>
      <w:bookmarkStart w:id="651" w:name="_Ref325534883"/>
      <w:bookmarkStart w:id="652" w:name="_Toc338310701"/>
      <w:bookmarkStart w:id="653" w:name="_Toc338419531"/>
      <w:bookmarkStart w:id="654" w:name="_Toc357719730"/>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36</w:t>
      </w:r>
      <w:r w:rsidR="000C642E" w:rsidRPr="00942C19">
        <w:fldChar w:fldCharType="end"/>
      </w:r>
      <w:bookmarkEnd w:id="651"/>
      <w:r w:rsidRPr="00942C19">
        <w:t xml:space="preserve">: INFLATION </w:t>
      </w:r>
      <w:r w:rsidR="00D31494" w:rsidRPr="00942C19">
        <w:t>INDEXES</w:t>
      </w:r>
      <w:r w:rsidRPr="00942C19">
        <w:t xml:space="preserve"> FOR FY 2013 – 1</w:t>
      </w:r>
      <w:bookmarkEnd w:id="652"/>
      <w:bookmarkEnd w:id="653"/>
      <w:r w:rsidRPr="00942C19">
        <w:t>4</w:t>
      </w:r>
      <w:bookmarkEnd w:id="654"/>
    </w:p>
    <w:tbl>
      <w:tblPr>
        <w:tblW w:w="5252" w:type="pct"/>
        <w:tblInd w:w="-318" w:type="dxa"/>
        <w:tblLayout w:type="fixed"/>
        <w:tblLook w:val="04A0"/>
      </w:tblPr>
      <w:tblGrid>
        <w:gridCol w:w="1278"/>
        <w:gridCol w:w="646"/>
        <w:gridCol w:w="649"/>
        <w:gridCol w:w="649"/>
        <w:gridCol w:w="649"/>
        <w:gridCol w:w="649"/>
        <w:gridCol w:w="649"/>
        <w:gridCol w:w="241"/>
        <w:gridCol w:w="408"/>
        <w:gridCol w:w="649"/>
        <w:gridCol w:w="649"/>
        <w:gridCol w:w="649"/>
        <w:gridCol w:w="646"/>
        <w:gridCol w:w="649"/>
        <w:gridCol w:w="452"/>
        <w:gridCol w:w="196"/>
        <w:gridCol w:w="354"/>
        <w:gridCol w:w="295"/>
        <w:gridCol w:w="509"/>
        <w:gridCol w:w="140"/>
        <w:gridCol w:w="649"/>
        <w:gridCol w:w="15"/>
        <w:gridCol w:w="634"/>
        <w:gridCol w:w="170"/>
        <w:gridCol w:w="479"/>
        <w:gridCol w:w="324"/>
        <w:gridCol w:w="324"/>
        <w:gridCol w:w="479"/>
        <w:gridCol w:w="170"/>
        <w:gridCol w:w="634"/>
      </w:tblGrid>
      <w:tr w:rsidR="00222C32" w:rsidRPr="00942C19" w:rsidTr="003F5C37">
        <w:trPr>
          <w:trHeight w:val="300"/>
        </w:trPr>
        <w:tc>
          <w:tcPr>
            <w:tcW w:w="429" w:type="pct"/>
            <w:vMerge w:val="restart"/>
            <w:tcBorders>
              <w:top w:val="dotted" w:sz="4" w:space="0" w:color="auto"/>
              <w:left w:val="dotted" w:sz="4" w:space="0" w:color="auto"/>
              <w:bottom w:val="dotted" w:sz="4" w:space="0" w:color="000000"/>
              <w:right w:val="dotted" w:sz="4" w:space="0" w:color="auto"/>
            </w:tcBorders>
            <w:shd w:val="clear" w:color="000000" w:fill="DBE5F1"/>
            <w:noWrap/>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Month</w:t>
            </w:r>
          </w:p>
        </w:tc>
        <w:tc>
          <w:tcPr>
            <w:tcW w:w="1388" w:type="pct"/>
            <w:gridSpan w:val="7"/>
            <w:tcBorders>
              <w:top w:val="dotted" w:sz="4" w:space="0" w:color="auto"/>
              <w:left w:val="nil"/>
              <w:bottom w:val="dotted" w:sz="4" w:space="0" w:color="auto"/>
              <w:right w:val="dotted" w:sz="4" w:space="0" w:color="000000"/>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Wholesale Price Index</w:t>
            </w:r>
          </w:p>
        </w:tc>
        <w:tc>
          <w:tcPr>
            <w:tcW w:w="1378" w:type="pct"/>
            <w:gridSpan w:val="7"/>
            <w:tcBorders>
              <w:top w:val="dotted" w:sz="4" w:space="0" w:color="auto"/>
              <w:left w:val="nil"/>
              <w:bottom w:val="dotted" w:sz="4" w:space="0" w:color="auto"/>
              <w:right w:val="dotted" w:sz="4" w:space="0" w:color="000000"/>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Consumer Price Index</w:t>
            </w:r>
          </w:p>
        </w:tc>
        <w:tc>
          <w:tcPr>
            <w:tcW w:w="1805" w:type="pct"/>
            <w:gridSpan w:val="15"/>
            <w:tcBorders>
              <w:top w:val="dotted" w:sz="4" w:space="0" w:color="auto"/>
              <w:left w:val="nil"/>
              <w:bottom w:val="dotted" w:sz="4" w:space="0" w:color="auto"/>
              <w:right w:val="dotted" w:sz="4" w:space="0" w:color="000000"/>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Consolidated Index</w:t>
            </w:r>
          </w:p>
        </w:tc>
      </w:tr>
      <w:tr w:rsidR="00942C19" w:rsidRPr="00942C19" w:rsidTr="00942C19">
        <w:trPr>
          <w:trHeight w:val="600"/>
        </w:trPr>
        <w:tc>
          <w:tcPr>
            <w:tcW w:w="429" w:type="pct"/>
            <w:vMerge/>
            <w:tcBorders>
              <w:top w:val="dotted" w:sz="4" w:space="0" w:color="auto"/>
              <w:left w:val="dotted" w:sz="4" w:space="0" w:color="auto"/>
              <w:bottom w:val="dotted" w:sz="4" w:space="0" w:color="000000"/>
              <w:right w:val="dotted" w:sz="4" w:space="0" w:color="auto"/>
            </w:tcBorders>
            <w:vAlign w:val="center"/>
            <w:hideMark/>
          </w:tcPr>
          <w:p w:rsidR="00222C32" w:rsidRPr="00942C19" w:rsidRDefault="00222C32" w:rsidP="003F5C37">
            <w:pPr>
              <w:spacing w:line="240" w:lineRule="auto"/>
              <w:jc w:val="left"/>
              <w:rPr>
                <w:b/>
                <w:bCs/>
                <w:color w:val="000000"/>
                <w:lang w:val="en-IN" w:eastAsia="en-IN"/>
              </w:rPr>
            </w:pPr>
          </w:p>
        </w:tc>
        <w:tc>
          <w:tcPr>
            <w:tcW w:w="217"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07</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08</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09</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10</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11</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12</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13</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07</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08</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09</w:t>
            </w:r>
          </w:p>
        </w:tc>
        <w:tc>
          <w:tcPr>
            <w:tcW w:w="217"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10</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11</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12</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13</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07</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08</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09</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10</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11</w:t>
            </w:r>
          </w:p>
        </w:tc>
        <w:tc>
          <w:tcPr>
            <w:tcW w:w="218" w:type="pct"/>
            <w:gridSpan w:val="2"/>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12</w:t>
            </w:r>
          </w:p>
        </w:tc>
        <w:tc>
          <w:tcPr>
            <w:tcW w:w="218" w:type="pct"/>
            <w:tcBorders>
              <w:top w:val="nil"/>
              <w:left w:val="nil"/>
              <w:bottom w:val="dotted" w:sz="4" w:space="0" w:color="auto"/>
              <w:right w:val="dotted" w:sz="4" w:space="0" w:color="auto"/>
            </w:tcBorders>
            <w:shd w:val="clear" w:color="000000" w:fill="DBE5F1"/>
            <w:hideMark/>
          </w:tcPr>
          <w:p w:rsidR="00222C32" w:rsidRPr="00942C19" w:rsidRDefault="00222C32" w:rsidP="003F5C37">
            <w:pPr>
              <w:spacing w:line="240" w:lineRule="auto"/>
              <w:jc w:val="center"/>
              <w:rPr>
                <w:b/>
                <w:bCs/>
                <w:color w:val="000000"/>
                <w:lang w:val="en-IN" w:eastAsia="en-IN"/>
              </w:rPr>
            </w:pPr>
            <w:r w:rsidRPr="00942C19">
              <w:rPr>
                <w:b/>
                <w:bCs/>
                <w:color w:val="000000"/>
                <w:sz w:val="22"/>
                <w:szCs w:val="22"/>
                <w:lang w:val="en-IN" w:eastAsia="en-IN"/>
              </w:rPr>
              <w:t xml:space="preserve">FY </w:t>
            </w:r>
            <w:r w:rsidRPr="00942C19">
              <w:rPr>
                <w:b/>
                <w:bCs/>
                <w:color w:val="000000"/>
                <w:sz w:val="22"/>
                <w:szCs w:val="22"/>
                <w:lang w:val="en-IN" w:eastAsia="en-IN"/>
              </w:rPr>
              <w:br/>
              <w:t>13</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April</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108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138</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170</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205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120</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151</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180</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May</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109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139</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206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120</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130</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181</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June</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140</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208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121</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182</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July</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143</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212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141</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184</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August</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145</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214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186</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September</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146</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215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187</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October</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181</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217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188</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November</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218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188</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December</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147</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197</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219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162</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189</w:t>
            </w:r>
          </w:p>
        </w:tc>
      </w:tr>
      <w:tr w:rsidR="00222C32" w:rsidRPr="00942C19" w:rsidTr="00942C19">
        <w:trPr>
          <w:trHeight w:val="84"/>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January</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221</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150</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191</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February</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223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119</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149</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191</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942C19" w:rsidRDefault="00222C32" w:rsidP="003F5C37">
            <w:pPr>
              <w:spacing w:line="240" w:lineRule="auto"/>
              <w:jc w:val="left"/>
              <w:rPr>
                <w:color w:val="000000"/>
                <w:lang w:val="en-IN" w:eastAsia="en-IN"/>
              </w:rPr>
            </w:pPr>
            <w:r w:rsidRPr="00942C19">
              <w:rPr>
                <w:color w:val="000000"/>
                <w:sz w:val="22"/>
                <w:szCs w:val="22"/>
                <w:lang w:val="en-IN" w:eastAsia="en-IN"/>
              </w:rPr>
              <w:t>March</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124</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161</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148</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170</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185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201</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224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118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128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133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150</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164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177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color w:val="000000"/>
                <w:lang w:val="en-IN" w:eastAsia="en-IN"/>
              </w:rPr>
            </w:pPr>
            <w:r w:rsidRPr="00942C19">
              <w:rPr>
                <w:color w:val="000000"/>
                <w:sz w:val="22"/>
                <w:szCs w:val="22"/>
                <w:lang w:val="en-IN" w:eastAsia="en-IN"/>
              </w:rPr>
              <w:t>192</w:t>
            </w:r>
          </w:p>
        </w:tc>
      </w:tr>
      <w:tr w:rsidR="00222C32" w:rsidRPr="00942C19" w:rsidTr="00942C19">
        <w:trPr>
          <w:trHeight w:val="300"/>
        </w:trPr>
        <w:tc>
          <w:tcPr>
            <w:tcW w:w="429" w:type="pct"/>
            <w:tcBorders>
              <w:top w:val="nil"/>
              <w:left w:val="dotted" w:sz="4" w:space="0" w:color="auto"/>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left"/>
              <w:rPr>
                <w:b/>
                <w:bCs/>
                <w:color w:val="000000"/>
                <w:lang w:val="en-IN" w:eastAsia="en-IN"/>
              </w:rPr>
            </w:pPr>
            <w:r w:rsidRPr="00942C19">
              <w:rPr>
                <w:b/>
                <w:bCs/>
                <w:color w:val="000000"/>
                <w:sz w:val="22"/>
                <w:szCs w:val="22"/>
                <w:lang w:val="en-IN" w:eastAsia="en-IN"/>
              </w:rPr>
              <w:t>Average</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111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117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126</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131</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143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156</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168</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125</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133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145</w:t>
            </w:r>
          </w:p>
        </w:tc>
        <w:tc>
          <w:tcPr>
            <w:tcW w:w="217"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163</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180</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195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215</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117</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123</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134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144</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158</w:t>
            </w:r>
          </w:p>
        </w:tc>
        <w:tc>
          <w:tcPr>
            <w:tcW w:w="218" w:type="pct"/>
            <w:gridSpan w:val="2"/>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172</w:t>
            </w:r>
          </w:p>
        </w:tc>
        <w:tc>
          <w:tcPr>
            <w:tcW w:w="218" w:type="pct"/>
            <w:tcBorders>
              <w:top w:val="nil"/>
              <w:left w:val="nil"/>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187</w:t>
            </w:r>
          </w:p>
        </w:tc>
      </w:tr>
      <w:tr w:rsidR="00222C32" w:rsidRPr="00942C19" w:rsidTr="003F5C37">
        <w:trPr>
          <w:trHeight w:val="300"/>
        </w:trPr>
        <w:tc>
          <w:tcPr>
            <w:tcW w:w="3195" w:type="pct"/>
            <w:gridSpan w:val="15"/>
            <w:tcBorders>
              <w:top w:val="nil"/>
              <w:left w:val="dotted" w:sz="4" w:space="0" w:color="auto"/>
              <w:bottom w:val="dotted" w:sz="4" w:space="0" w:color="auto"/>
              <w:right w:val="dotted" w:sz="4" w:space="0" w:color="auto"/>
            </w:tcBorders>
            <w:shd w:val="clear" w:color="auto" w:fill="auto"/>
            <w:vAlign w:val="center"/>
            <w:hideMark/>
          </w:tcPr>
          <w:p w:rsidR="00222C32" w:rsidRPr="00942C19" w:rsidRDefault="00222C32" w:rsidP="003F5C37">
            <w:pPr>
              <w:spacing w:line="240" w:lineRule="auto"/>
              <w:jc w:val="left"/>
              <w:rPr>
                <w:b/>
                <w:bCs/>
                <w:color w:val="000000"/>
                <w:lang w:val="en-IN" w:eastAsia="en-IN"/>
              </w:rPr>
            </w:pPr>
          </w:p>
        </w:tc>
        <w:tc>
          <w:tcPr>
            <w:tcW w:w="185" w:type="pct"/>
            <w:gridSpan w:val="2"/>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p>
        </w:tc>
        <w:tc>
          <w:tcPr>
            <w:tcW w:w="1620" w:type="pct"/>
            <w:gridSpan w:val="13"/>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Calculation of Inflation Index (CPI-40%, WPI-60%)</w:t>
            </w:r>
          </w:p>
        </w:tc>
      </w:tr>
      <w:tr w:rsidR="00222C32" w:rsidRPr="00942C19" w:rsidTr="009036DE">
        <w:trPr>
          <w:trHeight w:val="81"/>
        </w:trPr>
        <w:tc>
          <w:tcPr>
            <w:tcW w:w="3195" w:type="pct"/>
            <w:gridSpan w:val="15"/>
            <w:tcBorders>
              <w:top w:val="nil"/>
              <w:left w:val="dotted" w:sz="4" w:space="0" w:color="auto"/>
              <w:bottom w:val="dotted" w:sz="4" w:space="0" w:color="auto"/>
              <w:right w:val="dotted" w:sz="4" w:space="0" w:color="auto"/>
            </w:tcBorders>
            <w:shd w:val="clear" w:color="auto" w:fill="auto"/>
            <w:vAlign w:val="bottom"/>
            <w:hideMark/>
          </w:tcPr>
          <w:p w:rsidR="00222C32" w:rsidRPr="00942C19" w:rsidRDefault="00222C32" w:rsidP="003F5C37">
            <w:pPr>
              <w:spacing w:line="240" w:lineRule="auto"/>
              <w:jc w:val="left"/>
              <w:rPr>
                <w:b/>
                <w:bCs/>
                <w:color w:val="000000"/>
                <w:lang w:val="en-IN" w:eastAsia="en-IN"/>
              </w:rPr>
            </w:pPr>
            <w:r w:rsidRPr="00942C19">
              <w:rPr>
                <w:b/>
                <w:bCs/>
                <w:color w:val="000000"/>
                <w:sz w:val="22"/>
                <w:szCs w:val="22"/>
                <w:lang w:val="en-IN" w:eastAsia="en-IN"/>
              </w:rPr>
              <w:t>Weighted Average of Inflation</w:t>
            </w:r>
          </w:p>
        </w:tc>
        <w:tc>
          <w:tcPr>
            <w:tcW w:w="185" w:type="pct"/>
            <w:gridSpan w:val="2"/>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p>
        </w:tc>
        <w:tc>
          <w:tcPr>
            <w:tcW w:w="270" w:type="pct"/>
            <w:gridSpan w:val="2"/>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5.36%</w:t>
            </w:r>
          </w:p>
        </w:tc>
        <w:tc>
          <w:tcPr>
            <w:tcW w:w="270" w:type="pct"/>
            <w:gridSpan w:val="3"/>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8.51%</w:t>
            </w:r>
          </w:p>
        </w:tc>
        <w:tc>
          <w:tcPr>
            <w:tcW w:w="270" w:type="pct"/>
            <w:gridSpan w:val="2"/>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7.52%</w:t>
            </w:r>
          </w:p>
        </w:tc>
        <w:tc>
          <w:tcPr>
            <w:tcW w:w="270" w:type="pct"/>
            <w:gridSpan w:val="2"/>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9.96%</w:t>
            </w:r>
          </w:p>
        </w:tc>
        <w:tc>
          <w:tcPr>
            <w:tcW w:w="270" w:type="pct"/>
            <w:gridSpan w:val="2"/>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8.69%</w:t>
            </w:r>
          </w:p>
        </w:tc>
        <w:tc>
          <w:tcPr>
            <w:tcW w:w="269" w:type="pct"/>
            <w:gridSpan w:val="2"/>
            <w:tcBorders>
              <w:top w:val="nil"/>
              <w:left w:val="nil"/>
              <w:bottom w:val="dotted" w:sz="4" w:space="0" w:color="auto"/>
              <w:right w:val="dotted" w:sz="4" w:space="0" w:color="auto"/>
            </w:tcBorders>
            <w:shd w:val="clear" w:color="auto" w:fill="DBE5F1" w:themeFill="accent1" w:themeFillTint="33"/>
            <w:vAlign w:val="bottom"/>
            <w:hideMark/>
          </w:tcPr>
          <w:p w:rsidR="00222C32" w:rsidRPr="00942C19" w:rsidRDefault="00222C32" w:rsidP="003F5C37">
            <w:pPr>
              <w:spacing w:line="240" w:lineRule="auto"/>
              <w:jc w:val="right"/>
              <w:rPr>
                <w:b/>
                <w:bCs/>
                <w:color w:val="000000"/>
                <w:lang w:val="en-IN" w:eastAsia="en-IN"/>
              </w:rPr>
            </w:pPr>
            <w:r w:rsidRPr="00942C19">
              <w:rPr>
                <w:b/>
                <w:bCs/>
                <w:color w:val="000000"/>
                <w:sz w:val="22"/>
                <w:szCs w:val="22"/>
                <w:lang w:val="en-IN" w:eastAsia="en-IN"/>
              </w:rPr>
              <w:t>8.75%</w:t>
            </w:r>
          </w:p>
        </w:tc>
      </w:tr>
    </w:tbl>
    <w:p w:rsidR="00222C32" w:rsidRPr="00942C19" w:rsidRDefault="00222C32" w:rsidP="00222C32">
      <w:pPr>
        <w:pStyle w:val="Heading2"/>
        <w:keepNext/>
        <w:numPr>
          <w:ilvl w:val="1"/>
          <w:numId w:val="1"/>
        </w:numPr>
        <w:autoSpaceDE/>
        <w:autoSpaceDN/>
        <w:adjustRightInd/>
        <w:spacing w:before="0" w:line="276" w:lineRule="auto"/>
        <w:contextualSpacing w:val="0"/>
        <w:sectPr w:rsidR="00222C32" w:rsidRPr="00942C19" w:rsidSect="009036DE">
          <w:headerReference w:type="default" r:id="rId19"/>
          <w:footerReference w:type="default" r:id="rId20"/>
          <w:pgSz w:w="16834" w:h="11909" w:orient="landscape"/>
          <w:pgMar w:top="748" w:right="1440" w:bottom="1440" w:left="1440" w:header="851" w:footer="720" w:gutter="0"/>
          <w:pgNumType w:chapSep="colon"/>
          <w:cols w:space="720"/>
        </w:sectPr>
      </w:pPr>
      <w:bookmarkStart w:id="655" w:name="_Toc323652118"/>
      <w:bookmarkStart w:id="656" w:name="_Toc356322597"/>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657" w:name="_Toc357714402"/>
      <w:r w:rsidRPr="00942C19">
        <w:t>POWER PROCUREMENT COST</w:t>
      </w:r>
      <w:bookmarkEnd w:id="655"/>
      <w:bookmarkEnd w:id="656"/>
      <w:bookmarkEnd w:id="657"/>
    </w:p>
    <w:p w:rsidR="00A44CA7" w:rsidRPr="00942C19" w:rsidRDefault="00A44CA7">
      <w:pPr>
        <w:pStyle w:val="Heading3"/>
        <w:numPr>
          <w:ilvl w:val="0"/>
          <w:numId w:val="0"/>
        </w:numPr>
        <w:tabs>
          <w:tab w:val="clear" w:pos="720"/>
          <w:tab w:val="left" w:pos="864"/>
        </w:tabs>
        <w:spacing w:before="0"/>
      </w:pPr>
    </w:p>
    <w:p w:rsidR="00222C32" w:rsidRPr="00942C19" w:rsidRDefault="00222C32" w:rsidP="00AB4841">
      <w:pPr>
        <w:pStyle w:val="Heading3"/>
        <w:numPr>
          <w:ilvl w:val="2"/>
          <w:numId w:val="1"/>
        </w:numPr>
      </w:pPr>
      <w:bookmarkStart w:id="658" w:name="_Toc357349079"/>
      <w:bookmarkStart w:id="659" w:name="_Toc357356132"/>
      <w:r w:rsidRPr="00942C19">
        <w:t xml:space="preserve">The Commission has run the merit order </w:t>
      </w:r>
      <w:r w:rsidR="00C8350E" w:rsidRPr="00942C19">
        <w:t>Dispatch</w:t>
      </w:r>
      <w:r w:rsidRPr="00942C19">
        <w:t xml:space="preserve"> schedule for power purchase for the FY 2013-14 after considering the availability of power and monthly sales trend projections of the </w:t>
      </w:r>
      <w:r w:rsidR="009A3804" w:rsidRPr="00942C19">
        <w:t>Licensee</w:t>
      </w:r>
      <w:r w:rsidRPr="00942C19">
        <w:t xml:space="preserve">. The power purchase quantum </w:t>
      </w:r>
      <w:r w:rsidR="00C16172" w:rsidRPr="00942C19">
        <w:t>and cost approved by the Commission for FY 2013-14 is depicted in Table 4-34</w:t>
      </w:r>
      <w:r w:rsidRPr="00942C19">
        <w:t xml:space="preserve">. </w:t>
      </w:r>
      <w:bookmarkEnd w:id="658"/>
      <w:bookmarkEnd w:id="659"/>
    </w:p>
    <w:p w:rsidR="009036DE" w:rsidRPr="00942C19"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AB4841">
      <w:pPr>
        <w:pStyle w:val="Heading3"/>
        <w:numPr>
          <w:ilvl w:val="2"/>
          <w:numId w:val="1"/>
        </w:numPr>
      </w:pPr>
      <w:bookmarkStart w:id="660" w:name="_Toc357349080"/>
      <w:bookmarkStart w:id="661" w:name="_Toc357356133"/>
      <w:r w:rsidRPr="00942C19">
        <w:t xml:space="preserve">Further aligning with the </w:t>
      </w:r>
      <w:r w:rsidR="009A3804" w:rsidRPr="00942C19">
        <w:t>Licensee</w:t>
      </w:r>
      <w:r w:rsidRPr="00942C19">
        <w:t>’s submission the Commission has grossed up the power purchase costs to include PGCIL charges (inter-state transmission charges).</w:t>
      </w:r>
      <w:bookmarkEnd w:id="660"/>
      <w:bookmarkEnd w:id="661"/>
    </w:p>
    <w:p w:rsidR="009036DE" w:rsidRPr="00942C19"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AB4841">
      <w:pPr>
        <w:pStyle w:val="Heading3"/>
        <w:numPr>
          <w:ilvl w:val="2"/>
          <w:numId w:val="1"/>
        </w:numPr>
      </w:pPr>
      <w:bookmarkStart w:id="662" w:name="_Toc357349081"/>
      <w:bookmarkStart w:id="663" w:name="_Toc357356134"/>
      <w:r w:rsidRPr="00942C19">
        <w:t xml:space="preserve">In the absence of detailed data, the Commission has prorated the projected PGCIL charges on the basis of approved power purchase quantum as </w:t>
      </w:r>
      <w:r w:rsidR="00155ABB" w:rsidRPr="00942C19">
        <w:t>detailed</w:t>
      </w:r>
      <w:r w:rsidRPr="00942C19">
        <w:t xml:space="preserve"> in the table below:</w:t>
      </w:r>
      <w:bookmarkEnd w:id="662"/>
      <w:bookmarkEnd w:id="663"/>
    </w:p>
    <w:p w:rsidR="00222C32" w:rsidRPr="00942C19" w:rsidRDefault="00222C32" w:rsidP="00222C32">
      <w:pPr>
        <w:pStyle w:val="Caption"/>
        <w:keepNext/>
        <w:jc w:val="center"/>
      </w:pPr>
      <w:bookmarkStart w:id="664" w:name="_Toc357719731"/>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37</w:t>
      </w:r>
      <w:r w:rsidR="000C642E" w:rsidRPr="00942C19">
        <w:fldChar w:fldCharType="end"/>
      </w:r>
      <w:r w:rsidRPr="00942C19">
        <w:t xml:space="preserve">: </w:t>
      </w:r>
      <w:r w:rsidR="00C16172" w:rsidRPr="00942C19">
        <w:t xml:space="preserve">APPROVED </w:t>
      </w:r>
      <w:r w:rsidR="00785E17" w:rsidRPr="00942C19">
        <w:rPr>
          <w:caps/>
        </w:rPr>
        <w:t xml:space="preserve">PGCIL Charges </w:t>
      </w:r>
      <w:r w:rsidR="00C16172" w:rsidRPr="00942C19">
        <w:rPr>
          <w:caps/>
        </w:rPr>
        <w:t>FOR FY 2013-14</w:t>
      </w:r>
      <w:bookmarkEnd w:id="664"/>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158"/>
        <w:gridCol w:w="1659"/>
        <w:gridCol w:w="1824"/>
      </w:tblGrid>
      <w:tr w:rsidR="00B54756" w:rsidRPr="00942C19" w:rsidTr="00B54756">
        <w:trPr>
          <w:trHeight w:val="600"/>
          <w:jc w:val="center"/>
        </w:trPr>
        <w:tc>
          <w:tcPr>
            <w:tcW w:w="4158" w:type="dxa"/>
            <w:shd w:val="clear" w:color="000000" w:fill="DBE5F1"/>
            <w:noWrap/>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1659" w:type="dxa"/>
            <w:shd w:val="clear" w:color="000000" w:fill="DBE5F1"/>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1824" w:type="dxa"/>
            <w:shd w:val="clear" w:color="000000" w:fill="DBE5F1"/>
            <w:vAlign w:val="center"/>
            <w:hideMark/>
          </w:tcPr>
          <w:p w:rsidR="00A44CA7" w:rsidRPr="00942C19" w:rsidRDefault="00B54756">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B54756" w:rsidRPr="00942C19" w:rsidTr="00B54756">
        <w:trPr>
          <w:trHeight w:val="300"/>
          <w:jc w:val="center"/>
        </w:trPr>
        <w:tc>
          <w:tcPr>
            <w:tcW w:w="4158" w:type="dxa"/>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 xml:space="preserve">Projected Power Purchase by </w:t>
            </w:r>
            <w:r w:rsidR="009A3804" w:rsidRPr="00942C19">
              <w:rPr>
                <w:rFonts w:cs="Calibri"/>
                <w:sz w:val="22"/>
                <w:szCs w:val="22"/>
                <w:lang w:val="en-IN" w:eastAsia="en-IN"/>
              </w:rPr>
              <w:t>Licensee</w:t>
            </w:r>
            <w:r w:rsidRPr="00942C19">
              <w:rPr>
                <w:rFonts w:cs="Calibri"/>
                <w:sz w:val="22"/>
                <w:szCs w:val="22"/>
                <w:lang w:val="en-IN" w:eastAsia="en-IN"/>
              </w:rPr>
              <w:t xml:space="preserve"> (MU)</w:t>
            </w:r>
          </w:p>
        </w:tc>
        <w:tc>
          <w:tcPr>
            <w:tcW w:w="1659"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 xml:space="preserve"> A </w:t>
            </w:r>
          </w:p>
        </w:tc>
        <w:tc>
          <w:tcPr>
            <w:tcW w:w="1824" w:type="dxa"/>
            <w:shd w:val="clear" w:color="auto" w:fill="auto"/>
            <w:noWrap/>
            <w:vAlign w:val="center"/>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                    87,173 </w:t>
            </w:r>
          </w:p>
        </w:tc>
      </w:tr>
      <w:tr w:rsidR="00B54756" w:rsidRPr="00942C19" w:rsidTr="00B54756">
        <w:trPr>
          <w:trHeight w:val="300"/>
          <w:jc w:val="center"/>
        </w:trPr>
        <w:tc>
          <w:tcPr>
            <w:tcW w:w="4158" w:type="dxa"/>
            <w:shd w:val="clear" w:color="auto" w:fill="auto"/>
            <w:vAlign w:val="center"/>
            <w:hideMark/>
          </w:tcPr>
          <w:p w:rsidR="00A44CA7" w:rsidRPr="00942C19" w:rsidRDefault="00B54756">
            <w:pPr>
              <w:spacing w:before="0" w:line="240" w:lineRule="auto"/>
              <w:jc w:val="left"/>
              <w:rPr>
                <w:rFonts w:cs="Calibri"/>
                <w:b/>
                <w:bCs/>
                <w:color w:val="333399"/>
                <w:kern w:val="32"/>
                <w:sz w:val="22"/>
                <w:szCs w:val="22"/>
                <w:lang w:val="en-IN" w:eastAsia="en-IN"/>
              </w:rPr>
            </w:pPr>
            <w:r w:rsidRPr="00942C19">
              <w:rPr>
                <w:rFonts w:cs="Calibri"/>
                <w:sz w:val="22"/>
                <w:szCs w:val="22"/>
                <w:lang w:val="en-IN" w:eastAsia="en-IN"/>
              </w:rPr>
              <w:t>Projected PGCIL Charges (Rs</w:t>
            </w:r>
            <w:r w:rsidR="000F33C4" w:rsidRPr="00942C19">
              <w:rPr>
                <w:rFonts w:cs="Calibri"/>
                <w:sz w:val="22"/>
                <w:szCs w:val="22"/>
                <w:lang w:val="en-IN" w:eastAsia="en-IN"/>
              </w:rPr>
              <w:t>. Crores</w:t>
            </w:r>
            <w:r w:rsidRPr="00942C19">
              <w:rPr>
                <w:rFonts w:cs="Calibri"/>
                <w:sz w:val="22"/>
                <w:szCs w:val="22"/>
                <w:lang w:val="en-IN" w:eastAsia="en-IN"/>
              </w:rPr>
              <w:t>)</w:t>
            </w:r>
          </w:p>
        </w:tc>
        <w:tc>
          <w:tcPr>
            <w:tcW w:w="1659"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B</w:t>
            </w:r>
          </w:p>
        </w:tc>
        <w:tc>
          <w:tcPr>
            <w:tcW w:w="1824" w:type="dxa"/>
            <w:shd w:val="clear" w:color="auto" w:fill="auto"/>
            <w:noWrap/>
            <w:vAlign w:val="center"/>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                      1,325 </w:t>
            </w:r>
          </w:p>
        </w:tc>
      </w:tr>
      <w:tr w:rsidR="00B54756" w:rsidRPr="00942C19" w:rsidTr="00B54756">
        <w:trPr>
          <w:trHeight w:val="300"/>
          <w:jc w:val="center"/>
        </w:trPr>
        <w:tc>
          <w:tcPr>
            <w:tcW w:w="4158" w:type="dxa"/>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Projected PGCIL Charges (Rs./kWh)</w:t>
            </w:r>
          </w:p>
        </w:tc>
        <w:tc>
          <w:tcPr>
            <w:tcW w:w="1659" w:type="dxa"/>
            <w:shd w:val="clear" w:color="auto" w:fill="auto"/>
            <w:noWrap/>
            <w:vAlign w:val="center"/>
            <w:hideMark/>
          </w:tcPr>
          <w:p w:rsidR="00B54756" w:rsidRPr="00942C19" w:rsidRDefault="00155ABB" w:rsidP="00155ABB">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 xml:space="preserve"> C = B</w:t>
            </w:r>
            <w:r w:rsidR="00B54756" w:rsidRPr="00942C19">
              <w:rPr>
                <w:rFonts w:cs="Calibri"/>
                <w:color w:val="000000"/>
                <w:sz w:val="22"/>
                <w:szCs w:val="22"/>
                <w:lang w:val="en-IN" w:eastAsia="en-IN"/>
              </w:rPr>
              <w:t>/</w:t>
            </w:r>
            <w:r w:rsidRPr="00942C19">
              <w:rPr>
                <w:rFonts w:cs="Calibri"/>
                <w:color w:val="000000"/>
                <w:sz w:val="22"/>
                <w:szCs w:val="22"/>
                <w:lang w:val="en-IN" w:eastAsia="en-IN"/>
              </w:rPr>
              <w:t>A</w:t>
            </w:r>
            <w:r w:rsidR="00B54756" w:rsidRPr="00942C19">
              <w:rPr>
                <w:rFonts w:cs="Calibri"/>
                <w:color w:val="000000"/>
                <w:sz w:val="22"/>
                <w:szCs w:val="22"/>
                <w:lang w:val="en-IN" w:eastAsia="en-IN"/>
              </w:rPr>
              <w:t xml:space="preserve">*10 </w:t>
            </w:r>
          </w:p>
        </w:tc>
        <w:tc>
          <w:tcPr>
            <w:tcW w:w="1824" w:type="dxa"/>
            <w:shd w:val="clear" w:color="auto" w:fill="auto"/>
            <w:noWrap/>
            <w:vAlign w:val="center"/>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                        0.15 </w:t>
            </w:r>
          </w:p>
        </w:tc>
      </w:tr>
      <w:tr w:rsidR="00B54756" w:rsidRPr="00942C19" w:rsidTr="00B54756">
        <w:trPr>
          <w:trHeight w:val="300"/>
          <w:jc w:val="center"/>
        </w:trPr>
        <w:tc>
          <w:tcPr>
            <w:tcW w:w="4158" w:type="dxa"/>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Approved Power Purchase (MU)</w:t>
            </w:r>
          </w:p>
        </w:tc>
        <w:tc>
          <w:tcPr>
            <w:tcW w:w="1659"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D</w:t>
            </w:r>
          </w:p>
        </w:tc>
        <w:tc>
          <w:tcPr>
            <w:tcW w:w="1824" w:type="dxa"/>
            <w:shd w:val="clear" w:color="auto" w:fill="auto"/>
            <w:noWrap/>
            <w:vAlign w:val="center"/>
            <w:hideMark/>
          </w:tcPr>
          <w:p w:rsidR="00B54756" w:rsidRPr="00942C19" w:rsidRDefault="00B54756" w:rsidP="00B5475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                    84,632 </w:t>
            </w:r>
          </w:p>
        </w:tc>
      </w:tr>
      <w:tr w:rsidR="00B54756" w:rsidRPr="00942C19" w:rsidTr="00B54756">
        <w:trPr>
          <w:trHeight w:val="300"/>
          <w:jc w:val="center"/>
        </w:trPr>
        <w:tc>
          <w:tcPr>
            <w:tcW w:w="4158" w:type="dxa"/>
            <w:shd w:val="clear" w:color="auto" w:fill="auto"/>
            <w:vAlign w:val="center"/>
            <w:hideMark/>
          </w:tcPr>
          <w:p w:rsidR="00B54756" w:rsidRPr="00942C19" w:rsidRDefault="00B54756" w:rsidP="00B54756">
            <w:pPr>
              <w:spacing w:before="0" w:line="240" w:lineRule="auto"/>
              <w:jc w:val="left"/>
              <w:rPr>
                <w:rFonts w:cs="Calibri"/>
                <w:b/>
                <w:bCs/>
                <w:sz w:val="22"/>
                <w:szCs w:val="22"/>
                <w:lang w:val="en-IN" w:eastAsia="en-IN"/>
              </w:rPr>
            </w:pPr>
            <w:r w:rsidRPr="00942C19">
              <w:rPr>
                <w:rFonts w:cs="Calibri"/>
                <w:b/>
                <w:bCs/>
                <w:sz w:val="22"/>
                <w:szCs w:val="22"/>
                <w:lang w:val="en-IN" w:eastAsia="en-IN"/>
              </w:rPr>
              <w:t>Approved PGCIL Charges (Rs. Crore</w:t>
            </w:r>
            <w:r w:rsidR="000F33C4" w:rsidRPr="00942C19">
              <w:rPr>
                <w:rFonts w:cs="Calibri"/>
                <w:b/>
                <w:bCs/>
                <w:sz w:val="22"/>
                <w:szCs w:val="22"/>
                <w:lang w:val="en-IN" w:eastAsia="en-IN"/>
              </w:rPr>
              <w:t>s</w:t>
            </w:r>
            <w:r w:rsidRPr="00942C19">
              <w:rPr>
                <w:rFonts w:cs="Calibri"/>
                <w:b/>
                <w:bCs/>
                <w:sz w:val="22"/>
                <w:szCs w:val="22"/>
                <w:lang w:val="en-IN" w:eastAsia="en-IN"/>
              </w:rPr>
              <w:t>)</w:t>
            </w:r>
          </w:p>
        </w:tc>
        <w:tc>
          <w:tcPr>
            <w:tcW w:w="1659" w:type="dxa"/>
            <w:shd w:val="clear" w:color="auto" w:fill="auto"/>
            <w:noWrap/>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 E = D*C/10 </w:t>
            </w:r>
          </w:p>
        </w:tc>
        <w:tc>
          <w:tcPr>
            <w:tcW w:w="1824" w:type="dxa"/>
            <w:shd w:val="clear" w:color="auto" w:fill="auto"/>
            <w:noWrap/>
            <w:vAlign w:val="center"/>
            <w:hideMark/>
          </w:tcPr>
          <w:p w:rsidR="00B54756" w:rsidRPr="00942C19" w:rsidRDefault="00B54756" w:rsidP="00B54756">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 xml:space="preserve">                      1,287 </w:t>
            </w:r>
          </w:p>
        </w:tc>
      </w:tr>
    </w:tbl>
    <w:p w:rsidR="00A44CA7" w:rsidRPr="00942C19" w:rsidRDefault="00A44CA7">
      <w:pPr>
        <w:pStyle w:val="Heading3"/>
        <w:numPr>
          <w:ilvl w:val="0"/>
          <w:numId w:val="0"/>
        </w:numPr>
        <w:tabs>
          <w:tab w:val="clear" w:pos="720"/>
          <w:tab w:val="left" w:pos="864"/>
        </w:tabs>
        <w:spacing w:before="0"/>
        <w:rPr>
          <w:szCs w:val="24"/>
        </w:rPr>
      </w:pPr>
    </w:p>
    <w:p w:rsidR="00777CFB" w:rsidRPr="00942C19" w:rsidRDefault="00222C32" w:rsidP="00AB4841">
      <w:pPr>
        <w:pStyle w:val="Heading3"/>
        <w:numPr>
          <w:ilvl w:val="2"/>
          <w:numId w:val="1"/>
        </w:numPr>
      </w:pPr>
      <w:bookmarkStart w:id="665" w:name="_Toc357349082"/>
      <w:bookmarkStart w:id="666" w:name="_Toc357356135"/>
      <w:r w:rsidRPr="00942C19">
        <w:t>The Commission further reiterates that the actual inter-state transmission charges for FY 2013-14 would be allowed as pass through during true-up process subject to prudence check by the Commission based on audited accounts.</w:t>
      </w:r>
      <w:bookmarkStart w:id="667" w:name="_Toc357349083"/>
      <w:bookmarkEnd w:id="665"/>
      <w:bookmarkEnd w:id="666"/>
    </w:p>
    <w:p w:rsidR="00A44CA7" w:rsidRPr="00942C19" w:rsidRDefault="00A44CA7">
      <w:pPr>
        <w:pStyle w:val="Heading3"/>
        <w:numPr>
          <w:ilvl w:val="0"/>
          <w:numId w:val="0"/>
        </w:numPr>
        <w:ind w:left="720"/>
      </w:pPr>
    </w:p>
    <w:p w:rsidR="00C16172" w:rsidRPr="00942C19" w:rsidRDefault="00C16172" w:rsidP="00AB4841">
      <w:pPr>
        <w:pStyle w:val="Heading3"/>
        <w:numPr>
          <w:ilvl w:val="2"/>
          <w:numId w:val="1"/>
        </w:numPr>
      </w:pPr>
      <w:r w:rsidRPr="00942C19">
        <w:t>The Commission has determined the bulk supply rate by dividing the power purchase cost including PGCIL charges so computed with the energy input (MU) at transmission-distribution interface. The Commission has approved the bulk power supply tariff for FY 2013-14 as given in the table below</w:t>
      </w:r>
    </w:p>
    <w:bookmarkEnd w:id="667"/>
    <w:p w:rsidR="00222C32" w:rsidRPr="00942C19" w:rsidRDefault="00222C32" w:rsidP="00965EE4">
      <w:pPr>
        <w:pStyle w:val="Heading3"/>
        <w:numPr>
          <w:ilvl w:val="0"/>
          <w:numId w:val="0"/>
        </w:numPr>
        <w:ind w:left="720"/>
      </w:pPr>
    </w:p>
    <w:p w:rsidR="00222C32" w:rsidRPr="00942C19" w:rsidRDefault="00222C32" w:rsidP="00222C32">
      <w:pPr>
        <w:pStyle w:val="Caption"/>
        <w:keepNext/>
        <w:jc w:val="center"/>
      </w:pPr>
      <w:bookmarkStart w:id="668" w:name="_Ref325534998"/>
      <w:bookmarkStart w:id="669" w:name="_Toc338310702"/>
      <w:bookmarkStart w:id="670" w:name="_Toc338419532"/>
      <w:bookmarkStart w:id="671" w:name="_Toc357719732"/>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38</w:t>
      </w:r>
      <w:r w:rsidR="000C642E" w:rsidRPr="00942C19">
        <w:fldChar w:fldCharType="end"/>
      </w:r>
      <w:bookmarkEnd w:id="668"/>
      <w:r w:rsidRPr="00942C19">
        <w:t xml:space="preserve">: CONSOLIDATED BULK SUPPLY TARIFF </w:t>
      </w:r>
      <w:r w:rsidR="00B54756" w:rsidRPr="00942C19">
        <w:t>–</w:t>
      </w:r>
      <w:r w:rsidRPr="00942C19">
        <w:t xml:space="preserve"> </w:t>
      </w:r>
      <w:bookmarkEnd w:id="669"/>
      <w:bookmarkEnd w:id="670"/>
      <w:r w:rsidRPr="00942C19">
        <w:t>APPROVED</w:t>
      </w:r>
      <w:bookmarkEnd w:id="671"/>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76"/>
        <w:gridCol w:w="1475"/>
        <w:gridCol w:w="1690"/>
      </w:tblGrid>
      <w:tr w:rsidR="00B54756" w:rsidRPr="00942C19" w:rsidTr="000F33C4">
        <w:trPr>
          <w:trHeight w:val="600"/>
        </w:trPr>
        <w:tc>
          <w:tcPr>
            <w:tcW w:w="0" w:type="auto"/>
            <w:shd w:val="clear" w:color="000000" w:fill="DBE5F1"/>
            <w:noWrap/>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1475" w:type="dxa"/>
            <w:shd w:val="clear" w:color="000000" w:fill="DBE5F1"/>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1690" w:type="dxa"/>
            <w:shd w:val="clear" w:color="000000" w:fill="DBE5F1"/>
            <w:vAlign w:val="center"/>
            <w:hideMark/>
          </w:tcPr>
          <w:p w:rsidR="00A44CA7" w:rsidRPr="00942C19" w:rsidRDefault="00B54756">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B54756" w:rsidRPr="00942C19" w:rsidTr="000F33C4">
        <w:trPr>
          <w:trHeight w:val="300"/>
        </w:trPr>
        <w:tc>
          <w:tcPr>
            <w:tcW w:w="0" w:type="auto"/>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Purchases Required &amp; Billed Energy (MU)</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A</w:t>
            </w:r>
          </w:p>
        </w:tc>
        <w:tc>
          <w:tcPr>
            <w:tcW w:w="1690" w:type="dxa"/>
            <w:shd w:val="clear" w:color="auto" w:fill="auto"/>
            <w:noWrap/>
            <w:vAlign w:val="center"/>
            <w:hideMark/>
          </w:tcPr>
          <w:p w:rsidR="00A44CA7"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84,632</w:t>
            </w:r>
          </w:p>
        </w:tc>
      </w:tr>
      <w:tr w:rsidR="00B54756" w:rsidRPr="00942C19" w:rsidTr="000F33C4">
        <w:trPr>
          <w:trHeight w:val="300"/>
        </w:trPr>
        <w:tc>
          <w:tcPr>
            <w:tcW w:w="0" w:type="auto"/>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Periphery Loss (</w:t>
            </w:r>
            <w:r w:rsidR="00D31494" w:rsidRPr="00942C19">
              <w:rPr>
                <w:rFonts w:cs="Calibri"/>
                <w:sz w:val="22"/>
                <w:szCs w:val="22"/>
                <w:lang w:val="en-IN" w:eastAsia="en-IN"/>
              </w:rPr>
              <w:t>Up to</w:t>
            </w:r>
            <w:r w:rsidRPr="00942C19">
              <w:rPr>
                <w:rFonts w:cs="Calibri"/>
                <w:sz w:val="22"/>
                <w:szCs w:val="22"/>
                <w:lang w:val="en-IN" w:eastAsia="en-IN"/>
              </w:rPr>
              <w:t xml:space="preserve"> inter connection Point) (%)</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B</w:t>
            </w:r>
          </w:p>
        </w:tc>
        <w:tc>
          <w:tcPr>
            <w:tcW w:w="1690" w:type="dxa"/>
            <w:shd w:val="clear" w:color="auto" w:fill="auto"/>
            <w:noWrap/>
            <w:vAlign w:val="center"/>
            <w:hideMark/>
          </w:tcPr>
          <w:p w:rsidR="00B13F1A"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1.65%</w:t>
            </w:r>
          </w:p>
        </w:tc>
      </w:tr>
      <w:tr w:rsidR="00B54756" w:rsidRPr="00942C19" w:rsidTr="000F33C4">
        <w:trPr>
          <w:trHeight w:val="300"/>
        </w:trPr>
        <w:tc>
          <w:tcPr>
            <w:tcW w:w="0" w:type="auto"/>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Energy Available at State periphery for Transmission(MU)</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C =A* (1-B)</w:t>
            </w:r>
          </w:p>
        </w:tc>
        <w:tc>
          <w:tcPr>
            <w:tcW w:w="1690" w:type="dxa"/>
            <w:shd w:val="clear" w:color="auto" w:fill="auto"/>
            <w:noWrap/>
            <w:vAlign w:val="center"/>
            <w:hideMark/>
          </w:tcPr>
          <w:p w:rsidR="00A44CA7"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83,235</w:t>
            </w:r>
          </w:p>
        </w:tc>
      </w:tr>
      <w:tr w:rsidR="00B54756" w:rsidRPr="00942C19" w:rsidTr="000F33C4">
        <w:trPr>
          <w:trHeight w:val="300"/>
        </w:trPr>
        <w:tc>
          <w:tcPr>
            <w:tcW w:w="0" w:type="auto"/>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Intra -state Transmission losses %</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D</w:t>
            </w:r>
          </w:p>
        </w:tc>
        <w:tc>
          <w:tcPr>
            <w:tcW w:w="1690" w:type="dxa"/>
            <w:shd w:val="clear" w:color="auto" w:fill="auto"/>
            <w:noWrap/>
            <w:vAlign w:val="center"/>
            <w:hideMark/>
          </w:tcPr>
          <w:p w:rsidR="00B13F1A"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3.67%</w:t>
            </w:r>
          </w:p>
        </w:tc>
      </w:tr>
      <w:tr w:rsidR="00B54756" w:rsidRPr="00942C19" w:rsidTr="000F33C4">
        <w:trPr>
          <w:trHeight w:val="300"/>
        </w:trPr>
        <w:tc>
          <w:tcPr>
            <w:tcW w:w="0" w:type="auto"/>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Energy Input into Transmission-Distribution Interface (MU)</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E=C* (1-D)</w:t>
            </w:r>
          </w:p>
        </w:tc>
        <w:tc>
          <w:tcPr>
            <w:tcW w:w="1690" w:type="dxa"/>
            <w:shd w:val="clear" w:color="auto" w:fill="auto"/>
            <w:noWrap/>
            <w:vAlign w:val="center"/>
            <w:hideMark/>
          </w:tcPr>
          <w:p w:rsidR="00A44CA7"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80,181</w:t>
            </w:r>
          </w:p>
        </w:tc>
      </w:tr>
      <w:tr w:rsidR="00B54756" w:rsidRPr="00942C19" w:rsidTr="000F33C4">
        <w:trPr>
          <w:trHeight w:val="300"/>
        </w:trPr>
        <w:tc>
          <w:tcPr>
            <w:tcW w:w="0" w:type="auto"/>
            <w:shd w:val="clear" w:color="auto" w:fill="auto"/>
            <w:vAlign w:val="center"/>
            <w:hideMark/>
          </w:tcPr>
          <w:p w:rsidR="00155FB3" w:rsidRPr="00942C19" w:rsidRDefault="00B54756" w:rsidP="00155FB3">
            <w:pPr>
              <w:spacing w:before="0" w:line="240" w:lineRule="auto"/>
              <w:jc w:val="left"/>
              <w:rPr>
                <w:rFonts w:cs="Calibri"/>
                <w:b/>
                <w:bCs/>
                <w:color w:val="333399"/>
                <w:kern w:val="32"/>
                <w:sz w:val="22"/>
                <w:szCs w:val="22"/>
                <w:lang w:val="en-IN" w:eastAsia="en-IN"/>
              </w:rPr>
            </w:pPr>
            <w:r w:rsidRPr="00942C19">
              <w:rPr>
                <w:rFonts w:cs="Calibri"/>
                <w:sz w:val="22"/>
                <w:szCs w:val="22"/>
                <w:lang w:val="en-IN" w:eastAsia="en-IN"/>
              </w:rPr>
              <w:t>Power Purchase Cost (Rs. Cr</w:t>
            </w:r>
            <w:r w:rsidR="00112A2A" w:rsidRPr="00942C19">
              <w:rPr>
                <w:rFonts w:cs="Calibri"/>
                <w:sz w:val="22"/>
                <w:szCs w:val="22"/>
                <w:lang w:val="en-IN" w:eastAsia="en-IN"/>
              </w:rPr>
              <w:t>ores</w:t>
            </w:r>
            <w:r w:rsidRPr="00942C19">
              <w:rPr>
                <w:rFonts w:cs="Calibri"/>
                <w:sz w:val="22"/>
                <w:szCs w:val="22"/>
                <w:lang w:val="en-IN" w:eastAsia="en-IN"/>
              </w:rPr>
              <w:t>)</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F</w:t>
            </w:r>
          </w:p>
        </w:tc>
        <w:tc>
          <w:tcPr>
            <w:tcW w:w="1690" w:type="dxa"/>
            <w:shd w:val="clear" w:color="auto" w:fill="auto"/>
            <w:noWrap/>
            <w:vAlign w:val="center"/>
            <w:hideMark/>
          </w:tcPr>
          <w:p w:rsidR="00A44CA7"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30,170</w:t>
            </w:r>
          </w:p>
        </w:tc>
      </w:tr>
      <w:tr w:rsidR="00B54756" w:rsidRPr="00942C19" w:rsidTr="000F33C4">
        <w:trPr>
          <w:trHeight w:val="300"/>
        </w:trPr>
        <w:tc>
          <w:tcPr>
            <w:tcW w:w="0" w:type="auto"/>
            <w:shd w:val="clear" w:color="auto" w:fill="auto"/>
            <w:vAlign w:val="center"/>
            <w:hideMark/>
          </w:tcPr>
          <w:p w:rsidR="00155FB3" w:rsidRPr="00942C19" w:rsidRDefault="00B54756" w:rsidP="00155FB3">
            <w:pPr>
              <w:spacing w:before="0" w:line="240" w:lineRule="auto"/>
              <w:jc w:val="left"/>
              <w:rPr>
                <w:rFonts w:cs="Calibri"/>
                <w:b/>
                <w:bCs/>
                <w:color w:val="333399"/>
                <w:kern w:val="32"/>
                <w:sz w:val="22"/>
                <w:szCs w:val="22"/>
                <w:lang w:val="en-IN" w:eastAsia="en-IN"/>
              </w:rPr>
            </w:pPr>
            <w:r w:rsidRPr="00942C19">
              <w:rPr>
                <w:rFonts w:cs="Calibri"/>
                <w:sz w:val="22"/>
                <w:szCs w:val="22"/>
                <w:lang w:val="en-IN" w:eastAsia="en-IN"/>
              </w:rPr>
              <w:t>PGCIL (NR) Inter-State transmission charges (Rs. Cr</w:t>
            </w:r>
            <w:r w:rsidR="00112A2A" w:rsidRPr="00942C19">
              <w:rPr>
                <w:rFonts w:cs="Calibri"/>
                <w:sz w:val="22"/>
                <w:szCs w:val="22"/>
                <w:lang w:val="en-IN" w:eastAsia="en-IN"/>
              </w:rPr>
              <w:t>ores</w:t>
            </w:r>
            <w:r w:rsidRPr="00942C19">
              <w:rPr>
                <w:rFonts w:cs="Calibri"/>
                <w:sz w:val="22"/>
                <w:szCs w:val="22"/>
                <w:lang w:val="en-IN" w:eastAsia="en-IN"/>
              </w:rPr>
              <w:t>)</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G</w:t>
            </w:r>
          </w:p>
        </w:tc>
        <w:tc>
          <w:tcPr>
            <w:tcW w:w="1690" w:type="dxa"/>
            <w:shd w:val="clear" w:color="auto" w:fill="auto"/>
            <w:noWrap/>
            <w:vAlign w:val="center"/>
            <w:hideMark/>
          </w:tcPr>
          <w:p w:rsidR="00A44CA7"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1,287</w:t>
            </w:r>
          </w:p>
        </w:tc>
      </w:tr>
      <w:tr w:rsidR="00B54756" w:rsidRPr="00942C19" w:rsidTr="000F33C4">
        <w:trPr>
          <w:trHeight w:val="300"/>
        </w:trPr>
        <w:tc>
          <w:tcPr>
            <w:tcW w:w="0" w:type="auto"/>
            <w:shd w:val="clear" w:color="auto" w:fill="auto"/>
            <w:vAlign w:val="center"/>
            <w:hideMark/>
          </w:tcPr>
          <w:p w:rsidR="00155FB3" w:rsidRPr="00942C19" w:rsidRDefault="00B54756" w:rsidP="00155FB3">
            <w:pPr>
              <w:spacing w:before="0" w:line="240" w:lineRule="auto"/>
              <w:jc w:val="left"/>
              <w:rPr>
                <w:rFonts w:cs="Calibri"/>
                <w:b/>
                <w:bCs/>
                <w:color w:val="333399"/>
                <w:kern w:val="32"/>
                <w:sz w:val="22"/>
                <w:szCs w:val="22"/>
                <w:lang w:val="en-IN" w:eastAsia="en-IN"/>
              </w:rPr>
            </w:pPr>
            <w:r w:rsidRPr="00942C19">
              <w:rPr>
                <w:rFonts w:cs="Calibri"/>
                <w:sz w:val="22"/>
                <w:szCs w:val="22"/>
                <w:lang w:val="en-IN" w:eastAsia="en-IN"/>
              </w:rPr>
              <w:t>Total Power Procurement Cost (Rs. Cr</w:t>
            </w:r>
            <w:r w:rsidR="00112A2A" w:rsidRPr="00942C19">
              <w:rPr>
                <w:rFonts w:cs="Calibri"/>
                <w:sz w:val="22"/>
                <w:szCs w:val="22"/>
                <w:lang w:val="en-IN" w:eastAsia="en-IN"/>
              </w:rPr>
              <w:t>ores</w:t>
            </w:r>
            <w:r w:rsidRPr="00942C19">
              <w:rPr>
                <w:rFonts w:cs="Calibri"/>
                <w:sz w:val="22"/>
                <w:szCs w:val="22"/>
                <w:lang w:val="en-IN" w:eastAsia="en-IN"/>
              </w:rPr>
              <w:t>)</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H=F+G</w:t>
            </w:r>
          </w:p>
        </w:tc>
        <w:tc>
          <w:tcPr>
            <w:tcW w:w="1690" w:type="dxa"/>
            <w:shd w:val="clear" w:color="auto" w:fill="auto"/>
            <w:noWrap/>
            <w:vAlign w:val="center"/>
            <w:hideMark/>
          </w:tcPr>
          <w:p w:rsidR="00A44CA7"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31,456</w:t>
            </w:r>
          </w:p>
        </w:tc>
      </w:tr>
      <w:tr w:rsidR="00B54756" w:rsidRPr="00942C19" w:rsidTr="000F33C4">
        <w:trPr>
          <w:trHeight w:val="300"/>
        </w:trPr>
        <w:tc>
          <w:tcPr>
            <w:tcW w:w="0" w:type="auto"/>
            <w:shd w:val="clear" w:color="auto" w:fill="auto"/>
            <w:vAlign w:val="center"/>
            <w:hideMark/>
          </w:tcPr>
          <w:p w:rsidR="00B54756" w:rsidRPr="00942C19" w:rsidRDefault="00B54756" w:rsidP="00B54756">
            <w:pPr>
              <w:spacing w:before="0" w:line="240" w:lineRule="auto"/>
              <w:jc w:val="left"/>
              <w:rPr>
                <w:rFonts w:cs="Calibri"/>
                <w:sz w:val="22"/>
                <w:szCs w:val="22"/>
                <w:lang w:val="en-IN" w:eastAsia="en-IN"/>
              </w:rPr>
            </w:pPr>
            <w:r w:rsidRPr="00942C19">
              <w:rPr>
                <w:rFonts w:cs="Calibri"/>
                <w:sz w:val="22"/>
                <w:szCs w:val="22"/>
                <w:lang w:val="en-IN" w:eastAsia="en-IN"/>
              </w:rPr>
              <w:t>Bulk Supply Tariff (Rs./Unit)</w:t>
            </w:r>
          </w:p>
        </w:tc>
        <w:tc>
          <w:tcPr>
            <w:tcW w:w="1475" w:type="dxa"/>
            <w:shd w:val="clear" w:color="auto" w:fill="auto"/>
            <w:noWrap/>
            <w:vAlign w:val="center"/>
            <w:hideMark/>
          </w:tcPr>
          <w:p w:rsidR="00B54756" w:rsidRPr="00942C19" w:rsidRDefault="00B54756"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I= (H/E)*10</w:t>
            </w:r>
          </w:p>
        </w:tc>
        <w:tc>
          <w:tcPr>
            <w:tcW w:w="1690" w:type="dxa"/>
            <w:shd w:val="clear" w:color="auto" w:fill="auto"/>
            <w:noWrap/>
            <w:vAlign w:val="center"/>
            <w:hideMark/>
          </w:tcPr>
          <w:p w:rsidR="00A44CA7" w:rsidRPr="00942C19" w:rsidRDefault="00B5475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3.92</w:t>
            </w:r>
          </w:p>
        </w:tc>
      </w:tr>
    </w:tbl>
    <w:p w:rsidR="00222C32" w:rsidRPr="00942C19" w:rsidRDefault="00222C32" w:rsidP="00222C32">
      <w:pPr>
        <w:tabs>
          <w:tab w:val="left" w:pos="360"/>
        </w:tabs>
        <w:jc w:val="center"/>
      </w:pPr>
    </w:p>
    <w:p w:rsidR="00222C32" w:rsidRPr="00942C19" w:rsidRDefault="00222C32" w:rsidP="00AB4841">
      <w:pPr>
        <w:pStyle w:val="Heading3"/>
        <w:numPr>
          <w:ilvl w:val="2"/>
          <w:numId w:val="1"/>
        </w:numPr>
      </w:pPr>
      <w:bookmarkStart w:id="672" w:name="_Toc357349084"/>
      <w:bookmarkStart w:id="673" w:name="_Toc357356137"/>
      <w:r w:rsidRPr="00942C19">
        <w:t xml:space="preserve">The Commission’s approved power procurement cost for the </w:t>
      </w:r>
      <w:r w:rsidR="009A3804" w:rsidRPr="00942C19">
        <w:t>Licensee</w:t>
      </w:r>
      <w:r w:rsidRPr="00942C19">
        <w:t xml:space="preserve"> for FY 2013-14 is given in</w:t>
      </w:r>
      <w:r w:rsidR="00155ABB" w:rsidRPr="00942C19">
        <w:t xml:space="preserve"> the table below</w:t>
      </w:r>
      <w:r w:rsidRPr="00942C19">
        <w:t>:</w:t>
      </w:r>
      <w:bookmarkEnd w:id="672"/>
      <w:bookmarkEnd w:id="673"/>
    </w:p>
    <w:p w:rsidR="00222C32" w:rsidRPr="00942C19" w:rsidRDefault="00785E17" w:rsidP="00222C32">
      <w:pPr>
        <w:pStyle w:val="Caption"/>
        <w:keepNext/>
        <w:jc w:val="center"/>
      </w:pPr>
      <w:bookmarkStart w:id="674" w:name="_Ref325535083"/>
      <w:bookmarkStart w:id="675" w:name="_Toc338310703"/>
      <w:bookmarkStart w:id="676" w:name="_Toc338419533"/>
      <w:bookmarkStart w:id="677" w:name="_Toc357719733"/>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39</w:t>
      </w:r>
      <w:r w:rsidR="000C642E" w:rsidRPr="00942C19">
        <w:fldChar w:fldCharType="end"/>
      </w:r>
      <w:bookmarkEnd w:id="674"/>
      <w:r w:rsidRPr="00942C19">
        <w:t xml:space="preserve">: POWER PROCUREMENT COST FOR FY </w:t>
      </w:r>
      <w:bookmarkEnd w:id="675"/>
      <w:bookmarkEnd w:id="676"/>
      <w:r w:rsidRPr="00942C19">
        <w:t>2013-14</w:t>
      </w:r>
      <w:bookmarkEnd w:id="677"/>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675"/>
        <w:gridCol w:w="1418"/>
        <w:gridCol w:w="1689"/>
      </w:tblGrid>
      <w:tr w:rsidR="00B54756" w:rsidRPr="00942C19" w:rsidTr="004D2506">
        <w:trPr>
          <w:trHeight w:val="600"/>
        </w:trPr>
        <w:tc>
          <w:tcPr>
            <w:tcW w:w="5675" w:type="dxa"/>
            <w:shd w:val="clear" w:color="000000" w:fill="DBE5F1"/>
            <w:noWrap/>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1418" w:type="dxa"/>
            <w:shd w:val="clear" w:color="000000" w:fill="DBE5F1"/>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1689" w:type="dxa"/>
            <w:shd w:val="clear" w:color="000000" w:fill="DBE5F1"/>
            <w:vAlign w:val="center"/>
            <w:hideMark/>
          </w:tcPr>
          <w:p w:rsidR="00A44CA7" w:rsidRPr="00942C19" w:rsidRDefault="00B54756">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4D2506">
        <w:trPr>
          <w:trHeight w:val="300"/>
        </w:trPr>
        <w:tc>
          <w:tcPr>
            <w:tcW w:w="5675" w:type="dxa"/>
            <w:shd w:val="clear" w:color="auto" w:fill="auto"/>
            <w:vAlign w:val="center"/>
            <w:hideMark/>
          </w:tcPr>
          <w:p w:rsidR="007B4E42" w:rsidRPr="00942C19" w:rsidRDefault="007B4E42">
            <w:pPr>
              <w:spacing w:before="0"/>
              <w:jc w:val="left"/>
              <w:rPr>
                <w:rFonts w:cs="Calibri"/>
                <w:sz w:val="22"/>
                <w:szCs w:val="22"/>
                <w:lang w:val="en-IN" w:eastAsia="en-IN"/>
              </w:rPr>
            </w:pPr>
            <w:r w:rsidRPr="00942C19">
              <w:rPr>
                <w:rFonts w:cs="Calibri"/>
                <w:sz w:val="22"/>
                <w:szCs w:val="22"/>
                <w:lang w:val="en-IN" w:eastAsia="en-IN"/>
              </w:rPr>
              <w:t>Energy Input into Transmission-Distribution Interface (MU)</w:t>
            </w:r>
          </w:p>
        </w:tc>
        <w:tc>
          <w:tcPr>
            <w:tcW w:w="1418" w:type="dxa"/>
            <w:shd w:val="clear" w:color="auto" w:fill="auto"/>
            <w:noWrap/>
            <w:vAlign w:val="center"/>
            <w:hideMark/>
          </w:tcPr>
          <w:p w:rsidR="007B4E42" w:rsidRPr="00942C19" w:rsidRDefault="007B4E42">
            <w:pPr>
              <w:spacing w:before="0"/>
              <w:jc w:val="center"/>
              <w:rPr>
                <w:rFonts w:cs="Calibri"/>
                <w:color w:val="000000"/>
                <w:sz w:val="22"/>
                <w:szCs w:val="22"/>
                <w:lang w:val="en-IN" w:eastAsia="en-IN"/>
              </w:rPr>
            </w:pPr>
            <w:r w:rsidRPr="00942C19">
              <w:rPr>
                <w:rFonts w:cs="Calibri"/>
                <w:color w:val="000000"/>
                <w:sz w:val="22"/>
                <w:szCs w:val="22"/>
                <w:lang w:val="en-IN" w:eastAsia="en-IN"/>
              </w:rPr>
              <w:t>A</w:t>
            </w:r>
          </w:p>
        </w:tc>
        <w:tc>
          <w:tcPr>
            <w:tcW w:w="1689" w:type="dxa"/>
            <w:shd w:val="clear" w:color="auto" w:fill="auto"/>
            <w:noWrap/>
            <w:vAlign w:val="center"/>
            <w:hideMark/>
          </w:tcPr>
          <w:p w:rsidR="007B4E42" w:rsidRPr="00942C19" w:rsidRDefault="007B4E42">
            <w:pPr>
              <w:spacing w:before="0"/>
              <w:jc w:val="right"/>
              <w:rPr>
                <w:rFonts w:cs="Calibri"/>
                <w:b/>
                <w:bCs/>
                <w:color w:val="000000"/>
                <w:kern w:val="32"/>
                <w:sz w:val="22"/>
                <w:szCs w:val="22"/>
                <w:lang w:val="en-IN" w:eastAsia="en-IN"/>
              </w:rPr>
            </w:pPr>
            <w:r w:rsidRPr="00942C19">
              <w:rPr>
                <w:rFonts w:cs="Calibri"/>
                <w:color w:val="000000"/>
                <w:sz w:val="22"/>
                <w:szCs w:val="22"/>
              </w:rPr>
              <w:t xml:space="preserve">                14,863 </w:t>
            </w:r>
          </w:p>
        </w:tc>
      </w:tr>
      <w:tr w:rsidR="007B4E42" w:rsidRPr="00942C19" w:rsidTr="004D2506">
        <w:trPr>
          <w:trHeight w:val="300"/>
        </w:trPr>
        <w:tc>
          <w:tcPr>
            <w:tcW w:w="5675" w:type="dxa"/>
            <w:shd w:val="clear" w:color="auto" w:fill="auto"/>
            <w:vAlign w:val="center"/>
            <w:hideMark/>
          </w:tcPr>
          <w:p w:rsidR="007B4E42" w:rsidRPr="00942C19" w:rsidRDefault="007B4E42">
            <w:pPr>
              <w:spacing w:before="0"/>
              <w:jc w:val="left"/>
              <w:rPr>
                <w:rFonts w:cs="Calibri"/>
                <w:sz w:val="22"/>
                <w:szCs w:val="22"/>
                <w:lang w:val="en-IN" w:eastAsia="en-IN"/>
              </w:rPr>
            </w:pPr>
            <w:r w:rsidRPr="00942C19">
              <w:rPr>
                <w:rFonts w:cs="Calibri"/>
                <w:sz w:val="22"/>
                <w:szCs w:val="22"/>
                <w:lang w:val="en-IN" w:eastAsia="en-IN"/>
              </w:rPr>
              <w:t>Bulk Supply Tariff (Rs./kWh)</w:t>
            </w:r>
          </w:p>
        </w:tc>
        <w:tc>
          <w:tcPr>
            <w:tcW w:w="1418" w:type="dxa"/>
            <w:shd w:val="clear" w:color="auto" w:fill="auto"/>
            <w:noWrap/>
            <w:vAlign w:val="center"/>
            <w:hideMark/>
          </w:tcPr>
          <w:p w:rsidR="007B4E42" w:rsidRPr="00942C19" w:rsidRDefault="007B4E42">
            <w:pPr>
              <w:spacing w:before="0"/>
              <w:jc w:val="center"/>
              <w:rPr>
                <w:rFonts w:cs="Calibri"/>
                <w:color w:val="000000"/>
                <w:sz w:val="22"/>
                <w:szCs w:val="22"/>
                <w:lang w:val="en-IN" w:eastAsia="en-IN"/>
              </w:rPr>
            </w:pPr>
            <w:r w:rsidRPr="00942C19">
              <w:rPr>
                <w:rFonts w:cs="Calibri"/>
                <w:color w:val="000000"/>
                <w:sz w:val="22"/>
                <w:szCs w:val="22"/>
                <w:lang w:val="en-IN" w:eastAsia="en-IN"/>
              </w:rPr>
              <w:t>B</w:t>
            </w:r>
          </w:p>
        </w:tc>
        <w:tc>
          <w:tcPr>
            <w:tcW w:w="1689" w:type="dxa"/>
            <w:shd w:val="clear" w:color="auto" w:fill="auto"/>
            <w:noWrap/>
            <w:vAlign w:val="center"/>
            <w:hideMark/>
          </w:tcPr>
          <w:p w:rsidR="007B4E42" w:rsidRPr="00942C19" w:rsidRDefault="007B4E42">
            <w:pPr>
              <w:spacing w:before="0"/>
              <w:jc w:val="right"/>
              <w:rPr>
                <w:rFonts w:cs="Calibri"/>
                <w:b/>
                <w:bCs/>
                <w:color w:val="000000"/>
                <w:kern w:val="32"/>
                <w:sz w:val="22"/>
                <w:szCs w:val="22"/>
                <w:lang w:val="en-IN" w:eastAsia="en-IN"/>
              </w:rPr>
            </w:pPr>
            <w:r w:rsidRPr="00942C19">
              <w:rPr>
                <w:rFonts w:cs="Calibri"/>
                <w:color w:val="000000"/>
                <w:sz w:val="22"/>
                <w:szCs w:val="22"/>
              </w:rPr>
              <w:t xml:space="preserve">                     3.92 </w:t>
            </w:r>
          </w:p>
        </w:tc>
      </w:tr>
      <w:tr w:rsidR="007B4E42" w:rsidRPr="00942C19" w:rsidTr="004D2506">
        <w:trPr>
          <w:trHeight w:val="300"/>
        </w:trPr>
        <w:tc>
          <w:tcPr>
            <w:tcW w:w="5675" w:type="dxa"/>
            <w:shd w:val="clear" w:color="auto" w:fill="auto"/>
            <w:vAlign w:val="center"/>
            <w:hideMark/>
          </w:tcPr>
          <w:p w:rsidR="00B736BC" w:rsidRPr="00942C19" w:rsidRDefault="007B4E42">
            <w:pPr>
              <w:spacing w:before="0"/>
              <w:jc w:val="left"/>
              <w:rPr>
                <w:rFonts w:cs="Calibri"/>
                <w:sz w:val="22"/>
                <w:szCs w:val="22"/>
                <w:lang w:val="en-IN" w:eastAsia="en-IN"/>
              </w:rPr>
            </w:pPr>
            <w:r w:rsidRPr="00942C19">
              <w:rPr>
                <w:rFonts w:cs="Calibri"/>
                <w:sz w:val="22"/>
                <w:szCs w:val="22"/>
                <w:lang w:val="en-IN" w:eastAsia="en-IN"/>
              </w:rPr>
              <w:t>Power Procurement Cost from UPPCL (Rs. Cr</w:t>
            </w:r>
            <w:r w:rsidR="00112A2A" w:rsidRPr="00942C19">
              <w:rPr>
                <w:rFonts w:cs="Calibri"/>
                <w:sz w:val="22"/>
                <w:szCs w:val="22"/>
                <w:lang w:val="en-IN" w:eastAsia="en-IN"/>
              </w:rPr>
              <w:t>ores</w:t>
            </w:r>
            <w:r w:rsidRPr="00942C19">
              <w:rPr>
                <w:rFonts w:cs="Calibri"/>
                <w:sz w:val="22"/>
                <w:szCs w:val="22"/>
                <w:lang w:val="en-IN" w:eastAsia="en-IN"/>
              </w:rPr>
              <w:t>)</w:t>
            </w:r>
          </w:p>
        </w:tc>
        <w:tc>
          <w:tcPr>
            <w:tcW w:w="1418" w:type="dxa"/>
            <w:shd w:val="clear" w:color="auto" w:fill="auto"/>
            <w:noWrap/>
            <w:vAlign w:val="center"/>
            <w:hideMark/>
          </w:tcPr>
          <w:p w:rsidR="007B4E42" w:rsidRPr="00942C19" w:rsidRDefault="007B4E42">
            <w:pPr>
              <w:spacing w:before="0"/>
              <w:jc w:val="center"/>
              <w:rPr>
                <w:rFonts w:cs="Calibri"/>
                <w:color w:val="000000"/>
                <w:sz w:val="22"/>
                <w:szCs w:val="22"/>
                <w:lang w:val="en-IN" w:eastAsia="en-IN"/>
              </w:rPr>
            </w:pPr>
            <w:r w:rsidRPr="00942C19">
              <w:rPr>
                <w:rFonts w:cs="Calibri"/>
                <w:color w:val="000000"/>
                <w:sz w:val="22"/>
                <w:szCs w:val="22"/>
                <w:lang w:val="en-IN" w:eastAsia="en-IN"/>
              </w:rPr>
              <w:t xml:space="preserve">C =A*B /10 </w:t>
            </w:r>
          </w:p>
        </w:tc>
        <w:tc>
          <w:tcPr>
            <w:tcW w:w="1689" w:type="dxa"/>
            <w:shd w:val="clear" w:color="auto" w:fill="auto"/>
            <w:noWrap/>
            <w:vAlign w:val="center"/>
            <w:hideMark/>
          </w:tcPr>
          <w:p w:rsidR="007B4E42" w:rsidRPr="00942C19" w:rsidRDefault="007B4E42">
            <w:pPr>
              <w:spacing w:before="0"/>
              <w:jc w:val="right"/>
              <w:rPr>
                <w:rFonts w:cs="Calibri"/>
                <w:b/>
                <w:bCs/>
                <w:color w:val="000000"/>
                <w:kern w:val="32"/>
                <w:sz w:val="22"/>
                <w:szCs w:val="22"/>
                <w:lang w:val="en-IN" w:eastAsia="en-IN"/>
              </w:rPr>
            </w:pPr>
            <w:r w:rsidRPr="00942C19">
              <w:rPr>
                <w:rFonts w:cs="Calibri"/>
                <w:color w:val="000000"/>
                <w:sz w:val="22"/>
                <w:szCs w:val="22"/>
              </w:rPr>
              <w:t xml:space="preserve">                   5,831 </w:t>
            </w:r>
          </w:p>
        </w:tc>
      </w:tr>
    </w:tbl>
    <w:p w:rsidR="00A44CA7" w:rsidRPr="00942C19" w:rsidRDefault="00A44CA7">
      <w:pPr>
        <w:spacing w:before="0"/>
      </w:pPr>
    </w:p>
    <w:p w:rsidR="00A44CA7" w:rsidRPr="00942C19" w:rsidRDefault="00A44CA7">
      <w:pPr>
        <w:spacing w:before="0" w:line="240" w:lineRule="auto"/>
      </w:pPr>
    </w:p>
    <w:p w:rsidR="00A44CA7" w:rsidRPr="00942C19" w:rsidRDefault="00222C32">
      <w:pPr>
        <w:pStyle w:val="Heading2"/>
        <w:keepNext/>
        <w:numPr>
          <w:ilvl w:val="1"/>
          <w:numId w:val="1"/>
        </w:numPr>
        <w:autoSpaceDE/>
        <w:autoSpaceDN/>
        <w:adjustRightInd/>
        <w:spacing w:before="0" w:line="276" w:lineRule="auto"/>
        <w:contextualSpacing w:val="0"/>
      </w:pPr>
      <w:bookmarkStart w:id="678" w:name="_Toc356322598"/>
      <w:bookmarkStart w:id="679" w:name="_Toc357714403"/>
      <w:r w:rsidRPr="00942C19">
        <w:t>TRANSMISSION AND SLDC CHARGES</w:t>
      </w:r>
      <w:bookmarkEnd w:id="678"/>
      <w:bookmarkEnd w:id="679"/>
      <w:r w:rsidRPr="00942C19">
        <w:t xml:space="preserve"> </w:t>
      </w:r>
    </w:p>
    <w:p w:rsidR="00A44CA7" w:rsidRPr="00942C19" w:rsidRDefault="00A44CA7">
      <w:pPr>
        <w:pStyle w:val="Heading4"/>
        <w:numPr>
          <w:ilvl w:val="0"/>
          <w:numId w:val="0"/>
        </w:numPr>
        <w:spacing w:before="0"/>
        <w:ind w:left="864"/>
      </w:pPr>
    </w:p>
    <w:p w:rsidR="00A44CA7" w:rsidRPr="00942C19" w:rsidRDefault="00222C32">
      <w:pPr>
        <w:pStyle w:val="Heading3"/>
        <w:numPr>
          <w:ilvl w:val="2"/>
          <w:numId w:val="1"/>
        </w:numPr>
        <w:spacing w:before="0"/>
      </w:pPr>
      <w:r w:rsidRPr="00942C19">
        <w:t>Transmission &amp; SLDC charges for FY 2013-14 have been approved in concurrence with the ARR approved for UPPTCL by the Commission. The Commission however reiterates that the actual transmission charges for FY 2013-14 would be allowed as pass through during true-up process subject to prudence check by the Commission based on audited accounts.</w:t>
      </w:r>
      <w:r w:rsidRPr="00942C19">
        <w:rPr>
          <w:rFonts w:asciiTheme="minorHAnsi" w:hAnsiTheme="minorHAnsi" w:cstheme="minorHAnsi"/>
          <w:szCs w:val="24"/>
        </w:rPr>
        <w:t xml:space="preserve"> The Commission for the purpose of this </w:t>
      </w:r>
      <w:r w:rsidR="000F33C4" w:rsidRPr="00942C19">
        <w:rPr>
          <w:rFonts w:asciiTheme="minorHAnsi" w:hAnsiTheme="minorHAnsi" w:cstheme="minorHAnsi"/>
          <w:szCs w:val="24"/>
        </w:rPr>
        <w:t>O</w:t>
      </w:r>
      <w:r w:rsidRPr="00942C19">
        <w:rPr>
          <w:rFonts w:asciiTheme="minorHAnsi" w:hAnsiTheme="minorHAnsi" w:cstheme="minorHAnsi"/>
          <w:szCs w:val="24"/>
        </w:rPr>
        <w:t xml:space="preserve">rder has considered the transmission </w:t>
      </w:r>
      <w:r w:rsidR="000F33C4" w:rsidRPr="00942C19">
        <w:rPr>
          <w:rFonts w:asciiTheme="minorHAnsi" w:hAnsiTheme="minorHAnsi" w:cstheme="minorHAnsi"/>
          <w:szCs w:val="24"/>
        </w:rPr>
        <w:t>t</w:t>
      </w:r>
      <w:r w:rsidRPr="00942C19">
        <w:rPr>
          <w:rFonts w:asciiTheme="minorHAnsi" w:hAnsiTheme="minorHAnsi" w:cstheme="minorHAnsi"/>
          <w:szCs w:val="24"/>
        </w:rPr>
        <w:t xml:space="preserve">ariff approved for UPPTCL for FY 2013-14 for determination of intra state transmission charges. </w:t>
      </w:r>
      <w:r w:rsidRPr="00942C19">
        <w:t xml:space="preserve">The Commission’s approved </w:t>
      </w:r>
      <w:r w:rsidR="000F33C4" w:rsidRPr="00942C19">
        <w:t>t</w:t>
      </w:r>
      <w:r w:rsidRPr="00942C19">
        <w:t xml:space="preserve">ransmission </w:t>
      </w:r>
      <w:r w:rsidR="000F33C4" w:rsidRPr="00942C19">
        <w:t>c</w:t>
      </w:r>
      <w:r w:rsidRPr="00942C19">
        <w:t xml:space="preserve">harges for </w:t>
      </w:r>
      <w:r w:rsidR="000F33C4" w:rsidRPr="00942C19">
        <w:t xml:space="preserve">the Licensee for </w:t>
      </w:r>
      <w:r w:rsidRPr="00942C19">
        <w:t>FY 2013-14 are given in</w:t>
      </w:r>
      <w:r w:rsidR="00155ABB" w:rsidRPr="00942C19">
        <w:t xml:space="preserve"> table</w:t>
      </w:r>
      <w:r w:rsidRPr="00942C19">
        <w:t xml:space="preserve"> below:</w:t>
      </w:r>
    </w:p>
    <w:p w:rsidR="00222C32" w:rsidRPr="00942C19" w:rsidRDefault="00785E17" w:rsidP="00222C32">
      <w:pPr>
        <w:pStyle w:val="Caption"/>
        <w:keepNext/>
        <w:jc w:val="center"/>
      </w:pPr>
      <w:bookmarkStart w:id="680" w:name="_Ref325535189"/>
      <w:bookmarkStart w:id="681" w:name="_Toc338310704"/>
      <w:bookmarkStart w:id="682" w:name="_Toc338419534"/>
      <w:bookmarkStart w:id="683" w:name="_Toc357719734"/>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40</w:t>
      </w:r>
      <w:r w:rsidR="000C642E" w:rsidRPr="00942C19">
        <w:fldChar w:fldCharType="end"/>
      </w:r>
      <w:bookmarkEnd w:id="680"/>
      <w:r w:rsidRPr="00942C19">
        <w:t xml:space="preserve">: INTRA STATE TRANSMISSION CHARGES FOR FY </w:t>
      </w:r>
      <w:bookmarkEnd w:id="681"/>
      <w:bookmarkEnd w:id="682"/>
      <w:r w:rsidRPr="00942C19">
        <w:t>2013-14</w:t>
      </w:r>
      <w:bookmarkEnd w:id="683"/>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914"/>
        <w:gridCol w:w="1439"/>
        <w:gridCol w:w="1532"/>
      </w:tblGrid>
      <w:tr w:rsidR="00B54756" w:rsidRPr="00942C19" w:rsidTr="000F33C4">
        <w:trPr>
          <w:trHeight w:val="600"/>
        </w:trPr>
        <w:tc>
          <w:tcPr>
            <w:tcW w:w="3328" w:type="pct"/>
            <w:shd w:val="clear" w:color="000000" w:fill="DBE5F1"/>
            <w:noWrap/>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810" w:type="pct"/>
            <w:shd w:val="clear" w:color="000000" w:fill="DBE5F1"/>
            <w:vAlign w:val="center"/>
            <w:hideMark/>
          </w:tcPr>
          <w:p w:rsidR="00B54756" w:rsidRPr="00942C19" w:rsidRDefault="00B54756" w:rsidP="00B54756">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862" w:type="pct"/>
            <w:shd w:val="clear" w:color="000000" w:fill="DBE5F1"/>
            <w:vAlign w:val="center"/>
            <w:hideMark/>
          </w:tcPr>
          <w:p w:rsidR="00A44CA7" w:rsidRPr="00942C19" w:rsidRDefault="00B54756">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7B4E42">
        <w:trPr>
          <w:trHeight w:val="300"/>
        </w:trPr>
        <w:tc>
          <w:tcPr>
            <w:tcW w:w="3328" w:type="pct"/>
            <w:shd w:val="clear" w:color="auto" w:fill="auto"/>
            <w:vAlign w:val="center"/>
            <w:hideMark/>
          </w:tcPr>
          <w:p w:rsidR="007B4E42" w:rsidRPr="00942C19" w:rsidRDefault="007B4E42" w:rsidP="00B54756">
            <w:pPr>
              <w:spacing w:before="0" w:line="240" w:lineRule="auto"/>
              <w:jc w:val="left"/>
              <w:rPr>
                <w:rFonts w:cs="Calibri"/>
                <w:sz w:val="22"/>
                <w:szCs w:val="22"/>
                <w:lang w:val="en-IN" w:eastAsia="en-IN"/>
              </w:rPr>
            </w:pPr>
            <w:r w:rsidRPr="00942C19">
              <w:rPr>
                <w:rFonts w:cs="Calibri"/>
                <w:sz w:val="22"/>
                <w:szCs w:val="22"/>
                <w:lang w:val="en-IN" w:eastAsia="en-IN"/>
              </w:rPr>
              <w:t>Energy Input into Transmission-Distribution Interface (MU)</w:t>
            </w:r>
          </w:p>
        </w:tc>
        <w:tc>
          <w:tcPr>
            <w:tcW w:w="810" w:type="pct"/>
            <w:shd w:val="clear" w:color="auto" w:fill="auto"/>
            <w:noWrap/>
            <w:vAlign w:val="center"/>
            <w:hideMark/>
          </w:tcPr>
          <w:p w:rsidR="007B4E42" w:rsidRPr="00942C19" w:rsidRDefault="007B4E42"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A</w:t>
            </w:r>
          </w:p>
        </w:tc>
        <w:tc>
          <w:tcPr>
            <w:tcW w:w="86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14,863 </w:t>
            </w:r>
          </w:p>
        </w:tc>
      </w:tr>
      <w:tr w:rsidR="007B4E42" w:rsidRPr="00942C19" w:rsidTr="007B4E42">
        <w:trPr>
          <w:trHeight w:val="300"/>
        </w:trPr>
        <w:tc>
          <w:tcPr>
            <w:tcW w:w="3328" w:type="pct"/>
            <w:shd w:val="clear" w:color="auto" w:fill="auto"/>
            <w:vAlign w:val="center"/>
            <w:hideMark/>
          </w:tcPr>
          <w:p w:rsidR="007B4E42" w:rsidRPr="00942C19" w:rsidRDefault="007B4E42" w:rsidP="00B54756">
            <w:pPr>
              <w:spacing w:before="0" w:line="240" w:lineRule="auto"/>
              <w:jc w:val="left"/>
              <w:rPr>
                <w:rFonts w:cs="Calibri"/>
                <w:sz w:val="22"/>
                <w:szCs w:val="22"/>
                <w:lang w:val="en-IN" w:eastAsia="en-IN"/>
              </w:rPr>
            </w:pPr>
            <w:r w:rsidRPr="00942C19">
              <w:rPr>
                <w:rFonts w:cs="Calibri"/>
                <w:sz w:val="22"/>
                <w:szCs w:val="22"/>
                <w:lang w:val="en-IN" w:eastAsia="en-IN"/>
              </w:rPr>
              <w:t>Transmission Tariff (Rs./kWh)</w:t>
            </w:r>
          </w:p>
        </w:tc>
        <w:tc>
          <w:tcPr>
            <w:tcW w:w="810" w:type="pct"/>
            <w:shd w:val="clear" w:color="auto" w:fill="auto"/>
            <w:noWrap/>
            <w:vAlign w:val="center"/>
            <w:hideMark/>
          </w:tcPr>
          <w:p w:rsidR="007B4E42" w:rsidRPr="00942C19" w:rsidRDefault="007B4E42"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B</w:t>
            </w:r>
          </w:p>
        </w:tc>
        <w:tc>
          <w:tcPr>
            <w:tcW w:w="86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0.135 </w:t>
            </w:r>
          </w:p>
        </w:tc>
      </w:tr>
      <w:tr w:rsidR="007B4E42" w:rsidRPr="00942C19" w:rsidTr="007B4E42">
        <w:trPr>
          <w:trHeight w:val="300"/>
        </w:trPr>
        <w:tc>
          <w:tcPr>
            <w:tcW w:w="3328" w:type="pct"/>
            <w:shd w:val="clear" w:color="auto" w:fill="auto"/>
            <w:vAlign w:val="center"/>
            <w:hideMark/>
          </w:tcPr>
          <w:p w:rsidR="007B4E42" w:rsidRPr="00942C19" w:rsidRDefault="007B4E42">
            <w:pPr>
              <w:spacing w:before="0" w:line="240" w:lineRule="auto"/>
              <w:jc w:val="left"/>
              <w:rPr>
                <w:rFonts w:cs="Calibri"/>
                <w:sz w:val="22"/>
                <w:szCs w:val="22"/>
                <w:lang w:val="en-IN" w:eastAsia="en-IN"/>
              </w:rPr>
            </w:pPr>
            <w:r w:rsidRPr="00942C19">
              <w:rPr>
                <w:rFonts w:cs="Calibri"/>
                <w:sz w:val="22"/>
                <w:szCs w:val="22"/>
                <w:lang w:val="en-IN" w:eastAsia="en-IN"/>
              </w:rPr>
              <w:t>Transmission Cost (Rs. Crores)</w:t>
            </w:r>
          </w:p>
        </w:tc>
        <w:tc>
          <w:tcPr>
            <w:tcW w:w="810" w:type="pct"/>
            <w:shd w:val="clear" w:color="auto" w:fill="auto"/>
            <w:noWrap/>
            <w:vAlign w:val="center"/>
            <w:hideMark/>
          </w:tcPr>
          <w:p w:rsidR="007B4E42" w:rsidRPr="00942C19" w:rsidRDefault="007B4E42" w:rsidP="00B54756">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 xml:space="preserve">C =A*B /10 </w:t>
            </w:r>
          </w:p>
        </w:tc>
        <w:tc>
          <w:tcPr>
            <w:tcW w:w="86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200 </w:t>
            </w:r>
          </w:p>
        </w:tc>
      </w:tr>
    </w:tbl>
    <w:p w:rsidR="00A44CA7" w:rsidRPr="00942C19" w:rsidRDefault="00A44CA7">
      <w:pPr>
        <w:pStyle w:val="Heading3"/>
        <w:numPr>
          <w:ilvl w:val="0"/>
          <w:numId w:val="0"/>
        </w:numPr>
        <w:spacing w:before="0"/>
        <w:rPr>
          <w:sz w:val="23"/>
          <w:szCs w:val="23"/>
        </w:rPr>
      </w:pPr>
    </w:p>
    <w:p w:rsidR="00A44CA7" w:rsidRPr="00942C19" w:rsidRDefault="00A44CA7">
      <w:pPr>
        <w:pStyle w:val="Heading3"/>
        <w:numPr>
          <w:ilvl w:val="0"/>
          <w:numId w:val="0"/>
        </w:numPr>
        <w:spacing w:before="0"/>
      </w:pPr>
    </w:p>
    <w:p w:rsidR="00B13F1A" w:rsidRPr="00942C19" w:rsidRDefault="00222C32">
      <w:pPr>
        <w:pStyle w:val="Heading2"/>
        <w:keepNext/>
        <w:numPr>
          <w:ilvl w:val="1"/>
          <w:numId w:val="1"/>
        </w:numPr>
        <w:autoSpaceDE/>
        <w:autoSpaceDN/>
        <w:adjustRightInd/>
        <w:spacing w:before="0" w:line="276" w:lineRule="auto"/>
        <w:contextualSpacing w:val="0"/>
      </w:pPr>
      <w:bookmarkStart w:id="684" w:name="_Toc356322599"/>
      <w:bookmarkStart w:id="685" w:name="_Toc357714404"/>
      <w:r w:rsidRPr="00942C19">
        <w:t>O&amp;M EXPENSES</w:t>
      </w:r>
      <w:bookmarkEnd w:id="684"/>
      <w:bookmarkEnd w:id="685"/>
    </w:p>
    <w:p w:rsidR="00222C32" w:rsidRPr="00942C19" w:rsidRDefault="00222C32" w:rsidP="00222C32">
      <w:pPr>
        <w:tabs>
          <w:tab w:val="left" w:pos="360"/>
        </w:tabs>
      </w:pPr>
    </w:p>
    <w:p w:rsidR="00222C32" w:rsidRPr="00942C19" w:rsidRDefault="00222C32" w:rsidP="00222C32">
      <w:pPr>
        <w:pStyle w:val="Heading3"/>
        <w:numPr>
          <w:ilvl w:val="2"/>
          <w:numId w:val="1"/>
        </w:numPr>
        <w:spacing w:before="0"/>
      </w:pPr>
      <w:r w:rsidRPr="00942C19">
        <w:t>O&amp;M expenses comprise of employee related costs, A&amp;G expenses and R&amp;M</w:t>
      </w:r>
      <w:r w:rsidRPr="00942C19">
        <w:rPr>
          <w:rFonts w:cs="Calibri"/>
        </w:rPr>
        <w:t xml:space="preserve"> expenditure. </w:t>
      </w:r>
      <w:r w:rsidRPr="00942C19">
        <w:t>The regulation 4.3 of the Distribution Tariff Regulations issued by the Commission stipulates:</w:t>
      </w:r>
    </w:p>
    <w:p w:rsidR="00222C32" w:rsidRPr="00942C19" w:rsidRDefault="00222C32" w:rsidP="00A818DC">
      <w:pPr>
        <w:numPr>
          <w:ilvl w:val="0"/>
          <w:numId w:val="54"/>
        </w:numPr>
        <w:tabs>
          <w:tab w:val="left" w:pos="720"/>
        </w:tabs>
        <w:spacing w:before="0" w:after="240"/>
        <w:outlineLvl w:val="2"/>
        <w:rPr>
          <w:rFonts w:cs="Arial"/>
          <w:bCs/>
          <w:i/>
          <w:szCs w:val="26"/>
          <w:u w:val="single"/>
        </w:rPr>
      </w:pPr>
      <w:r w:rsidRPr="00942C19">
        <w:rPr>
          <w:rFonts w:cs="Arial"/>
          <w:bCs/>
          <w:i/>
          <w:szCs w:val="26"/>
          <w:u w:val="single"/>
        </w:rPr>
        <w:t>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942C19" w:rsidRDefault="00222C32" w:rsidP="00222C32">
      <w:pPr>
        <w:tabs>
          <w:tab w:val="left" w:pos="720"/>
          <w:tab w:val="left" w:pos="864"/>
        </w:tabs>
        <w:spacing w:after="240"/>
        <w:ind w:left="720"/>
        <w:outlineLvl w:val="2"/>
        <w:rPr>
          <w:rFonts w:cs="Calibri"/>
          <w:bCs/>
          <w:szCs w:val="26"/>
        </w:rPr>
      </w:pPr>
      <w:r w:rsidRPr="00942C19">
        <w:rPr>
          <w:rFonts w:cs="Arial"/>
          <w:bCs/>
          <w:i/>
          <w:szCs w:val="26"/>
        </w:rPr>
        <w:t>………….”</w:t>
      </w:r>
    </w:p>
    <w:p w:rsidR="00222C32" w:rsidRPr="00942C19" w:rsidRDefault="00222C32" w:rsidP="00222C32">
      <w:pPr>
        <w:pStyle w:val="Heading3"/>
        <w:numPr>
          <w:ilvl w:val="2"/>
          <w:numId w:val="1"/>
        </w:numPr>
        <w:spacing w:before="0"/>
        <w:rPr>
          <w:rFonts w:cs="Calibri"/>
          <w:bCs w:val="0"/>
        </w:rPr>
      </w:pPr>
      <w:r w:rsidRPr="00942C19">
        <w:rPr>
          <w:rFonts w:cs="Calibri"/>
          <w:bCs w:val="0"/>
        </w:rPr>
        <w:t xml:space="preserve">The Commission has determined the trued up O&amp;M expenses of the base year </w:t>
      </w:r>
      <w:r w:rsidR="000F33C4" w:rsidRPr="00942C19">
        <w:rPr>
          <w:rFonts w:cs="Calibri"/>
          <w:bCs w:val="0"/>
        </w:rPr>
        <w:t xml:space="preserve">i.e., </w:t>
      </w:r>
      <w:r w:rsidRPr="00942C19">
        <w:rPr>
          <w:rFonts w:cs="Calibri"/>
          <w:bCs w:val="0"/>
        </w:rPr>
        <w:t>FY 2007-08</w:t>
      </w:r>
      <w:r w:rsidR="000F33C4" w:rsidRPr="00942C19">
        <w:rPr>
          <w:rFonts w:cs="Calibri"/>
          <w:bCs w:val="0"/>
        </w:rPr>
        <w:t>,</w:t>
      </w:r>
      <w:r w:rsidR="00785E17" w:rsidRPr="00942C19">
        <w:rPr>
          <w:rFonts w:cs="Calibri"/>
          <w:bCs w:val="0"/>
        </w:rPr>
        <w:t xml:space="preserve"> in the Order on Petition </w:t>
      </w:r>
      <w:r w:rsidR="004D2506" w:rsidRPr="00942C19">
        <w:rPr>
          <w:rFonts w:cs="Calibri"/>
          <w:bCs w:val="0"/>
        </w:rPr>
        <w:t>N</w:t>
      </w:r>
      <w:r w:rsidR="00785E17" w:rsidRPr="00942C19">
        <w:rPr>
          <w:rFonts w:cs="Calibri"/>
          <w:bCs w:val="0"/>
        </w:rPr>
        <w:t>o. 809 of 2012 dated 21</w:t>
      </w:r>
      <w:r w:rsidR="00785E17" w:rsidRPr="00942C19">
        <w:rPr>
          <w:rFonts w:cs="Calibri"/>
          <w:bCs w:val="0"/>
          <w:vertAlign w:val="superscript"/>
        </w:rPr>
        <w:t>st</w:t>
      </w:r>
      <w:r w:rsidR="00785E17" w:rsidRPr="00942C19">
        <w:rPr>
          <w:rFonts w:cs="Calibri"/>
          <w:bCs w:val="0"/>
        </w:rPr>
        <w:t xml:space="preserve"> May, 2013</w:t>
      </w:r>
      <w:r w:rsidR="000F33C4" w:rsidRPr="00942C19">
        <w:rPr>
          <w:rFonts w:cs="Calibri"/>
          <w:bCs w:val="0"/>
        </w:rPr>
        <w:t>.</w:t>
      </w:r>
    </w:p>
    <w:p w:rsidR="00222C32" w:rsidRPr="00942C19" w:rsidRDefault="00222C32" w:rsidP="00222C32">
      <w:pPr>
        <w:pStyle w:val="Heading3"/>
        <w:numPr>
          <w:ilvl w:val="0"/>
          <w:numId w:val="0"/>
        </w:numPr>
        <w:ind w:left="720"/>
        <w:rPr>
          <w:rFonts w:cs="Calibri"/>
          <w:bCs w:val="0"/>
        </w:rPr>
      </w:pPr>
    </w:p>
    <w:p w:rsidR="00222C32" w:rsidRPr="00942C19" w:rsidRDefault="00222C32" w:rsidP="00222C32">
      <w:pPr>
        <w:pStyle w:val="Heading3"/>
        <w:numPr>
          <w:ilvl w:val="2"/>
          <w:numId w:val="1"/>
        </w:numPr>
        <w:spacing w:before="0"/>
        <w:rPr>
          <w:rFonts w:cs="Calibri"/>
        </w:rPr>
      </w:pPr>
      <w:r w:rsidRPr="00942C19">
        <w:rPr>
          <w:rFonts w:cs="Calibri"/>
        </w:rPr>
        <w:t xml:space="preserve">The approved O&amp;M expenses for FY 2007-08 have been escalated using the inflation index to derive the allowable O&amp;M </w:t>
      </w:r>
      <w:r w:rsidR="000D3A3C" w:rsidRPr="00942C19">
        <w:rPr>
          <w:rFonts w:cs="Calibri"/>
        </w:rPr>
        <w:t>Expenses</w:t>
      </w:r>
      <w:r w:rsidRPr="00942C19">
        <w:rPr>
          <w:rFonts w:cs="Calibri"/>
        </w:rPr>
        <w:t xml:space="preserve"> for FY 2008-09.</w:t>
      </w:r>
    </w:p>
    <w:p w:rsidR="00222C32" w:rsidRPr="00942C19" w:rsidRDefault="00222C32" w:rsidP="00222C32">
      <w:pPr>
        <w:pStyle w:val="ListParagraph"/>
        <w:rPr>
          <w:rFonts w:cs="Calibri"/>
        </w:rPr>
      </w:pPr>
    </w:p>
    <w:p w:rsidR="00B13F1A" w:rsidRPr="00942C19" w:rsidRDefault="00785E17">
      <w:pPr>
        <w:pStyle w:val="Heading3"/>
        <w:numPr>
          <w:ilvl w:val="2"/>
          <w:numId w:val="1"/>
        </w:numPr>
        <w:spacing w:before="0"/>
        <w:rPr>
          <w:bCs w:val="0"/>
          <w:sz w:val="23"/>
          <w:szCs w:val="23"/>
        </w:rPr>
      </w:pPr>
      <w:r w:rsidRPr="00942C19">
        <w:rPr>
          <w:rFonts w:cs="Calibri"/>
        </w:rPr>
        <w:t>The Licensee had adopted 6</w:t>
      </w:r>
      <w:r w:rsidR="00155FB3" w:rsidRPr="00942C19">
        <w:rPr>
          <w:rFonts w:cs="Calibri"/>
          <w:vertAlign w:val="superscript"/>
        </w:rPr>
        <w:t>th</w:t>
      </w:r>
      <w:r w:rsidR="00A35D55" w:rsidRPr="00942C19">
        <w:rPr>
          <w:rFonts w:cs="Calibri"/>
        </w:rPr>
        <w:t xml:space="preserve"> </w:t>
      </w:r>
      <w:r w:rsidRPr="00942C19">
        <w:rPr>
          <w:rFonts w:cs="Calibri"/>
        </w:rPr>
        <w:t xml:space="preserve">Pay Revision Committee Recommendations in the month of February 2009. </w:t>
      </w:r>
      <w:r w:rsidRPr="00942C19">
        <w:t>In the True-up Petitions</w:t>
      </w:r>
      <w:r w:rsidR="004D2506" w:rsidRPr="00942C19">
        <w:t xml:space="preserve"> / audited accounts</w:t>
      </w:r>
      <w:r w:rsidRPr="00942C19">
        <w:t xml:space="preserve"> for FY 2008-09, 2009-10 and 2010-11</w:t>
      </w:r>
      <w:r w:rsidRPr="00942C19">
        <w:rPr>
          <w:bCs w:val="0"/>
          <w:sz w:val="23"/>
          <w:szCs w:val="23"/>
        </w:rPr>
        <w:t xml:space="preserve">, the Licensee has submitted that the employee cost of FY 2008-09 includes pay revision provision of Rs. </w:t>
      </w:r>
      <w:r w:rsidR="0084795B" w:rsidRPr="00942C19">
        <w:rPr>
          <w:bCs w:val="0"/>
          <w:sz w:val="23"/>
          <w:szCs w:val="23"/>
        </w:rPr>
        <w:t>44.13</w:t>
      </w:r>
      <w:r w:rsidRPr="00942C19">
        <w:rPr>
          <w:bCs w:val="0"/>
          <w:sz w:val="23"/>
          <w:szCs w:val="23"/>
        </w:rPr>
        <w:t xml:space="preserve"> crore</w:t>
      </w:r>
      <w:r w:rsidR="00112A2A" w:rsidRPr="00942C19">
        <w:rPr>
          <w:bCs w:val="0"/>
          <w:sz w:val="23"/>
          <w:szCs w:val="23"/>
        </w:rPr>
        <w:t>s</w:t>
      </w:r>
      <w:r w:rsidRPr="00942C19">
        <w:rPr>
          <w:bCs w:val="0"/>
          <w:sz w:val="23"/>
          <w:szCs w:val="23"/>
        </w:rPr>
        <w:t xml:space="preserve"> pertaining to the period from 1</w:t>
      </w:r>
      <w:r w:rsidRPr="00942C19">
        <w:rPr>
          <w:bCs w:val="0"/>
          <w:sz w:val="23"/>
          <w:szCs w:val="23"/>
          <w:vertAlign w:val="superscript"/>
        </w:rPr>
        <w:t>st</w:t>
      </w:r>
      <w:r w:rsidRPr="00942C19">
        <w:rPr>
          <w:bCs w:val="0"/>
          <w:sz w:val="23"/>
          <w:szCs w:val="23"/>
        </w:rPr>
        <w:t xml:space="preserve"> April, 2008 to 31</w:t>
      </w:r>
      <w:r w:rsidRPr="00942C19">
        <w:rPr>
          <w:bCs w:val="0"/>
          <w:sz w:val="23"/>
          <w:szCs w:val="23"/>
          <w:vertAlign w:val="superscript"/>
        </w:rPr>
        <w:t>st</w:t>
      </w:r>
      <w:r w:rsidRPr="00942C19">
        <w:rPr>
          <w:bCs w:val="0"/>
          <w:sz w:val="23"/>
          <w:szCs w:val="23"/>
        </w:rPr>
        <w:t xml:space="preserve"> March, 2009.</w:t>
      </w:r>
      <w:r w:rsidR="00222C32" w:rsidRPr="00942C19">
        <w:rPr>
          <w:bCs w:val="0"/>
          <w:sz w:val="23"/>
          <w:szCs w:val="23"/>
        </w:rPr>
        <w:t xml:space="preserve"> </w:t>
      </w:r>
    </w:p>
    <w:p w:rsidR="00222C32" w:rsidRPr="00942C19" w:rsidRDefault="00222C32" w:rsidP="00222C32">
      <w:pPr>
        <w:pStyle w:val="Heading3"/>
        <w:numPr>
          <w:ilvl w:val="0"/>
          <w:numId w:val="0"/>
        </w:numPr>
        <w:rPr>
          <w:bCs w:val="0"/>
          <w:sz w:val="23"/>
          <w:szCs w:val="23"/>
        </w:rPr>
      </w:pPr>
    </w:p>
    <w:p w:rsidR="00222C32" w:rsidRPr="00942C19" w:rsidRDefault="00222C32" w:rsidP="009036DE">
      <w:pPr>
        <w:pStyle w:val="Heading3"/>
        <w:numPr>
          <w:ilvl w:val="2"/>
          <w:numId w:val="1"/>
        </w:numPr>
        <w:spacing w:before="0"/>
        <w:rPr>
          <w:bCs w:val="0"/>
          <w:szCs w:val="24"/>
        </w:rPr>
      </w:pPr>
      <w:r w:rsidRPr="00942C19">
        <w:rPr>
          <w:bCs w:val="0"/>
          <w:szCs w:val="24"/>
        </w:rPr>
        <w:t xml:space="preserve">The normal </w:t>
      </w:r>
      <w:r w:rsidRPr="00942C19">
        <w:t>increment</w:t>
      </w:r>
      <w:r w:rsidRPr="00942C19">
        <w:rPr>
          <w:bCs w:val="0"/>
          <w:szCs w:val="24"/>
        </w:rPr>
        <w:t xml:space="preserve"> in salaries was paid from April 2009 onwards. Hence the normal increase in employee costs would be reflected in the audited accounts of FY 2009-10.</w:t>
      </w:r>
    </w:p>
    <w:p w:rsidR="00222C32" w:rsidRPr="00942C19" w:rsidRDefault="00222C32" w:rsidP="00222C32">
      <w:pPr>
        <w:rPr>
          <w:rFonts w:cs="Calibri"/>
        </w:rPr>
      </w:pPr>
    </w:p>
    <w:p w:rsidR="00222C32" w:rsidRPr="00942C19" w:rsidRDefault="00222C32" w:rsidP="009036DE">
      <w:pPr>
        <w:pStyle w:val="Heading3"/>
        <w:numPr>
          <w:ilvl w:val="2"/>
          <w:numId w:val="1"/>
        </w:numPr>
        <w:spacing w:before="0"/>
        <w:rPr>
          <w:rFonts w:cs="Calibri"/>
        </w:rPr>
      </w:pPr>
      <w:r w:rsidRPr="00942C19">
        <w:rPr>
          <w:rFonts w:cs="Calibri"/>
        </w:rPr>
        <w:t xml:space="preserve">The Commission has estimated the percentage increase in normal </w:t>
      </w:r>
      <w:r w:rsidR="00A35D55" w:rsidRPr="00942C19">
        <w:rPr>
          <w:rFonts w:cs="Calibri"/>
        </w:rPr>
        <w:t xml:space="preserve">gross </w:t>
      </w:r>
      <w:r w:rsidRPr="00942C19">
        <w:rPr>
          <w:rFonts w:cs="Calibri"/>
        </w:rPr>
        <w:t xml:space="preserve">employee expenses for FY </w:t>
      </w:r>
      <w:r w:rsidRPr="00942C19">
        <w:t>2009</w:t>
      </w:r>
      <w:r w:rsidRPr="00942C19">
        <w:rPr>
          <w:rFonts w:cs="Calibri"/>
        </w:rPr>
        <w:t xml:space="preserve">-10 by isolating the impact of pay revision arrear in 2008-09. </w:t>
      </w:r>
      <w:r w:rsidR="00785E17" w:rsidRPr="00942C19">
        <w:rPr>
          <w:rFonts w:cs="Calibri"/>
        </w:rPr>
        <w:t xml:space="preserve">The normal gross employee </w:t>
      </w:r>
      <w:r w:rsidR="00785E17" w:rsidRPr="00942C19">
        <w:rPr>
          <w:rFonts w:asciiTheme="minorHAnsi" w:hAnsiTheme="minorHAnsi" w:cstheme="minorHAnsi"/>
        </w:rPr>
        <w:t>expenses</w:t>
      </w:r>
      <w:r w:rsidR="00785E17" w:rsidRPr="00942C19">
        <w:rPr>
          <w:rFonts w:cs="Calibri"/>
        </w:rPr>
        <w:t xml:space="preserve"> increased from Rs. </w:t>
      </w:r>
      <w:r w:rsidR="00A35D55" w:rsidRPr="00942C19">
        <w:rPr>
          <w:rFonts w:cs="Calibri"/>
        </w:rPr>
        <w:t>254.22</w:t>
      </w:r>
      <w:r w:rsidR="00785E17" w:rsidRPr="00942C19">
        <w:rPr>
          <w:rFonts w:cs="Calibri"/>
        </w:rPr>
        <w:t xml:space="preserve"> </w:t>
      </w:r>
      <w:r w:rsidR="00112A2A" w:rsidRPr="00942C19">
        <w:rPr>
          <w:rFonts w:cs="Calibri"/>
        </w:rPr>
        <w:t xml:space="preserve">crores </w:t>
      </w:r>
      <w:r w:rsidR="00785E17" w:rsidRPr="00942C19">
        <w:rPr>
          <w:rFonts w:cs="Calibri"/>
        </w:rPr>
        <w:t xml:space="preserve">(excluding pay revision arrear) in FY 2008-09 to Rs. </w:t>
      </w:r>
      <w:r w:rsidR="00A35D55" w:rsidRPr="00942C19">
        <w:rPr>
          <w:rFonts w:cs="Calibri"/>
        </w:rPr>
        <w:t>332.76</w:t>
      </w:r>
      <w:r w:rsidR="00785E17" w:rsidRPr="00942C19">
        <w:rPr>
          <w:rFonts w:cs="Calibri"/>
        </w:rPr>
        <w:t xml:space="preserve"> </w:t>
      </w:r>
      <w:r w:rsidR="00112A2A" w:rsidRPr="00942C19">
        <w:rPr>
          <w:rFonts w:cs="Calibri"/>
        </w:rPr>
        <w:t>c</w:t>
      </w:r>
      <w:r w:rsidR="00785E17" w:rsidRPr="00942C19">
        <w:rPr>
          <w:rFonts w:cs="Calibri"/>
        </w:rPr>
        <w:t>rore</w:t>
      </w:r>
      <w:r w:rsidR="00112A2A" w:rsidRPr="00942C19">
        <w:rPr>
          <w:rFonts w:cs="Calibri"/>
        </w:rPr>
        <w:t>s</w:t>
      </w:r>
      <w:r w:rsidR="00785E17" w:rsidRPr="00942C19">
        <w:rPr>
          <w:rFonts w:cs="Calibri"/>
        </w:rPr>
        <w:t xml:space="preserve"> in FY 2009-10 consequent to pay revision, which translates to an increase of 3</w:t>
      </w:r>
      <w:r w:rsidR="0084795B" w:rsidRPr="00942C19">
        <w:rPr>
          <w:rFonts w:cs="Calibri"/>
        </w:rPr>
        <w:t>0.90</w:t>
      </w:r>
      <w:r w:rsidR="00785E17" w:rsidRPr="00942C19">
        <w:rPr>
          <w:rFonts w:cs="Calibri"/>
        </w:rPr>
        <w:t>%.</w:t>
      </w:r>
      <w:r w:rsidRPr="00942C19">
        <w:rPr>
          <w:rFonts w:cs="Calibri"/>
        </w:rPr>
        <w:t xml:space="preserve"> </w:t>
      </w:r>
    </w:p>
    <w:p w:rsidR="00222C32" w:rsidRPr="00942C19" w:rsidRDefault="00222C32" w:rsidP="00222C32">
      <w:pPr>
        <w:rPr>
          <w:rFonts w:cs="Calibri"/>
        </w:rPr>
      </w:pPr>
    </w:p>
    <w:p w:rsidR="00222C32" w:rsidRPr="00942C19" w:rsidRDefault="00222C32" w:rsidP="009036DE">
      <w:pPr>
        <w:pStyle w:val="Heading3"/>
        <w:numPr>
          <w:ilvl w:val="2"/>
          <w:numId w:val="1"/>
        </w:numPr>
        <w:spacing w:before="0"/>
        <w:rPr>
          <w:rFonts w:cs="Calibri"/>
        </w:rPr>
      </w:pPr>
      <w:r w:rsidRPr="00942C19">
        <w:rPr>
          <w:rFonts w:cs="Calibri"/>
        </w:rPr>
        <w:t xml:space="preserve">The allowable </w:t>
      </w:r>
      <w:r w:rsidR="004D2506" w:rsidRPr="00942C19">
        <w:rPr>
          <w:rFonts w:cs="Calibri"/>
        </w:rPr>
        <w:t xml:space="preserve">gross employee </w:t>
      </w:r>
      <w:r w:rsidRPr="00942C19">
        <w:rPr>
          <w:rFonts w:cs="Calibri"/>
        </w:rPr>
        <w:t>expenses for FY 2009-</w:t>
      </w:r>
      <w:r w:rsidR="00785E17" w:rsidRPr="00942C19">
        <w:rPr>
          <w:rFonts w:cs="Calibri"/>
        </w:rPr>
        <w:t xml:space="preserve">10 have been considered by escalating the component </w:t>
      </w:r>
      <w:r w:rsidR="00785E17" w:rsidRPr="00942C19">
        <w:rPr>
          <w:rFonts w:asciiTheme="minorHAnsi" w:hAnsiTheme="minorHAnsi" w:cstheme="minorHAnsi"/>
        </w:rPr>
        <w:t>wise</w:t>
      </w:r>
      <w:r w:rsidR="00785E17" w:rsidRPr="00942C19">
        <w:rPr>
          <w:rFonts w:cs="Calibri"/>
        </w:rPr>
        <w:t xml:space="preserve"> approved O&amp;M expenses for FY 2008-09 by 3</w:t>
      </w:r>
      <w:r w:rsidR="0084795B" w:rsidRPr="00942C19">
        <w:rPr>
          <w:rFonts w:cs="Calibri"/>
        </w:rPr>
        <w:t>0.90</w:t>
      </w:r>
      <w:r w:rsidR="00785E17" w:rsidRPr="00942C19">
        <w:rPr>
          <w:rFonts w:cs="Calibri"/>
        </w:rPr>
        <w:t>% which is inclusive of the escalation index of 8.51% approved in Table 4-3</w:t>
      </w:r>
      <w:r w:rsidR="0084795B" w:rsidRPr="00942C19">
        <w:rPr>
          <w:rFonts w:cs="Calibri"/>
        </w:rPr>
        <w:t>6</w:t>
      </w:r>
      <w:r w:rsidR="00785E17" w:rsidRPr="00942C19">
        <w:rPr>
          <w:rFonts w:cs="Calibri"/>
        </w:rPr>
        <w:t xml:space="preserve"> above</w:t>
      </w:r>
      <w:r w:rsidRPr="00942C19">
        <w:rPr>
          <w:rFonts w:cs="Calibri"/>
        </w:rPr>
        <w:t>.</w:t>
      </w:r>
    </w:p>
    <w:p w:rsidR="00222C32" w:rsidRPr="00942C19" w:rsidRDefault="00222C32" w:rsidP="00222C32">
      <w:pPr>
        <w:pStyle w:val="Heading3"/>
        <w:numPr>
          <w:ilvl w:val="0"/>
          <w:numId w:val="0"/>
        </w:numPr>
        <w:rPr>
          <w:bCs w:val="0"/>
          <w:sz w:val="23"/>
          <w:szCs w:val="23"/>
        </w:rPr>
      </w:pPr>
    </w:p>
    <w:p w:rsidR="00222C32" w:rsidRPr="00942C19" w:rsidRDefault="00222C32" w:rsidP="009036DE">
      <w:pPr>
        <w:pStyle w:val="Heading3"/>
        <w:numPr>
          <w:ilvl w:val="2"/>
          <w:numId w:val="1"/>
        </w:numPr>
        <w:spacing w:before="0"/>
        <w:rPr>
          <w:rFonts w:cs="Calibri"/>
        </w:rPr>
      </w:pPr>
      <w:r w:rsidRPr="00942C19">
        <w:rPr>
          <w:rFonts w:cs="Calibri"/>
        </w:rPr>
        <w:t>The allowable O&amp;M expenses for FY 2013-14 have been approved by escalating the component wise O&amp;M expenses for FY 2009-10 by using the yearly inflation indices approved in Table 4-3</w:t>
      </w:r>
      <w:r w:rsidR="0084795B" w:rsidRPr="00942C19">
        <w:rPr>
          <w:rFonts w:cs="Calibri"/>
        </w:rPr>
        <w:t>6</w:t>
      </w:r>
      <w:r w:rsidRPr="00942C19">
        <w:rPr>
          <w:rFonts w:cs="Calibri"/>
        </w:rPr>
        <w:t>.</w:t>
      </w:r>
    </w:p>
    <w:p w:rsidR="00222C32" w:rsidRPr="00942C19" w:rsidRDefault="00222C32" w:rsidP="00222C32">
      <w:pPr>
        <w:pStyle w:val="Heading3"/>
        <w:numPr>
          <w:ilvl w:val="0"/>
          <w:numId w:val="0"/>
        </w:numPr>
      </w:pPr>
    </w:p>
    <w:p w:rsidR="00155FB3" w:rsidRPr="00942C19" w:rsidRDefault="00222C32" w:rsidP="00155FB3">
      <w:pPr>
        <w:pStyle w:val="Heading3"/>
        <w:numPr>
          <w:ilvl w:val="2"/>
          <w:numId w:val="1"/>
        </w:numPr>
        <w:spacing w:before="0"/>
        <w:rPr>
          <w:rFonts w:cs="Calibri"/>
          <w:bCs w:val="0"/>
        </w:rPr>
      </w:pPr>
      <w:r w:rsidRPr="00942C19">
        <w:rPr>
          <w:rFonts w:cs="Calibri"/>
          <w:bCs w:val="0"/>
        </w:rPr>
        <w:t>Further</w:t>
      </w:r>
      <w:r w:rsidRPr="00942C19">
        <w:rPr>
          <w:bCs w:val="0"/>
        </w:rPr>
        <w:t xml:space="preserve"> in addition to the O&amp;M cost based on inflationary indices based escalation, the Distribution Tariff Regulations provide for incremental O&amp;M expenses on addition to assets during the year. Regulation stipulates that </w:t>
      </w:r>
      <w:r w:rsidRPr="00942C19">
        <w:rPr>
          <w:rFonts w:cs="Tahoma"/>
          <w:bCs w:val="0"/>
          <w:i/>
          <w:lang w:val="en-US"/>
        </w:rPr>
        <w:t>“</w:t>
      </w:r>
      <w:r w:rsidRPr="00942C19">
        <w:rPr>
          <w:rFonts w:cs="Calibri"/>
          <w:bCs w:val="0"/>
          <w:i/>
        </w:rPr>
        <w:t>Incremental O&amp;M expenses for the ensuing financial year shall be 2.5% of capital addition during the current year. O&amp;M charges for the ensuing financial year shall be sum of incremental O&amp;M expenses so worked out and O&amp;M charges of current year escalated on the basis of predetermined indices as indicated in regulation 4.3(1).</w:t>
      </w:r>
      <w:r w:rsidRPr="00942C19">
        <w:rPr>
          <w:rFonts w:cs="Tahoma"/>
          <w:bCs w:val="0"/>
          <w:i/>
          <w:lang w:val="en-US"/>
        </w:rPr>
        <w:t>”</w:t>
      </w:r>
    </w:p>
    <w:p w:rsidR="00222C32" w:rsidRPr="00942C19" w:rsidRDefault="00222C32" w:rsidP="00222C32">
      <w:pPr>
        <w:pStyle w:val="Heading3"/>
        <w:numPr>
          <w:ilvl w:val="0"/>
          <w:numId w:val="0"/>
        </w:numPr>
        <w:rPr>
          <w:rFonts w:cs="Calibri"/>
          <w:bCs w:val="0"/>
        </w:rPr>
      </w:pPr>
    </w:p>
    <w:p w:rsidR="00222C32" w:rsidRPr="00942C19" w:rsidRDefault="00222C32" w:rsidP="00A926B1">
      <w:pPr>
        <w:pStyle w:val="Heading3"/>
        <w:numPr>
          <w:ilvl w:val="2"/>
          <w:numId w:val="1"/>
        </w:numPr>
        <w:tabs>
          <w:tab w:val="left" w:pos="1560"/>
        </w:tabs>
        <w:spacing w:before="0"/>
        <w:ind w:hanging="862"/>
        <w:rPr>
          <w:rFonts w:cs="Calibri"/>
          <w:bCs w:val="0"/>
        </w:rPr>
      </w:pPr>
      <w:r w:rsidRPr="00942C19">
        <w:rPr>
          <w:bCs w:val="0"/>
          <w:lang w:val="en-US"/>
        </w:rPr>
        <w:t>Based</w:t>
      </w:r>
      <w:r w:rsidRPr="00942C19">
        <w:rPr>
          <w:bCs w:val="0"/>
        </w:rPr>
        <w:t xml:space="preserve"> on the above </w:t>
      </w:r>
      <w:r w:rsidR="000B0B13" w:rsidRPr="00942C19">
        <w:rPr>
          <w:bCs w:val="0"/>
        </w:rPr>
        <w:t>and considering the philosophy for computation of incremental O&amp;M expenses approved in Order dated 7</w:t>
      </w:r>
      <w:r w:rsidR="00785E17" w:rsidRPr="00942C19">
        <w:rPr>
          <w:bCs w:val="0"/>
          <w:vertAlign w:val="superscript"/>
        </w:rPr>
        <w:t>th</w:t>
      </w:r>
      <w:r w:rsidR="000B0B13" w:rsidRPr="00942C19">
        <w:rPr>
          <w:bCs w:val="0"/>
        </w:rPr>
        <w:t xml:space="preserve"> January, 2013 in Petition No. 847/2012, </w:t>
      </w:r>
      <w:r w:rsidRPr="00942C19">
        <w:rPr>
          <w:bCs w:val="0"/>
        </w:rPr>
        <w:t xml:space="preserve">the Commission has approved incremental O&amp;M expenses for FY 2013-14 </w:t>
      </w:r>
      <w:r w:rsidR="00785E17" w:rsidRPr="00942C19">
        <w:rPr>
          <w:bCs w:val="0"/>
        </w:rPr>
        <w:t xml:space="preserve">at Rs. </w:t>
      </w:r>
      <w:r w:rsidR="0084795B" w:rsidRPr="00942C19">
        <w:rPr>
          <w:bCs w:val="0"/>
        </w:rPr>
        <w:t>62.95</w:t>
      </w:r>
      <w:r w:rsidR="00785E17" w:rsidRPr="00942C19">
        <w:rPr>
          <w:bCs w:val="0"/>
        </w:rPr>
        <w:t xml:space="preserve"> crores as depicted</w:t>
      </w:r>
      <w:r w:rsidRPr="00942C19">
        <w:rPr>
          <w:bCs w:val="0"/>
        </w:rPr>
        <w:t xml:space="preserve"> in the table below.</w:t>
      </w:r>
    </w:p>
    <w:p w:rsidR="00A44CA7" w:rsidRPr="00942C19" w:rsidRDefault="00785E17">
      <w:pPr>
        <w:tabs>
          <w:tab w:val="left" w:pos="864"/>
        </w:tabs>
        <w:spacing w:after="240"/>
        <w:ind w:left="720"/>
        <w:jc w:val="center"/>
        <w:outlineLvl w:val="2"/>
        <w:rPr>
          <w:rFonts w:cs="Calibri"/>
          <w:b/>
          <w:bCs/>
          <w:szCs w:val="26"/>
        </w:rPr>
      </w:pPr>
      <w:bookmarkStart w:id="686" w:name="_Toc357274494"/>
      <w:bookmarkStart w:id="687" w:name="_Toc357719735"/>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41</w:t>
      </w:r>
      <w:r w:rsidR="000C642E" w:rsidRPr="00942C19">
        <w:rPr>
          <w:b/>
        </w:rPr>
        <w:fldChar w:fldCharType="end"/>
      </w:r>
      <w:r w:rsidRPr="00942C19">
        <w:rPr>
          <w:b/>
        </w:rPr>
        <w:t xml:space="preserve">: </w:t>
      </w:r>
      <w:r w:rsidRPr="00942C19">
        <w:rPr>
          <w:rFonts w:cs="Calibri"/>
          <w:b/>
          <w:bCs/>
          <w:szCs w:val="26"/>
        </w:rPr>
        <w:t>INCREMENTAL O&amp;M EXPENSES (Rs</w:t>
      </w:r>
      <w:r w:rsidR="008727B1" w:rsidRPr="00942C19">
        <w:rPr>
          <w:rFonts w:cs="Calibri"/>
          <w:b/>
          <w:bCs/>
          <w:szCs w:val="26"/>
        </w:rPr>
        <w:t>.</w:t>
      </w:r>
      <w:r w:rsidRPr="00942C19">
        <w:rPr>
          <w:rFonts w:cs="Calibri"/>
          <w:b/>
          <w:bCs/>
          <w:szCs w:val="26"/>
        </w:rPr>
        <w:t xml:space="preserve"> Crore</w:t>
      </w:r>
      <w:r w:rsidR="008727B1" w:rsidRPr="00942C19">
        <w:rPr>
          <w:rFonts w:cs="Calibri"/>
          <w:b/>
          <w:bCs/>
          <w:szCs w:val="26"/>
        </w:rPr>
        <w:t>s</w:t>
      </w:r>
      <w:r w:rsidRPr="00942C19">
        <w:rPr>
          <w:rFonts w:cs="Calibri"/>
          <w:b/>
          <w:bCs/>
          <w:szCs w:val="26"/>
        </w:rPr>
        <w:t>)</w:t>
      </w:r>
      <w:bookmarkEnd w:id="686"/>
      <w:bookmarkEnd w:id="687"/>
    </w:p>
    <w:tbl>
      <w:tblPr>
        <w:tblW w:w="502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39"/>
        <w:gridCol w:w="1277"/>
        <w:gridCol w:w="902"/>
        <w:gridCol w:w="902"/>
        <w:gridCol w:w="901"/>
        <w:gridCol w:w="901"/>
        <w:gridCol w:w="901"/>
        <w:gridCol w:w="901"/>
      </w:tblGrid>
      <w:tr w:rsidR="007B4E42" w:rsidRPr="00942C19" w:rsidTr="007B4E42">
        <w:trPr>
          <w:trHeight w:val="300"/>
        </w:trPr>
        <w:tc>
          <w:tcPr>
            <w:tcW w:w="1253" w:type="pct"/>
            <w:shd w:val="clear" w:color="000000" w:fill="DBE5F1"/>
            <w:noWrap/>
            <w:vAlign w:val="center"/>
            <w:hideMark/>
          </w:tcPr>
          <w:p w:rsidR="00A44CA7" w:rsidRPr="00942C19" w:rsidRDefault="007E2592">
            <w:pPr>
              <w:spacing w:before="0" w:after="240" w:line="240" w:lineRule="auto"/>
              <w:jc w:val="center"/>
              <w:rPr>
                <w:rFonts w:cs="Calibri"/>
                <w:b/>
                <w:bCs/>
                <w:color w:val="333399"/>
                <w:kern w:val="32"/>
                <w:sz w:val="22"/>
                <w:szCs w:val="22"/>
                <w:lang w:val="en-IN" w:eastAsia="en-IN"/>
              </w:rPr>
            </w:pPr>
            <w:r w:rsidRPr="00942C19">
              <w:rPr>
                <w:rFonts w:cs="Calibri"/>
                <w:b/>
                <w:bCs/>
                <w:sz w:val="22"/>
                <w:szCs w:val="22"/>
                <w:lang w:val="en-IN" w:eastAsia="en-IN"/>
              </w:rPr>
              <w:t>Particulars</w:t>
            </w:r>
          </w:p>
        </w:tc>
        <w:tc>
          <w:tcPr>
            <w:tcW w:w="715"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Derivation</w:t>
            </w:r>
          </w:p>
        </w:tc>
        <w:tc>
          <w:tcPr>
            <w:tcW w:w="505"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2008-09</w:t>
            </w:r>
          </w:p>
        </w:tc>
        <w:tc>
          <w:tcPr>
            <w:tcW w:w="505"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2009-10</w:t>
            </w:r>
          </w:p>
        </w:tc>
        <w:tc>
          <w:tcPr>
            <w:tcW w:w="505"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2010-11</w:t>
            </w:r>
          </w:p>
        </w:tc>
        <w:tc>
          <w:tcPr>
            <w:tcW w:w="505"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2011-12</w:t>
            </w:r>
          </w:p>
        </w:tc>
        <w:tc>
          <w:tcPr>
            <w:tcW w:w="505"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2012-13</w:t>
            </w:r>
          </w:p>
        </w:tc>
        <w:tc>
          <w:tcPr>
            <w:tcW w:w="505"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2013-14</w:t>
            </w:r>
          </w:p>
        </w:tc>
      </w:tr>
      <w:tr w:rsidR="007B4E42" w:rsidRPr="00942C19" w:rsidTr="007B4E42">
        <w:trPr>
          <w:trHeight w:val="600"/>
        </w:trPr>
        <w:tc>
          <w:tcPr>
            <w:tcW w:w="1253" w:type="pct"/>
            <w:shd w:val="clear" w:color="auto" w:fill="auto"/>
            <w:vAlign w:val="center"/>
            <w:hideMark/>
          </w:tcPr>
          <w:p w:rsidR="007B4E42" w:rsidRPr="00942C19" w:rsidRDefault="007B4E42" w:rsidP="007E259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Net Additions to GFA during preceding year</w:t>
            </w:r>
          </w:p>
        </w:tc>
        <w:tc>
          <w:tcPr>
            <w:tcW w:w="715" w:type="pct"/>
            <w:shd w:val="clear" w:color="auto" w:fill="auto"/>
            <w:vAlign w:val="center"/>
            <w:hideMark/>
          </w:tcPr>
          <w:p w:rsidR="007B4E42" w:rsidRPr="00942C19" w:rsidRDefault="007B4E42" w:rsidP="007E2592">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A</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221.55</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126.51</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354.48</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350.66</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185.60</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928.25</w:t>
            </w:r>
          </w:p>
        </w:tc>
      </w:tr>
      <w:tr w:rsidR="007B4E42" w:rsidRPr="00942C19" w:rsidTr="007B4E42">
        <w:trPr>
          <w:trHeight w:val="300"/>
        </w:trPr>
        <w:tc>
          <w:tcPr>
            <w:tcW w:w="1253" w:type="pct"/>
            <w:shd w:val="clear" w:color="auto" w:fill="auto"/>
            <w:vAlign w:val="center"/>
            <w:hideMark/>
          </w:tcPr>
          <w:p w:rsidR="007B4E42" w:rsidRPr="00942C19" w:rsidRDefault="007B4E42" w:rsidP="007E259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Preceding year O&amp;M charge</w:t>
            </w:r>
          </w:p>
        </w:tc>
        <w:tc>
          <w:tcPr>
            <w:tcW w:w="715" w:type="pct"/>
            <w:shd w:val="clear" w:color="auto" w:fill="auto"/>
            <w:vAlign w:val="center"/>
            <w:hideMark/>
          </w:tcPr>
          <w:p w:rsidR="007B4E42" w:rsidRPr="00942C19" w:rsidRDefault="007B4E42" w:rsidP="007E2592">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B</w:t>
            </w:r>
          </w:p>
        </w:tc>
        <w:tc>
          <w:tcPr>
            <w:tcW w:w="505" w:type="pct"/>
            <w:shd w:val="clear" w:color="auto" w:fill="auto"/>
            <w:vAlign w:val="center"/>
            <w:hideMark/>
          </w:tcPr>
          <w:p w:rsidR="00155FB3" w:rsidRPr="00942C19" w:rsidRDefault="00155FB3" w:rsidP="00155FB3">
            <w:pPr>
              <w:spacing w:before="0" w:line="240" w:lineRule="auto"/>
              <w:jc w:val="center"/>
              <w:rPr>
                <w:rFonts w:cs="Calibri"/>
                <w:b/>
                <w:bCs/>
                <w:color w:val="000000"/>
                <w:kern w:val="32"/>
                <w:sz w:val="22"/>
                <w:szCs w:val="22"/>
                <w:lang w:val="en-IN" w:eastAsia="en-IN"/>
              </w:rPr>
            </w:pP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5.54</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9.17</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18.72</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29.36</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36.55</w:t>
            </w:r>
          </w:p>
        </w:tc>
      </w:tr>
      <w:tr w:rsidR="007B4E42" w:rsidRPr="00942C19" w:rsidTr="007B4E42">
        <w:trPr>
          <w:trHeight w:val="900"/>
        </w:trPr>
        <w:tc>
          <w:tcPr>
            <w:tcW w:w="1253" w:type="pct"/>
            <w:shd w:val="clear" w:color="auto" w:fill="auto"/>
            <w:vAlign w:val="center"/>
            <w:hideMark/>
          </w:tcPr>
          <w:p w:rsidR="007B4E42" w:rsidRPr="00942C19" w:rsidRDefault="007B4E42" w:rsidP="007E2592">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Incremental O&amp;M expenses @ 2.5% on Net Additions to GFA</w:t>
            </w:r>
          </w:p>
        </w:tc>
        <w:tc>
          <w:tcPr>
            <w:tcW w:w="715" w:type="pct"/>
            <w:shd w:val="clear" w:color="auto" w:fill="auto"/>
            <w:vAlign w:val="center"/>
            <w:hideMark/>
          </w:tcPr>
          <w:p w:rsidR="007B4E42" w:rsidRPr="00942C19" w:rsidRDefault="007B4E4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C = 2.50% of A</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5.54</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3.16</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8.86</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8.77</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4.64</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23.21</w:t>
            </w:r>
          </w:p>
        </w:tc>
      </w:tr>
      <w:tr w:rsidR="007B4E42" w:rsidRPr="00942C19" w:rsidTr="007B4E42">
        <w:trPr>
          <w:trHeight w:val="300"/>
        </w:trPr>
        <w:tc>
          <w:tcPr>
            <w:tcW w:w="1253" w:type="pct"/>
            <w:shd w:val="clear" w:color="auto" w:fill="auto"/>
            <w:vAlign w:val="center"/>
            <w:hideMark/>
          </w:tcPr>
          <w:p w:rsidR="007B4E42" w:rsidRPr="00942C19" w:rsidRDefault="007B4E42" w:rsidP="007E259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Inflation Index</w:t>
            </w:r>
          </w:p>
        </w:tc>
        <w:tc>
          <w:tcPr>
            <w:tcW w:w="715" w:type="pct"/>
            <w:shd w:val="clear" w:color="auto" w:fill="auto"/>
            <w:vAlign w:val="center"/>
            <w:hideMark/>
          </w:tcPr>
          <w:p w:rsidR="007B4E42" w:rsidRPr="00942C19" w:rsidRDefault="007B4E42" w:rsidP="007E2592">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D</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5.36%</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8.51%</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7.52%</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9.96%</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8.69%</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8.75%</w:t>
            </w:r>
          </w:p>
        </w:tc>
      </w:tr>
      <w:tr w:rsidR="007B4E42" w:rsidRPr="00942C19" w:rsidTr="007B4E42">
        <w:trPr>
          <w:trHeight w:val="600"/>
        </w:trPr>
        <w:tc>
          <w:tcPr>
            <w:tcW w:w="1253" w:type="pct"/>
            <w:shd w:val="clear" w:color="auto" w:fill="auto"/>
            <w:vAlign w:val="center"/>
            <w:hideMark/>
          </w:tcPr>
          <w:p w:rsidR="007B4E42" w:rsidRPr="00942C19" w:rsidRDefault="007B4E42" w:rsidP="007E2592">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Preceding year O&amp;M charge so escalated</w:t>
            </w:r>
          </w:p>
        </w:tc>
        <w:tc>
          <w:tcPr>
            <w:tcW w:w="715" w:type="pct"/>
            <w:shd w:val="clear" w:color="auto" w:fill="auto"/>
            <w:vAlign w:val="center"/>
            <w:hideMark/>
          </w:tcPr>
          <w:p w:rsidR="007B4E42" w:rsidRPr="00942C19" w:rsidRDefault="007B4E4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E = B (1+D)</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0.00</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6.01</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9.86</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20.59</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31.91</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39.74</w:t>
            </w:r>
          </w:p>
        </w:tc>
      </w:tr>
      <w:tr w:rsidR="007B4E42" w:rsidRPr="00942C19" w:rsidTr="007B4E42">
        <w:trPr>
          <w:trHeight w:val="300"/>
        </w:trPr>
        <w:tc>
          <w:tcPr>
            <w:tcW w:w="1253" w:type="pct"/>
            <w:shd w:val="clear" w:color="auto" w:fill="auto"/>
            <w:vAlign w:val="center"/>
            <w:hideMark/>
          </w:tcPr>
          <w:p w:rsidR="007B4E42" w:rsidRPr="00942C19" w:rsidRDefault="007B4E42" w:rsidP="007E2592">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O&amp;M Expenses</w:t>
            </w:r>
          </w:p>
        </w:tc>
        <w:tc>
          <w:tcPr>
            <w:tcW w:w="715" w:type="pct"/>
            <w:shd w:val="clear" w:color="auto" w:fill="auto"/>
            <w:vAlign w:val="center"/>
            <w:hideMark/>
          </w:tcPr>
          <w:p w:rsidR="007B4E42" w:rsidRPr="00942C19" w:rsidRDefault="007B4E4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 = C + E</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5.54</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9.17</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18.72</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29.36</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36.55</w:t>
            </w:r>
          </w:p>
        </w:tc>
        <w:tc>
          <w:tcPr>
            <w:tcW w:w="505" w:type="pct"/>
            <w:shd w:val="clear" w:color="auto" w:fill="auto"/>
            <w:vAlign w:val="center"/>
            <w:hideMark/>
          </w:tcPr>
          <w:p w:rsidR="00155FB3" w:rsidRPr="00942C19" w:rsidRDefault="007B4E42" w:rsidP="00155FB3">
            <w:pPr>
              <w:spacing w:before="0" w:line="240" w:lineRule="auto"/>
              <w:jc w:val="center"/>
              <w:rPr>
                <w:rFonts w:cs="Calibri"/>
                <w:b/>
                <w:bCs/>
                <w:color w:val="000000"/>
                <w:sz w:val="22"/>
                <w:szCs w:val="22"/>
                <w:lang w:val="en-IN" w:eastAsia="en-IN"/>
              </w:rPr>
            </w:pPr>
            <w:r w:rsidRPr="00942C19">
              <w:rPr>
                <w:rFonts w:cs="Calibri"/>
                <w:b/>
                <w:bCs/>
                <w:color w:val="000000"/>
                <w:sz w:val="22"/>
                <w:szCs w:val="22"/>
              </w:rPr>
              <w:t>62.95</w:t>
            </w:r>
          </w:p>
        </w:tc>
      </w:tr>
      <w:tr w:rsidR="007B4E42" w:rsidRPr="00942C19" w:rsidTr="007B4E42">
        <w:trPr>
          <w:trHeight w:val="300"/>
        </w:trPr>
        <w:tc>
          <w:tcPr>
            <w:tcW w:w="1253" w:type="pct"/>
            <w:shd w:val="clear" w:color="auto" w:fill="auto"/>
            <w:vAlign w:val="center"/>
            <w:hideMark/>
          </w:tcPr>
          <w:p w:rsidR="007B4E42" w:rsidRPr="00942C19" w:rsidRDefault="007B4E42" w:rsidP="007E2592">
            <w:pPr>
              <w:spacing w:before="0" w:line="240" w:lineRule="auto"/>
              <w:jc w:val="left"/>
              <w:rPr>
                <w:rFonts w:cs="Calibri"/>
                <w:i/>
                <w:iCs/>
                <w:color w:val="000000"/>
                <w:sz w:val="22"/>
                <w:szCs w:val="22"/>
                <w:lang w:val="en-IN" w:eastAsia="en-IN"/>
              </w:rPr>
            </w:pPr>
            <w:r w:rsidRPr="00942C19">
              <w:rPr>
                <w:rFonts w:cs="Calibri"/>
                <w:i/>
                <w:iCs/>
                <w:color w:val="000000"/>
                <w:sz w:val="22"/>
                <w:szCs w:val="22"/>
                <w:lang w:val="en-IN" w:eastAsia="en-IN"/>
              </w:rPr>
              <w:t>a) Employee costs</w:t>
            </w:r>
          </w:p>
        </w:tc>
        <w:tc>
          <w:tcPr>
            <w:tcW w:w="715" w:type="pct"/>
            <w:shd w:val="clear" w:color="auto" w:fill="auto"/>
            <w:vAlign w:val="center"/>
            <w:hideMark/>
          </w:tcPr>
          <w:p w:rsidR="007B4E42" w:rsidRPr="00942C19" w:rsidRDefault="007B4E42" w:rsidP="007E2592">
            <w:pPr>
              <w:spacing w:before="0" w:line="240" w:lineRule="auto"/>
              <w:jc w:val="center"/>
              <w:rPr>
                <w:rFonts w:cs="Calibri"/>
                <w:i/>
                <w:iCs/>
                <w:color w:val="000000"/>
                <w:sz w:val="22"/>
                <w:szCs w:val="22"/>
                <w:lang w:val="en-IN" w:eastAsia="en-IN"/>
              </w:rPr>
            </w:pPr>
            <w:r w:rsidRPr="00942C19">
              <w:rPr>
                <w:rFonts w:cs="Calibri"/>
                <w:i/>
                <w:iCs/>
                <w:color w:val="000000"/>
                <w:sz w:val="22"/>
                <w:szCs w:val="22"/>
                <w:lang w:val="en-IN" w:eastAsia="en-IN"/>
              </w:rPr>
              <w:t> </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3.54</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5.80</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11.80</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18.77</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23.36</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40.18</w:t>
            </w:r>
          </w:p>
        </w:tc>
      </w:tr>
      <w:tr w:rsidR="007B4E42" w:rsidRPr="00942C19" w:rsidTr="007B4E42">
        <w:trPr>
          <w:trHeight w:val="300"/>
        </w:trPr>
        <w:tc>
          <w:tcPr>
            <w:tcW w:w="1253" w:type="pct"/>
            <w:shd w:val="clear" w:color="auto" w:fill="auto"/>
            <w:vAlign w:val="center"/>
            <w:hideMark/>
          </w:tcPr>
          <w:p w:rsidR="007B4E42" w:rsidRPr="00942C19" w:rsidRDefault="007B4E42" w:rsidP="007E2592">
            <w:pPr>
              <w:spacing w:before="0" w:line="240" w:lineRule="auto"/>
              <w:jc w:val="left"/>
              <w:rPr>
                <w:rFonts w:cs="Calibri"/>
                <w:i/>
                <w:iCs/>
                <w:color w:val="000000"/>
                <w:sz w:val="22"/>
                <w:szCs w:val="22"/>
                <w:lang w:val="en-IN" w:eastAsia="en-IN"/>
              </w:rPr>
            </w:pPr>
            <w:r w:rsidRPr="00942C19">
              <w:rPr>
                <w:rFonts w:cs="Calibri"/>
                <w:i/>
                <w:iCs/>
                <w:color w:val="000000"/>
                <w:sz w:val="22"/>
                <w:szCs w:val="22"/>
                <w:lang w:val="en-IN" w:eastAsia="en-IN"/>
              </w:rPr>
              <w:t>b) R&amp;M expenses</w:t>
            </w:r>
          </w:p>
        </w:tc>
        <w:tc>
          <w:tcPr>
            <w:tcW w:w="715" w:type="pct"/>
            <w:shd w:val="clear" w:color="auto" w:fill="auto"/>
            <w:vAlign w:val="center"/>
            <w:hideMark/>
          </w:tcPr>
          <w:p w:rsidR="007B4E42" w:rsidRPr="00942C19" w:rsidRDefault="007B4E42" w:rsidP="007E2592">
            <w:pPr>
              <w:spacing w:before="0" w:line="240" w:lineRule="auto"/>
              <w:jc w:val="center"/>
              <w:rPr>
                <w:rFonts w:cs="Calibri"/>
                <w:i/>
                <w:iCs/>
                <w:color w:val="000000"/>
                <w:sz w:val="22"/>
                <w:szCs w:val="22"/>
                <w:lang w:val="en-IN" w:eastAsia="en-IN"/>
              </w:rPr>
            </w:pPr>
            <w:r w:rsidRPr="00942C19">
              <w:rPr>
                <w:rFonts w:cs="Calibri"/>
                <w:i/>
                <w:iCs/>
                <w:color w:val="000000"/>
                <w:sz w:val="22"/>
                <w:szCs w:val="22"/>
                <w:lang w:val="en-IN" w:eastAsia="en-IN"/>
              </w:rPr>
              <w:t> </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1.32</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2.24</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4.68</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7.04</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8.78</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15.22</w:t>
            </w:r>
          </w:p>
        </w:tc>
      </w:tr>
      <w:tr w:rsidR="007B4E42" w:rsidRPr="00942C19" w:rsidTr="007B4E42">
        <w:trPr>
          <w:trHeight w:val="300"/>
        </w:trPr>
        <w:tc>
          <w:tcPr>
            <w:tcW w:w="1253" w:type="pct"/>
            <w:shd w:val="clear" w:color="auto" w:fill="auto"/>
            <w:vAlign w:val="center"/>
            <w:hideMark/>
          </w:tcPr>
          <w:p w:rsidR="007B4E42" w:rsidRPr="00942C19" w:rsidRDefault="007B4E42" w:rsidP="007E2592">
            <w:pPr>
              <w:spacing w:before="0" w:line="240" w:lineRule="auto"/>
              <w:jc w:val="left"/>
              <w:rPr>
                <w:rFonts w:cs="Calibri"/>
                <w:i/>
                <w:iCs/>
                <w:color w:val="000000"/>
                <w:sz w:val="22"/>
                <w:szCs w:val="22"/>
                <w:lang w:val="en-IN" w:eastAsia="en-IN"/>
              </w:rPr>
            </w:pPr>
            <w:r w:rsidRPr="00942C19">
              <w:rPr>
                <w:rFonts w:cs="Calibri"/>
                <w:i/>
                <w:iCs/>
                <w:color w:val="000000"/>
                <w:sz w:val="22"/>
                <w:szCs w:val="22"/>
                <w:lang w:val="en-IN" w:eastAsia="en-IN"/>
              </w:rPr>
              <w:t>c) A&amp;G expenses</w:t>
            </w:r>
          </w:p>
        </w:tc>
        <w:tc>
          <w:tcPr>
            <w:tcW w:w="715" w:type="pct"/>
            <w:shd w:val="clear" w:color="auto" w:fill="auto"/>
            <w:vAlign w:val="center"/>
            <w:hideMark/>
          </w:tcPr>
          <w:p w:rsidR="007B4E42" w:rsidRPr="00942C19" w:rsidRDefault="007B4E42" w:rsidP="007E2592">
            <w:pPr>
              <w:spacing w:before="0" w:line="240" w:lineRule="auto"/>
              <w:jc w:val="center"/>
              <w:rPr>
                <w:rFonts w:cs="Calibri"/>
                <w:i/>
                <w:iCs/>
                <w:color w:val="000000"/>
                <w:sz w:val="22"/>
                <w:szCs w:val="22"/>
                <w:lang w:val="en-IN" w:eastAsia="en-IN"/>
              </w:rPr>
            </w:pPr>
            <w:r w:rsidRPr="00942C19">
              <w:rPr>
                <w:rFonts w:cs="Calibri"/>
                <w:i/>
                <w:iCs/>
                <w:color w:val="000000"/>
                <w:sz w:val="22"/>
                <w:szCs w:val="22"/>
                <w:lang w:val="en-IN" w:eastAsia="en-IN"/>
              </w:rPr>
              <w:t> </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0.68</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1.14</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2.25</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3.55</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4.41</w:t>
            </w:r>
          </w:p>
        </w:tc>
        <w:tc>
          <w:tcPr>
            <w:tcW w:w="505" w:type="pct"/>
            <w:shd w:val="clear" w:color="auto" w:fill="auto"/>
            <w:vAlign w:val="center"/>
            <w:hideMark/>
          </w:tcPr>
          <w:p w:rsidR="00155FB3" w:rsidRPr="00942C19" w:rsidRDefault="007B4E42" w:rsidP="00155FB3">
            <w:pPr>
              <w:spacing w:before="0" w:line="240" w:lineRule="auto"/>
              <w:jc w:val="center"/>
              <w:rPr>
                <w:rFonts w:cs="Calibri"/>
                <w:color w:val="000000"/>
                <w:sz w:val="22"/>
                <w:szCs w:val="22"/>
                <w:lang w:val="en-IN" w:eastAsia="en-IN"/>
              </w:rPr>
            </w:pPr>
            <w:r w:rsidRPr="00942C19">
              <w:rPr>
                <w:rFonts w:cs="Calibri"/>
                <w:color w:val="000000"/>
                <w:sz w:val="22"/>
                <w:szCs w:val="22"/>
              </w:rPr>
              <w:t>7.55</w:t>
            </w:r>
          </w:p>
        </w:tc>
      </w:tr>
    </w:tbl>
    <w:p w:rsidR="00777CFB" w:rsidRPr="00942C19" w:rsidRDefault="00777CFB" w:rsidP="00777CFB">
      <w:pPr>
        <w:pStyle w:val="Heading3"/>
        <w:numPr>
          <w:ilvl w:val="0"/>
          <w:numId w:val="0"/>
        </w:numPr>
        <w:tabs>
          <w:tab w:val="left" w:pos="1560"/>
        </w:tabs>
        <w:spacing w:before="0"/>
        <w:ind w:left="720"/>
        <w:jc w:val="left"/>
      </w:pPr>
    </w:p>
    <w:p w:rsidR="00222C32" w:rsidRPr="00942C19" w:rsidRDefault="00222C32" w:rsidP="00A926B1">
      <w:pPr>
        <w:pStyle w:val="Heading3"/>
        <w:numPr>
          <w:ilvl w:val="2"/>
          <w:numId w:val="1"/>
        </w:numPr>
        <w:tabs>
          <w:tab w:val="left" w:pos="1560"/>
        </w:tabs>
        <w:spacing w:before="0"/>
        <w:ind w:hanging="862"/>
        <w:jc w:val="left"/>
        <w:sectPr w:rsidR="00222C32" w:rsidRPr="00942C19" w:rsidSect="003F5C37">
          <w:headerReference w:type="default" r:id="rId21"/>
          <w:footerReference w:type="default" r:id="rId22"/>
          <w:pgSz w:w="11909" w:h="16834"/>
          <w:pgMar w:top="1440" w:right="1440" w:bottom="1440" w:left="1800" w:header="720" w:footer="720" w:gutter="0"/>
          <w:pgNumType w:chapSep="colon"/>
          <w:cols w:space="720"/>
        </w:sectPr>
      </w:pPr>
      <w:r w:rsidRPr="00942C19">
        <w:rPr>
          <w:bCs w:val="0"/>
        </w:rPr>
        <w:t xml:space="preserve">The same are allocated across the individual elements of the O&amp;M </w:t>
      </w:r>
      <w:r w:rsidRPr="00942C19">
        <w:rPr>
          <w:rFonts w:cs="Calibri"/>
          <w:bCs w:val="0"/>
        </w:rPr>
        <w:t>expenses</w:t>
      </w:r>
      <w:r w:rsidRPr="00942C19">
        <w:rPr>
          <w:bCs w:val="0"/>
        </w:rPr>
        <w:t xml:space="preserve"> on the basis of the contribution of each element in the gross O&amp;M expenses</w:t>
      </w:r>
      <w:r w:rsidR="000B0B13" w:rsidRPr="00942C19">
        <w:rPr>
          <w:bCs w:val="0"/>
        </w:rPr>
        <w:t>.</w:t>
      </w:r>
    </w:p>
    <w:p w:rsidR="00222C32" w:rsidRPr="00942C19" w:rsidRDefault="00222C32" w:rsidP="00222C32">
      <w:pPr>
        <w:pStyle w:val="Heading3"/>
        <w:numPr>
          <w:ilvl w:val="0"/>
          <w:numId w:val="0"/>
        </w:numPr>
        <w:rPr>
          <w:rFonts w:cs="Calibri"/>
          <w:bCs w:val="0"/>
        </w:rPr>
      </w:pPr>
      <w:r w:rsidRPr="00942C19">
        <w:rPr>
          <w:rFonts w:cs="Calibri"/>
          <w:bCs w:val="0"/>
        </w:rPr>
        <w:t>Thus the O&amp;M expenses approved for FY 2013-14 are depicted in the table below:</w:t>
      </w:r>
    </w:p>
    <w:p w:rsidR="00222C32" w:rsidRPr="00942C19" w:rsidRDefault="00785E17" w:rsidP="00A926B1">
      <w:pPr>
        <w:pStyle w:val="Heading3"/>
        <w:numPr>
          <w:ilvl w:val="0"/>
          <w:numId w:val="0"/>
        </w:numPr>
        <w:spacing w:before="0" w:line="240" w:lineRule="auto"/>
        <w:jc w:val="center"/>
        <w:rPr>
          <w:b/>
        </w:rPr>
      </w:pPr>
      <w:bookmarkStart w:id="688" w:name="_Toc357719736"/>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42</w:t>
      </w:r>
      <w:r w:rsidR="000C642E" w:rsidRPr="00942C19">
        <w:rPr>
          <w:b/>
        </w:rPr>
        <w:fldChar w:fldCharType="end"/>
      </w:r>
      <w:r w:rsidRPr="00942C19">
        <w:rPr>
          <w:b/>
        </w:rPr>
        <w:t>: O&amp;M EXPENSES UP</w:t>
      </w:r>
      <w:r w:rsidR="00CA4184" w:rsidRPr="00942C19">
        <w:rPr>
          <w:b/>
        </w:rPr>
        <w:t xml:space="preserve"> </w:t>
      </w:r>
      <w:r w:rsidRPr="00942C19">
        <w:rPr>
          <w:b/>
        </w:rPr>
        <w:t>TO FY 2013-14 (Rs. Crore</w:t>
      </w:r>
      <w:r w:rsidR="008727B1" w:rsidRPr="00942C19">
        <w:rPr>
          <w:b/>
        </w:rPr>
        <w:t>s</w:t>
      </w:r>
      <w:r w:rsidRPr="00942C19">
        <w:rPr>
          <w:b/>
        </w:rPr>
        <w:t>)</w:t>
      </w:r>
      <w:bookmarkEnd w:id="688"/>
    </w:p>
    <w:tbl>
      <w:tblPr>
        <w:tblW w:w="50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222"/>
        <w:gridCol w:w="1218"/>
        <w:gridCol w:w="1498"/>
        <w:gridCol w:w="1498"/>
        <w:gridCol w:w="1498"/>
        <w:gridCol w:w="1498"/>
        <w:gridCol w:w="1498"/>
        <w:gridCol w:w="1498"/>
      </w:tblGrid>
      <w:tr w:rsidR="007E2592" w:rsidRPr="00942C19" w:rsidTr="009E7A0C">
        <w:trPr>
          <w:trHeight w:val="184"/>
        </w:trPr>
        <w:tc>
          <w:tcPr>
            <w:tcW w:w="1462" w:type="pct"/>
            <w:shd w:val="clear" w:color="000000" w:fill="DBE5F1"/>
            <w:noWrap/>
            <w:vAlign w:val="center"/>
            <w:hideMark/>
          </w:tcPr>
          <w:p w:rsidR="007E2592" w:rsidRPr="00942C19" w:rsidRDefault="007E259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422" w:type="pct"/>
            <w:shd w:val="clear" w:color="000000" w:fill="DBE5F1"/>
            <w:vAlign w:val="center"/>
            <w:hideMark/>
          </w:tcPr>
          <w:p w:rsidR="007E2592" w:rsidRPr="00942C19" w:rsidRDefault="007E2592" w:rsidP="007E2592">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2007-08</w:t>
            </w:r>
          </w:p>
        </w:tc>
        <w:tc>
          <w:tcPr>
            <w:tcW w:w="519"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2008-09</w:t>
            </w:r>
          </w:p>
        </w:tc>
        <w:tc>
          <w:tcPr>
            <w:tcW w:w="519"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2009-10</w:t>
            </w:r>
          </w:p>
        </w:tc>
        <w:tc>
          <w:tcPr>
            <w:tcW w:w="519"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2010-11</w:t>
            </w:r>
          </w:p>
        </w:tc>
        <w:tc>
          <w:tcPr>
            <w:tcW w:w="519"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2011-12</w:t>
            </w:r>
          </w:p>
        </w:tc>
        <w:tc>
          <w:tcPr>
            <w:tcW w:w="519"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2012-13</w:t>
            </w:r>
          </w:p>
        </w:tc>
        <w:tc>
          <w:tcPr>
            <w:tcW w:w="519" w:type="pct"/>
            <w:shd w:val="clear" w:color="000000" w:fill="DBE5F1"/>
            <w:vAlign w:val="center"/>
            <w:hideMark/>
          </w:tcPr>
          <w:p w:rsidR="007E2592" w:rsidRPr="00942C19" w:rsidRDefault="007E2592" w:rsidP="007E2592">
            <w:pPr>
              <w:spacing w:before="0" w:line="240" w:lineRule="auto"/>
              <w:jc w:val="right"/>
              <w:rPr>
                <w:rFonts w:cs="Calibri"/>
                <w:b/>
                <w:bCs/>
                <w:sz w:val="22"/>
                <w:szCs w:val="22"/>
                <w:lang w:val="en-IN" w:eastAsia="en-IN"/>
              </w:rPr>
            </w:pPr>
            <w:r w:rsidRPr="00942C19">
              <w:rPr>
                <w:rFonts w:cs="Calibri"/>
                <w:b/>
                <w:bCs/>
                <w:sz w:val="22"/>
                <w:szCs w:val="22"/>
                <w:lang w:val="en-IN" w:eastAsia="en-IN"/>
              </w:rPr>
              <w:t>2013-14</w:t>
            </w:r>
          </w:p>
        </w:tc>
      </w:tr>
      <w:tr w:rsidR="007E2592" w:rsidRPr="00942C19" w:rsidTr="009E7A0C">
        <w:trPr>
          <w:trHeight w:val="201"/>
        </w:trPr>
        <w:tc>
          <w:tcPr>
            <w:tcW w:w="1462" w:type="pct"/>
            <w:shd w:val="clear" w:color="auto" w:fill="auto"/>
            <w:vAlign w:val="center"/>
            <w:hideMark/>
          </w:tcPr>
          <w:p w:rsidR="007E2592" w:rsidRPr="00942C19" w:rsidRDefault="007E259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Employee Expenses</w:t>
            </w:r>
          </w:p>
        </w:tc>
        <w:tc>
          <w:tcPr>
            <w:tcW w:w="422" w:type="pct"/>
            <w:shd w:val="clear" w:color="auto" w:fill="auto"/>
            <w:noWrap/>
            <w:vAlign w:val="center"/>
            <w:hideMark/>
          </w:tcPr>
          <w:p w:rsidR="007E2592" w:rsidRPr="00942C19" w:rsidRDefault="007E2592" w:rsidP="007E2592">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7E2592" w:rsidRPr="00942C19" w:rsidRDefault="007E2592" w:rsidP="007E2592">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7E2592" w:rsidRPr="00942C19" w:rsidRDefault="007E2592" w:rsidP="007E2592">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7E2592" w:rsidRPr="00942C19" w:rsidRDefault="007E2592" w:rsidP="007E2592">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7E2592" w:rsidRPr="00942C19" w:rsidRDefault="007E2592" w:rsidP="007E2592">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7E2592" w:rsidRPr="00942C19" w:rsidRDefault="007E2592" w:rsidP="007E2592">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7E2592" w:rsidRPr="00942C19" w:rsidRDefault="007E2592" w:rsidP="007E2592">
            <w:pPr>
              <w:spacing w:before="0" w:line="240" w:lineRule="auto"/>
              <w:jc w:val="right"/>
              <w:rPr>
                <w:rFonts w:cs="Calibri"/>
                <w:color w:val="000000"/>
                <w:sz w:val="22"/>
                <w:szCs w:val="22"/>
                <w:lang w:val="en-IN" w:eastAsia="en-IN"/>
              </w:rPr>
            </w:pP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 xml:space="preserve">Employee Cost and Provisions </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222.77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234.72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307.24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330.36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363.27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394.83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429.37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Incremental Employee Expenses @ 2.5%</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3.54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5.80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11.80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18.77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23.36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40.18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Gross Employee Expenses</w:t>
            </w:r>
          </w:p>
        </w:tc>
        <w:tc>
          <w:tcPr>
            <w:tcW w:w="422"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222.77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238.26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313.04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342.15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382.03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418.19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469.55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 xml:space="preserve">Employee expenses capitalized </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45.05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35.01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67.60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71.14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4.66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62.73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70.43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Net Employee Expenses</w:t>
            </w:r>
          </w:p>
        </w:tc>
        <w:tc>
          <w:tcPr>
            <w:tcW w:w="422"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177.73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203.24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245.44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271.01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377.37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355.46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399.12 </w:t>
            </w:r>
          </w:p>
        </w:tc>
      </w:tr>
      <w:tr w:rsidR="007B4E42" w:rsidRPr="00942C19" w:rsidTr="009E7A0C">
        <w:trPr>
          <w:trHeight w:val="196"/>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 </w:t>
            </w:r>
          </w:p>
        </w:tc>
        <w:tc>
          <w:tcPr>
            <w:tcW w:w="422"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A&amp;G Expenses</w:t>
            </w:r>
          </w:p>
        </w:tc>
        <w:tc>
          <w:tcPr>
            <w:tcW w:w="422"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 xml:space="preserve">Admin &amp; Gen Expenses </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50.05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52.74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57.23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61.53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67.66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73.54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79.97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Incremental Admin &amp; Gen Expenses @ 2.5%</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0.68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1.14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2.25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3.55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4.41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7.55 </w:t>
            </w:r>
          </w:p>
        </w:tc>
      </w:tr>
      <w:tr w:rsidR="007B4E42" w:rsidRPr="00942C19" w:rsidTr="009E7A0C">
        <w:trPr>
          <w:trHeight w:val="85"/>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Gross Admin &amp; Gen Expenses</w:t>
            </w:r>
          </w:p>
        </w:tc>
        <w:tc>
          <w:tcPr>
            <w:tcW w:w="422"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50.05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53.42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58.36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63.78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71.21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77.95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87.52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 xml:space="preserve">Admin &amp; Gen expenses capitalized </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6.32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5.87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8.56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13.55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1.31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11.69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13.13 </w:t>
            </w:r>
          </w:p>
        </w:tc>
      </w:tr>
      <w:tr w:rsidR="007B4E42" w:rsidRPr="00942C19" w:rsidTr="009E7A0C">
        <w:trPr>
          <w:trHeight w:val="300"/>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Net Admin &amp; Gen Expenses</w:t>
            </w:r>
          </w:p>
        </w:tc>
        <w:tc>
          <w:tcPr>
            <w:tcW w:w="422"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43.74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47.55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49.80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50.23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69.90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66.26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74.39 </w:t>
            </w:r>
          </w:p>
        </w:tc>
      </w:tr>
      <w:tr w:rsidR="007B4E42" w:rsidRPr="00942C19" w:rsidTr="009E7A0C">
        <w:trPr>
          <w:trHeight w:val="200"/>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 </w:t>
            </w:r>
          </w:p>
        </w:tc>
        <w:tc>
          <w:tcPr>
            <w:tcW w:w="422"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r>
      <w:tr w:rsidR="007B4E42" w:rsidRPr="00942C19" w:rsidTr="009E7A0C">
        <w:trPr>
          <w:trHeight w:val="8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R&amp;M Expenses</w:t>
            </w:r>
          </w:p>
        </w:tc>
        <w:tc>
          <w:tcPr>
            <w:tcW w:w="422"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r>
      <w:tr w:rsidR="007B4E42" w:rsidRPr="00942C19" w:rsidTr="009E7A0C">
        <w:trPr>
          <w:trHeight w:val="81"/>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Repair &amp; Maintenance Expenditure</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86.26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90.89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98.62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106.03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116.60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126.73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137.82 </w:t>
            </w:r>
          </w:p>
        </w:tc>
      </w:tr>
      <w:tr w:rsidR="007B4E42" w:rsidRPr="00942C19" w:rsidTr="009E7A0C">
        <w:trPr>
          <w:trHeight w:val="300"/>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Incremental R&amp;M Expenses @ 2.5%</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1.32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2.24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4.68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7.04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8.78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15.22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Gross Repair &amp; Maintenance Expenses</w:t>
            </w:r>
          </w:p>
        </w:tc>
        <w:tc>
          <w:tcPr>
            <w:tcW w:w="422"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86.26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92.20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100.85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110.71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123.64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135.51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153.03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 </w:t>
            </w:r>
          </w:p>
        </w:tc>
        <w:tc>
          <w:tcPr>
            <w:tcW w:w="422"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Total Normal O&amp;M Expenses</w:t>
            </w:r>
          </w:p>
        </w:tc>
        <w:tc>
          <w:tcPr>
            <w:tcW w:w="422"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307.72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343.00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396.09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431.96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570.91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557.22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626.55 </w:t>
            </w: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Pay Revision Impact</w:t>
            </w:r>
          </w:p>
        </w:tc>
        <w:tc>
          <w:tcPr>
            <w:tcW w:w="422"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c>
          <w:tcPr>
            <w:tcW w:w="519"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44.13 </w:t>
            </w: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c>
          <w:tcPr>
            <w:tcW w:w="519" w:type="pct"/>
            <w:shd w:val="clear" w:color="auto" w:fill="auto"/>
            <w:noWrap/>
            <w:vAlign w:val="center"/>
            <w:hideMark/>
          </w:tcPr>
          <w:p w:rsidR="0084795B" w:rsidRPr="00942C19" w:rsidRDefault="0084795B">
            <w:pPr>
              <w:spacing w:before="0" w:line="240" w:lineRule="auto"/>
              <w:jc w:val="right"/>
              <w:rPr>
                <w:rFonts w:cs="Calibri"/>
                <w:b/>
                <w:bCs/>
                <w:color w:val="000000"/>
                <w:sz w:val="22"/>
                <w:szCs w:val="22"/>
                <w:lang w:val="en-IN" w:eastAsia="en-IN"/>
              </w:rPr>
            </w:pPr>
          </w:p>
        </w:tc>
      </w:tr>
      <w:tr w:rsidR="007B4E42" w:rsidRPr="00942C19" w:rsidTr="009E7A0C">
        <w:trPr>
          <w:trHeight w:val="77"/>
        </w:trPr>
        <w:tc>
          <w:tcPr>
            <w:tcW w:w="1462"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Total O&amp;M Expenses</w:t>
            </w:r>
          </w:p>
        </w:tc>
        <w:tc>
          <w:tcPr>
            <w:tcW w:w="422"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307.72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387.13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396.09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431.96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570.91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557.22 </w:t>
            </w:r>
          </w:p>
        </w:tc>
        <w:tc>
          <w:tcPr>
            <w:tcW w:w="519"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626.55 </w:t>
            </w:r>
          </w:p>
        </w:tc>
      </w:tr>
    </w:tbl>
    <w:p w:rsidR="00222C32" w:rsidRPr="00942C19" w:rsidRDefault="00222C32" w:rsidP="007E2592">
      <w:pPr>
        <w:pStyle w:val="Heading3"/>
        <w:numPr>
          <w:ilvl w:val="0"/>
          <w:numId w:val="0"/>
        </w:numPr>
        <w:spacing w:line="240" w:lineRule="auto"/>
        <w:ind w:left="720" w:hanging="720"/>
        <w:rPr>
          <w:rFonts w:cs="Calibri"/>
          <w:bCs w:val="0"/>
        </w:rPr>
      </w:pPr>
      <w:r w:rsidRPr="00942C19">
        <w:rPr>
          <w:rFonts w:cs="Calibri"/>
          <w:bCs w:val="0"/>
        </w:rPr>
        <w:t>The O&amp;M expenses would be subject to truing up upon finalisation of audited accounts.</w:t>
      </w:r>
    </w:p>
    <w:p w:rsidR="00222C32" w:rsidRPr="00942C19" w:rsidRDefault="00222C32" w:rsidP="00222C32">
      <w:pPr>
        <w:spacing w:line="240" w:lineRule="auto"/>
        <w:jc w:val="left"/>
        <w:rPr>
          <w:rFonts w:cs="Arial"/>
          <w:bCs/>
          <w:sz w:val="23"/>
          <w:szCs w:val="23"/>
        </w:rPr>
        <w:sectPr w:rsidR="00222C32" w:rsidRPr="00942C19" w:rsidSect="003F5C37">
          <w:headerReference w:type="default" r:id="rId23"/>
          <w:footerReference w:type="default" r:id="rId24"/>
          <w:pgSz w:w="16834" w:h="11909" w:orient="landscape"/>
          <w:pgMar w:top="1800" w:right="1440" w:bottom="1440" w:left="1440" w:header="720" w:footer="720" w:gutter="0"/>
          <w:pgNumType w:chapSep="colon"/>
          <w:cols w:space="720"/>
        </w:sectPr>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689" w:name="_Toc356322604"/>
      <w:bookmarkStart w:id="690" w:name="_Toc357714405"/>
      <w:r w:rsidRPr="00942C19">
        <w:t>GFA BALANCES AND CAPITAL FORMATION ASSUMPTIONS</w:t>
      </w:r>
      <w:bookmarkEnd w:id="689"/>
      <w:bookmarkEnd w:id="690"/>
    </w:p>
    <w:p w:rsidR="00222C32" w:rsidRPr="00942C19" w:rsidRDefault="00222C32" w:rsidP="00222C32">
      <w:pPr>
        <w:pStyle w:val="Heading3"/>
        <w:numPr>
          <w:ilvl w:val="0"/>
          <w:numId w:val="0"/>
        </w:numPr>
        <w:tabs>
          <w:tab w:val="left" w:pos="0"/>
        </w:tabs>
      </w:pPr>
    </w:p>
    <w:p w:rsidR="00582217" w:rsidRPr="00942C19" w:rsidRDefault="000B0B13" w:rsidP="00654B9C">
      <w:pPr>
        <w:pStyle w:val="Heading4"/>
        <w:numPr>
          <w:ilvl w:val="2"/>
          <w:numId w:val="1"/>
        </w:numPr>
        <w:spacing w:before="0"/>
      </w:pPr>
      <w:r w:rsidRPr="00942C19">
        <w:rPr>
          <w:bCs w:val="0"/>
        </w:rPr>
        <w:t xml:space="preserve">The final truing-up up to FY 2007-08 has been approved by the Commission vide its Order on </w:t>
      </w:r>
      <w:r w:rsidR="00785E17" w:rsidRPr="00942C19">
        <w:rPr>
          <w:bCs w:val="0"/>
        </w:rPr>
        <w:t>Petition No. 809/2012</w:t>
      </w:r>
      <w:r w:rsidRPr="00942C19">
        <w:rPr>
          <w:bCs w:val="0"/>
        </w:rPr>
        <w:t xml:space="preserve"> dated 21</w:t>
      </w:r>
      <w:r w:rsidR="00785E17" w:rsidRPr="00942C19">
        <w:rPr>
          <w:bCs w:val="0"/>
          <w:vertAlign w:val="superscript"/>
        </w:rPr>
        <w:t>st</w:t>
      </w:r>
      <w:r w:rsidRPr="00942C19">
        <w:rPr>
          <w:bCs w:val="0"/>
        </w:rPr>
        <w:t xml:space="preserve"> May, 2013. Further, the statutory audited accounts </w:t>
      </w:r>
      <w:r w:rsidR="00785E17" w:rsidRPr="00942C19">
        <w:rPr>
          <w:bCs w:val="0"/>
        </w:rPr>
        <w:t>up to FY 2010-11</w:t>
      </w:r>
      <w:r w:rsidRPr="00942C19">
        <w:rPr>
          <w:bCs w:val="0"/>
        </w:rPr>
        <w:t xml:space="preserve"> have been submitted by the Licensee.</w:t>
      </w:r>
      <w:r w:rsidR="00582217" w:rsidRPr="00942C19">
        <w:rPr>
          <w:bCs w:val="0"/>
        </w:rPr>
        <w:t xml:space="preserve"> With a view to approve realistic levels of gross fixed asset balance, and </w:t>
      </w:r>
      <w:r w:rsidR="00582217" w:rsidRPr="00942C19">
        <w:t xml:space="preserve">consequent tariff components such as depreciation, interest on loan and return on equity, the Commission has referred to the gross fixed asset balances, </w:t>
      </w:r>
      <w:r w:rsidR="00582217" w:rsidRPr="00942C19">
        <w:rPr>
          <w:bCs w:val="0"/>
        </w:rPr>
        <w:t>capital additions, capital deletions</w:t>
      </w:r>
      <w:r w:rsidR="00582217" w:rsidRPr="00942C19">
        <w:t xml:space="preserve">, capital work in progress balances, etc from the audited accounts </w:t>
      </w:r>
      <w:r w:rsidR="00785E17" w:rsidRPr="00942C19">
        <w:t>up to FY 2010-11</w:t>
      </w:r>
      <w:r w:rsidR="00582217" w:rsidRPr="00942C19">
        <w:t>.</w:t>
      </w:r>
    </w:p>
    <w:p w:rsidR="00A44CA7" w:rsidRPr="00942C19" w:rsidRDefault="00A44CA7">
      <w:pPr>
        <w:pStyle w:val="Heading4"/>
        <w:numPr>
          <w:ilvl w:val="0"/>
          <w:numId w:val="0"/>
        </w:numPr>
        <w:spacing w:before="0"/>
        <w:ind w:left="720"/>
      </w:pPr>
    </w:p>
    <w:p w:rsidR="00582217" w:rsidRPr="00942C19" w:rsidRDefault="00582217" w:rsidP="00654B9C">
      <w:pPr>
        <w:pStyle w:val="Heading4"/>
        <w:numPr>
          <w:ilvl w:val="2"/>
          <w:numId w:val="1"/>
        </w:numPr>
        <w:spacing w:before="0"/>
      </w:pPr>
      <w:r w:rsidRPr="00942C19">
        <w:rPr>
          <w:bCs w:val="0"/>
        </w:rPr>
        <w:t xml:space="preserve">The Commission has considered the capital additions, capital deletions, capital work in progress balances, etc from the provisional accounts for FY 2011-12 submitted by the Licensee along with the ARR / Tariff Petition </w:t>
      </w:r>
      <w:r w:rsidR="004D2506" w:rsidRPr="00942C19">
        <w:rPr>
          <w:bCs w:val="0"/>
        </w:rPr>
        <w:t xml:space="preserve">for FY 2013-14 </w:t>
      </w:r>
      <w:r w:rsidRPr="00942C19">
        <w:rPr>
          <w:bCs w:val="0"/>
        </w:rPr>
        <w:t>filed on 7</w:t>
      </w:r>
      <w:r w:rsidRPr="00942C19">
        <w:rPr>
          <w:bCs w:val="0"/>
          <w:vertAlign w:val="superscript"/>
        </w:rPr>
        <w:t>th</w:t>
      </w:r>
      <w:r w:rsidRPr="00942C19">
        <w:rPr>
          <w:bCs w:val="0"/>
        </w:rPr>
        <w:t xml:space="preserve"> December, 2012.</w:t>
      </w:r>
    </w:p>
    <w:p w:rsidR="00A44CA7" w:rsidRPr="00942C19" w:rsidRDefault="00A44CA7">
      <w:pPr>
        <w:pStyle w:val="Heading4"/>
        <w:numPr>
          <w:ilvl w:val="0"/>
          <w:numId w:val="0"/>
        </w:numPr>
        <w:spacing w:before="0"/>
        <w:ind w:left="720"/>
        <w:rPr>
          <w:bCs w:val="0"/>
        </w:rPr>
      </w:pPr>
    </w:p>
    <w:p w:rsidR="00222C32" w:rsidRPr="00942C19" w:rsidRDefault="00222C32" w:rsidP="00654B9C">
      <w:pPr>
        <w:pStyle w:val="Heading4"/>
        <w:numPr>
          <w:ilvl w:val="2"/>
          <w:numId w:val="1"/>
        </w:numPr>
        <w:spacing w:before="0"/>
        <w:rPr>
          <w:bCs w:val="0"/>
        </w:rPr>
      </w:pPr>
      <w:r w:rsidRPr="00942C19">
        <w:rPr>
          <w:bCs w:val="0"/>
        </w:rPr>
        <w:t>In the case of FY 2012-13, the Commission has considered the capital investments</w:t>
      </w:r>
      <w:r w:rsidR="000D3A3C" w:rsidRPr="00942C19">
        <w:rPr>
          <w:bCs w:val="0"/>
        </w:rPr>
        <w:t xml:space="preserve"> and</w:t>
      </w:r>
      <w:r w:rsidRPr="00942C19">
        <w:rPr>
          <w:bCs w:val="0"/>
        </w:rPr>
        <w:t xml:space="preserve"> capital additions philosophy, etc. </w:t>
      </w:r>
      <w:r w:rsidR="00582217" w:rsidRPr="00942C19">
        <w:rPr>
          <w:bCs w:val="0"/>
        </w:rPr>
        <w:t xml:space="preserve">approved in the </w:t>
      </w:r>
      <w:r w:rsidRPr="00942C19">
        <w:rPr>
          <w:bCs w:val="0"/>
        </w:rPr>
        <w:t>Tariff Order dated 19</w:t>
      </w:r>
      <w:r w:rsidRPr="00942C19">
        <w:rPr>
          <w:bCs w:val="0"/>
          <w:vertAlign w:val="superscript"/>
        </w:rPr>
        <w:t>th</w:t>
      </w:r>
      <w:r w:rsidRPr="00942C19">
        <w:rPr>
          <w:bCs w:val="0"/>
        </w:rPr>
        <w:t xml:space="preserve"> October, 2012</w:t>
      </w:r>
      <w:r w:rsidR="00582217" w:rsidRPr="00942C19">
        <w:rPr>
          <w:bCs w:val="0"/>
        </w:rPr>
        <w:t>.</w:t>
      </w:r>
    </w:p>
    <w:p w:rsidR="00222C32" w:rsidRPr="00942C19" w:rsidRDefault="00222C32" w:rsidP="00222C32">
      <w:pPr>
        <w:tabs>
          <w:tab w:val="left" w:pos="720"/>
        </w:tabs>
        <w:ind w:left="720"/>
        <w:outlineLvl w:val="2"/>
        <w:rPr>
          <w:rFonts w:cs="Arial"/>
          <w:bCs/>
          <w:szCs w:val="26"/>
        </w:rPr>
      </w:pPr>
    </w:p>
    <w:p w:rsidR="00222C32" w:rsidRPr="00942C19" w:rsidRDefault="00222C32" w:rsidP="00654B9C">
      <w:pPr>
        <w:pStyle w:val="Heading4"/>
        <w:numPr>
          <w:ilvl w:val="2"/>
          <w:numId w:val="1"/>
        </w:numPr>
        <w:spacing w:before="0"/>
        <w:rPr>
          <w:bCs w:val="0"/>
        </w:rPr>
      </w:pPr>
      <w:r w:rsidRPr="00942C19">
        <w:rPr>
          <w:bCs w:val="0"/>
        </w:rPr>
        <w:t xml:space="preserve">The </w:t>
      </w:r>
      <w:r w:rsidRPr="00942C19">
        <w:rPr>
          <w:rFonts w:cs="Calibri"/>
          <w:bCs w:val="0"/>
        </w:rPr>
        <w:t>Commission</w:t>
      </w:r>
      <w:r w:rsidRPr="00942C19">
        <w:rPr>
          <w:bCs w:val="0"/>
        </w:rPr>
        <w:t xml:space="preserve"> has observed that the capital investment claimed by the </w:t>
      </w:r>
      <w:r w:rsidR="009A3804" w:rsidRPr="00942C19">
        <w:rPr>
          <w:bCs w:val="0"/>
        </w:rPr>
        <w:t>Licensee</w:t>
      </w:r>
      <w:r w:rsidRPr="00942C19">
        <w:rPr>
          <w:bCs w:val="0"/>
        </w:rPr>
        <w:t xml:space="preserve"> is not in strict accordance with the Distribution Tariff Regulations. In order to reprimand the </w:t>
      </w:r>
      <w:r w:rsidR="009A3804" w:rsidRPr="00942C19">
        <w:rPr>
          <w:bCs w:val="0"/>
        </w:rPr>
        <w:t>Licensee</w:t>
      </w:r>
      <w:r w:rsidRPr="00942C19">
        <w:rPr>
          <w:bCs w:val="0"/>
        </w:rPr>
        <w:t xml:space="preserve">, the Commission disallows 30% of the capital investment claimed in the ARR / Tariff Petition and </w:t>
      </w:r>
      <w:r w:rsidR="00785E17" w:rsidRPr="00942C19">
        <w:rPr>
          <w:bCs w:val="0"/>
        </w:rPr>
        <w:t xml:space="preserve">allows only Rs. </w:t>
      </w:r>
      <w:r w:rsidR="0084795B" w:rsidRPr="00942C19">
        <w:rPr>
          <w:bCs w:val="0"/>
        </w:rPr>
        <w:t>396.01</w:t>
      </w:r>
      <w:r w:rsidR="00785E17" w:rsidRPr="00942C19">
        <w:rPr>
          <w:bCs w:val="0"/>
        </w:rPr>
        <w:t xml:space="preserve"> crores towards capital investment for FY 2013-14</w:t>
      </w:r>
      <w:r w:rsidRPr="00942C19">
        <w:rPr>
          <w:bCs w:val="0"/>
        </w:rPr>
        <w:t>.</w:t>
      </w:r>
    </w:p>
    <w:p w:rsidR="00222C32" w:rsidRPr="00942C19" w:rsidRDefault="00222C32" w:rsidP="00222C32">
      <w:pPr>
        <w:tabs>
          <w:tab w:val="left" w:pos="720"/>
        </w:tabs>
        <w:ind w:left="720"/>
        <w:outlineLvl w:val="2"/>
        <w:rPr>
          <w:rFonts w:cs="Arial"/>
          <w:bCs/>
          <w:szCs w:val="26"/>
        </w:rPr>
      </w:pPr>
    </w:p>
    <w:p w:rsidR="004839EC" w:rsidRPr="00942C19" w:rsidRDefault="00222C32" w:rsidP="004839EC">
      <w:pPr>
        <w:pStyle w:val="Heading4"/>
        <w:numPr>
          <w:ilvl w:val="2"/>
          <w:numId w:val="1"/>
        </w:numPr>
        <w:spacing w:before="0"/>
        <w:rPr>
          <w:bCs w:val="0"/>
        </w:rPr>
      </w:pPr>
      <w:r w:rsidRPr="00942C19">
        <w:rPr>
          <w:bCs w:val="0"/>
        </w:rPr>
        <w:t xml:space="preserve">The expenses capitalisation </w:t>
      </w:r>
      <w:r w:rsidR="00582217" w:rsidRPr="00942C19">
        <w:rPr>
          <w:bCs w:val="0"/>
        </w:rPr>
        <w:t xml:space="preserve">and interest capitalisation </w:t>
      </w:r>
      <w:r w:rsidRPr="00942C19">
        <w:rPr>
          <w:bCs w:val="0"/>
        </w:rPr>
        <w:t>ha</w:t>
      </w:r>
      <w:r w:rsidR="00582217" w:rsidRPr="00942C19">
        <w:rPr>
          <w:bCs w:val="0"/>
        </w:rPr>
        <w:t>ve</w:t>
      </w:r>
      <w:r w:rsidRPr="00942C19">
        <w:rPr>
          <w:bCs w:val="0"/>
        </w:rPr>
        <w:t xml:space="preserve"> been considered as approved in the section</w:t>
      </w:r>
      <w:r w:rsidR="00582217" w:rsidRPr="00942C19">
        <w:rPr>
          <w:bCs w:val="0"/>
        </w:rPr>
        <w:t>s dealing with O&amp;M expenses and Interest on long term loans respectively</w:t>
      </w:r>
      <w:r w:rsidRPr="00942C19">
        <w:rPr>
          <w:bCs w:val="0"/>
        </w:rPr>
        <w:t>.</w:t>
      </w:r>
    </w:p>
    <w:p w:rsidR="004839EC" w:rsidRPr="00942C19" w:rsidRDefault="004839EC" w:rsidP="004839EC">
      <w:pPr>
        <w:rPr>
          <w:bCs/>
        </w:rPr>
      </w:pPr>
    </w:p>
    <w:p w:rsidR="00222C32" w:rsidRPr="00942C19" w:rsidRDefault="00222C32" w:rsidP="00654B9C">
      <w:pPr>
        <w:pStyle w:val="Heading4"/>
        <w:numPr>
          <w:ilvl w:val="2"/>
          <w:numId w:val="1"/>
        </w:numPr>
        <w:spacing w:before="0"/>
        <w:rPr>
          <w:bCs w:val="0"/>
        </w:rPr>
      </w:pPr>
      <w:r w:rsidRPr="00942C19">
        <w:rPr>
          <w:bCs w:val="0"/>
        </w:rPr>
        <w:t xml:space="preserve">40% </w:t>
      </w:r>
      <w:r w:rsidRPr="00942C19">
        <w:t>of</w:t>
      </w:r>
      <w:r w:rsidRPr="00942C19">
        <w:rPr>
          <w:bCs w:val="0"/>
        </w:rPr>
        <w:t xml:space="preserve"> the </w:t>
      </w:r>
      <w:r w:rsidRPr="00942C19">
        <w:rPr>
          <w:rFonts w:cs="Calibri"/>
          <w:bCs w:val="0"/>
        </w:rPr>
        <w:t>total</w:t>
      </w:r>
      <w:r w:rsidRPr="00942C19">
        <w:rPr>
          <w:bCs w:val="0"/>
        </w:rPr>
        <w:t xml:space="preserve"> investments including opening capital work in progress balance, expenses &amp; interest capitalisation during the year have been projected to be capitalised in FY 2013-14.</w:t>
      </w:r>
    </w:p>
    <w:p w:rsidR="00222C32" w:rsidRPr="00942C19" w:rsidRDefault="00222C32" w:rsidP="004839EC">
      <w:pPr>
        <w:pStyle w:val="Heading4"/>
        <w:numPr>
          <w:ilvl w:val="0"/>
          <w:numId w:val="0"/>
        </w:numPr>
        <w:spacing w:before="0"/>
        <w:sectPr w:rsidR="00222C32" w:rsidRPr="00942C19" w:rsidSect="003F5C37">
          <w:headerReference w:type="default" r:id="rId25"/>
          <w:footerReference w:type="default" r:id="rId26"/>
          <w:pgSz w:w="11909" w:h="16834"/>
          <w:pgMar w:top="1440" w:right="1440" w:bottom="1440" w:left="1800" w:header="720" w:footer="720" w:gutter="0"/>
          <w:pgNumType w:chapSep="colon"/>
          <w:cols w:space="720"/>
        </w:sectPr>
      </w:pPr>
      <w:bookmarkStart w:id="691" w:name="_Toc338310710"/>
      <w:bookmarkStart w:id="692" w:name="_Toc338419540"/>
    </w:p>
    <w:p w:rsidR="004839EC" w:rsidRPr="00942C19" w:rsidRDefault="004839EC" w:rsidP="004839EC">
      <w:pPr>
        <w:pStyle w:val="Heading4"/>
        <w:numPr>
          <w:ilvl w:val="2"/>
          <w:numId w:val="1"/>
        </w:numPr>
        <w:spacing w:before="0"/>
      </w:pPr>
      <w:r w:rsidRPr="00942C19">
        <w:rPr>
          <w:bCs w:val="0"/>
        </w:rPr>
        <w:t>Accordingly</w:t>
      </w:r>
      <w:r w:rsidRPr="00942C19">
        <w:t>, the details of Capitalisation and Work-in-progress up to FY 2013-14 are provided in the table below:</w:t>
      </w:r>
    </w:p>
    <w:p w:rsidR="004839EC" w:rsidRPr="00942C19" w:rsidRDefault="004839EC" w:rsidP="00222C32">
      <w:pPr>
        <w:pStyle w:val="Caption"/>
        <w:keepNext/>
        <w:jc w:val="center"/>
      </w:pPr>
    </w:p>
    <w:p w:rsidR="00222C32" w:rsidRPr="00942C19" w:rsidRDefault="00785E17" w:rsidP="00222C32">
      <w:pPr>
        <w:pStyle w:val="Caption"/>
        <w:keepNext/>
        <w:jc w:val="center"/>
      </w:pPr>
      <w:bookmarkStart w:id="693" w:name="_Toc357719737"/>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43</w:t>
      </w:r>
      <w:r w:rsidR="000C642E" w:rsidRPr="00942C19">
        <w:fldChar w:fldCharType="end"/>
      </w:r>
      <w:r w:rsidRPr="00942C19">
        <w:t>: CAPITALISATION &amp; WIP UP</w:t>
      </w:r>
      <w:r w:rsidR="00CA4184" w:rsidRPr="00942C19">
        <w:t xml:space="preserve"> </w:t>
      </w:r>
      <w:r w:rsidRPr="00942C19">
        <w:t>TO FY 2013-14 (Rs. Crore</w:t>
      </w:r>
      <w:r w:rsidR="008727B1" w:rsidRPr="00942C19">
        <w:t>s</w:t>
      </w:r>
      <w:r w:rsidRPr="00942C19">
        <w:t>)</w:t>
      </w:r>
      <w:bookmarkEnd w:id="691"/>
      <w:bookmarkEnd w:id="692"/>
      <w:bookmarkEnd w:id="693"/>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37"/>
        <w:gridCol w:w="1700"/>
        <w:gridCol w:w="1219"/>
        <w:gridCol w:w="1219"/>
        <w:gridCol w:w="1219"/>
        <w:gridCol w:w="1219"/>
        <w:gridCol w:w="1219"/>
        <w:gridCol w:w="1219"/>
        <w:gridCol w:w="1219"/>
      </w:tblGrid>
      <w:tr w:rsidR="00CA4184" w:rsidRPr="00942C19" w:rsidTr="00CA4184">
        <w:trPr>
          <w:trHeight w:val="300"/>
        </w:trPr>
        <w:tc>
          <w:tcPr>
            <w:tcW w:w="1389" w:type="pct"/>
            <w:shd w:val="clear" w:color="000000" w:fill="DBE5F1"/>
            <w:vAlign w:val="center"/>
            <w:hideMark/>
          </w:tcPr>
          <w:p w:rsidR="007E2592" w:rsidRPr="00942C19" w:rsidRDefault="007E259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600" w:type="pct"/>
            <w:shd w:val="clear" w:color="000000" w:fill="DBE5F1"/>
            <w:vAlign w:val="center"/>
            <w:hideMark/>
          </w:tcPr>
          <w:p w:rsidR="007E2592" w:rsidRPr="00942C19" w:rsidRDefault="007E259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430" w:type="pct"/>
            <w:shd w:val="clear" w:color="000000" w:fill="DBE5F1"/>
            <w:vAlign w:val="center"/>
            <w:hideMark/>
          </w:tcPr>
          <w:p w:rsidR="00A44CA7" w:rsidRPr="00942C19" w:rsidRDefault="007E2592">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2007-08</w:t>
            </w:r>
          </w:p>
        </w:tc>
        <w:tc>
          <w:tcPr>
            <w:tcW w:w="430" w:type="pct"/>
            <w:shd w:val="clear" w:color="000000" w:fill="DBE5F1"/>
            <w:vAlign w:val="center"/>
            <w:hideMark/>
          </w:tcPr>
          <w:p w:rsidR="00A44CA7" w:rsidRPr="00942C19" w:rsidRDefault="007E2592">
            <w:pPr>
              <w:spacing w:before="0" w:line="240" w:lineRule="auto"/>
              <w:jc w:val="right"/>
              <w:rPr>
                <w:rFonts w:cs="Calibri"/>
                <w:b/>
                <w:bCs/>
                <w:color w:val="333399"/>
                <w:kern w:val="32"/>
                <w:sz w:val="22"/>
                <w:szCs w:val="22"/>
                <w:lang w:val="en-IN" w:eastAsia="en-IN"/>
              </w:rPr>
            </w:pPr>
            <w:r w:rsidRPr="00942C19">
              <w:rPr>
                <w:rFonts w:cs="Calibri"/>
                <w:b/>
                <w:bCs/>
                <w:sz w:val="22"/>
                <w:szCs w:val="22"/>
                <w:lang w:val="en-IN" w:eastAsia="en-IN"/>
              </w:rPr>
              <w:t>2008-09</w:t>
            </w:r>
          </w:p>
        </w:tc>
        <w:tc>
          <w:tcPr>
            <w:tcW w:w="430" w:type="pct"/>
            <w:shd w:val="clear" w:color="000000" w:fill="DBE5F1"/>
            <w:vAlign w:val="center"/>
            <w:hideMark/>
          </w:tcPr>
          <w:p w:rsidR="00A44CA7" w:rsidRPr="00942C19" w:rsidRDefault="007E2592">
            <w:pPr>
              <w:spacing w:before="0" w:line="240" w:lineRule="auto"/>
              <w:jc w:val="right"/>
              <w:rPr>
                <w:rFonts w:cs="Calibri"/>
                <w:b/>
                <w:bCs/>
                <w:color w:val="333399"/>
                <w:kern w:val="32"/>
                <w:sz w:val="22"/>
                <w:szCs w:val="22"/>
                <w:lang w:val="en-IN" w:eastAsia="en-IN"/>
              </w:rPr>
            </w:pPr>
            <w:r w:rsidRPr="00942C19">
              <w:rPr>
                <w:rFonts w:cs="Calibri"/>
                <w:b/>
                <w:bCs/>
                <w:sz w:val="22"/>
                <w:szCs w:val="22"/>
                <w:lang w:val="en-IN" w:eastAsia="en-IN"/>
              </w:rPr>
              <w:t>2009-10</w:t>
            </w:r>
          </w:p>
        </w:tc>
        <w:tc>
          <w:tcPr>
            <w:tcW w:w="430" w:type="pct"/>
            <w:shd w:val="clear" w:color="000000" w:fill="DBE5F1"/>
            <w:vAlign w:val="center"/>
            <w:hideMark/>
          </w:tcPr>
          <w:p w:rsidR="00A44CA7" w:rsidRPr="00942C19" w:rsidRDefault="007E2592">
            <w:pPr>
              <w:spacing w:before="0" w:line="240" w:lineRule="auto"/>
              <w:jc w:val="right"/>
              <w:rPr>
                <w:rFonts w:cs="Calibri"/>
                <w:b/>
                <w:bCs/>
                <w:color w:val="333399"/>
                <w:kern w:val="32"/>
                <w:sz w:val="22"/>
                <w:szCs w:val="22"/>
                <w:lang w:val="en-IN" w:eastAsia="en-IN"/>
              </w:rPr>
            </w:pPr>
            <w:r w:rsidRPr="00942C19">
              <w:rPr>
                <w:rFonts w:cs="Calibri"/>
                <w:b/>
                <w:bCs/>
                <w:sz w:val="22"/>
                <w:szCs w:val="22"/>
                <w:lang w:val="en-IN" w:eastAsia="en-IN"/>
              </w:rPr>
              <w:t>2010-11</w:t>
            </w:r>
          </w:p>
        </w:tc>
        <w:tc>
          <w:tcPr>
            <w:tcW w:w="430" w:type="pct"/>
            <w:shd w:val="clear" w:color="000000" w:fill="DBE5F1"/>
            <w:vAlign w:val="center"/>
            <w:hideMark/>
          </w:tcPr>
          <w:p w:rsidR="00A44CA7" w:rsidRPr="00942C19" w:rsidRDefault="007E2592">
            <w:pPr>
              <w:spacing w:before="0" w:line="240" w:lineRule="auto"/>
              <w:jc w:val="right"/>
              <w:rPr>
                <w:rFonts w:cs="Calibri"/>
                <w:b/>
                <w:bCs/>
                <w:color w:val="333399"/>
                <w:kern w:val="32"/>
                <w:sz w:val="22"/>
                <w:szCs w:val="22"/>
                <w:lang w:val="en-IN" w:eastAsia="en-IN"/>
              </w:rPr>
            </w:pPr>
            <w:r w:rsidRPr="00942C19">
              <w:rPr>
                <w:rFonts w:cs="Calibri"/>
                <w:b/>
                <w:bCs/>
                <w:sz w:val="22"/>
                <w:szCs w:val="22"/>
                <w:lang w:val="en-IN" w:eastAsia="en-IN"/>
              </w:rPr>
              <w:t>2011-12</w:t>
            </w:r>
          </w:p>
        </w:tc>
        <w:tc>
          <w:tcPr>
            <w:tcW w:w="430" w:type="pct"/>
            <w:shd w:val="clear" w:color="000000" w:fill="DBE5F1"/>
            <w:vAlign w:val="center"/>
            <w:hideMark/>
          </w:tcPr>
          <w:p w:rsidR="00A44CA7" w:rsidRPr="00942C19" w:rsidRDefault="007E2592">
            <w:pPr>
              <w:spacing w:before="0" w:line="240" w:lineRule="auto"/>
              <w:jc w:val="right"/>
              <w:rPr>
                <w:rFonts w:cs="Calibri"/>
                <w:b/>
                <w:bCs/>
                <w:color w:val="333399"/>
                <w:kern w:val="32"/>
                <w:sz w:val="22"/>
                <w:szCs w:val="22"/>
                <w:lang w:val="en-IN" w:eastAsia="en-IN"/>
              </w:rPr>
            </w:pPr>
            <w:r w:rsidRPr="00942C19">
              <w:rPr>
                <w:rFonts w:cs="Calibri"/>
                <w:b/>
                <w:bCs/>
                <w:sz w:val="22"/>
                <w:szCs w:val="22"/>
                <w:lang w:val="en-IN" w:eastAsia="en-IN"/>
              </w:rPr>
              <w:t>2012-13</w:t>
            </w:r>
          </w:p>
        </w:tc>
        <w:tc>
          <w:tcPr>
            <w:tcW w:w="430" w:type="pct"/>
            <w:shd w:val="clear" w:color="000000" w:fill="DBE5F1"/>
            <w:vAlign w:val="center"/>
            <w:hideMark/>
          </w:tcPr>
          <w:p w:rsidR="00A44CA7" w:rsidRPr="00942C19" w:rsidRDefault="007E2592">
            <w:pPr>
              <w:spacing w:before="0" w:line="240" w:lineRule="auto"/>
              <w:jc w:val="right"/>
              <w:rPr>
                <w:rFonts w:cs="Calibri"/>
                <w:b/>
                <w:bCs/>
                <w:color w:val="333399"/>
                <w:kern w:val="32"/>
                <w:sz w:val="22"/>
                <w:szCs w:val="22"/>
                <w:lang w:val="en-IN" w:eastAsia="en-IN"/>
              </w:rPr>
            </w:pPr>
            <w:r w:rsidRPr="00942C19">
              <w:rPr>
                <w:rFonts w:cs="Calibri"/>
                <w:b/>
                <w:bCs/>
                <w:sz w:val="22"/>
                <w:szCs w:val="22"/>
                <w:lang w:val="en-IN" w:eastAsia="en-IN"/>
              </w:rPr>
              <w:t>2013-14</w:t>
            </w:r>
          </w:p>
        </w:tc>
      </w:tr>
      <w:tr w:rsidR="007B4E42" w:rsidRPr="00942C19" w:rsidTr="007B4E42">
        <w:trPr>
          <w:trHeight w:val="300"/>
        </w:trPr>
        <w:tc>
          <w:tcPr>
            <w:tcW w:w="1389"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Opening WIP  as on 1st April</w:t>
            </w:r>
          </w:p>
        </w:tc>
        <w:tc>
          <w:tcPr>
            <w:tcW w:w="600" w:type="pct"/>
            <w:shd w:val="clear" w:color="auto" w:fill="auto"/>
            <w:vAlign w:val="center"/>
            <w:hideMark/>
          </w:tcPr>
          <w:p w:rsidR="007B4E42" w:rsidRPr="00942C19" w:rsidRDefault="007B4E42" w:rsidP="007E2592">
            <w:pPr>
              <w:spacing w:before="0" w:line="240" w:lineRule="auto"/>
              <w:jc w:val="center"/>
              <w:rPr>
                <w:rFonts w:cs="Calibri"/>
                <w:sz w:val="22"/>
                <w:szCs w:val="22"/>
                <w:lang w:val="en-IN" w:eastAsia="en-IN"/>
              </w:rPr>
            </w:pPr>
            <w:r w:rsidRPr="00942C19">
              <w:rPr>
                <w:rFonts w:cs="Calibri"/>
                <w:sz w:val="22"/>
                <w:szCs w:val="22"/>
                <w:lang w:val="en-IN" w:eastAsia="en-IN"/>
              </w:rPr>
              <w:t>A</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916.59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896.72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1,042.26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1,015.81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1,131.79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1,688.22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1,392.38 </w:t>
            </w:r>
          </w:p>
        </w:tc>
      </w:tr>
      <w:tr w:rsidR="007B4E42" w:rsidRPr="00942C19" w:rsidTr="007B4E42">
        <w:trPr>
          <w:trHeight w:val="300"/>
        </w:trPr>
        <w:tc>
          <w:tcPr>
            <w:tcW w:w="1389"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Investments</w:t>
            </w:r>
          </w:p>
        </w:tc>
        <w:tc>
          <w:tcPr>
            <w:tcW w:w="600" w:type="pct"/>
            <w:shd w:val="clear" w:color="auto" w:fill="auto"/>
            <w:vAlign w:val="center"/>
            <w:hideMark/>
          </w:tcPr>
          <w:p w:rsidR="007B4E42" w:rsidRPr="00942C19" w:rsidRDefault="007B4E42" w:rsidP="007E2592">
            <w:pPr>
              <w:spacing w:before="0" w:line="240" w:lineRule="auto"/>
              <w:jc w:val="center"/>
              <w:rPr>
                <w:rFonts w:cs="Calibri"/>
                <w:sz w:val="22"/>
                <w:szCs w:val="22"/>
                <w:lang w:val="en-IN" w:eastAsia="en-IN"/>
              </w:rPr>
            </w:pPr>
            <w:r w:rsidRPr="00942C19">
              <w:rPr>
                <w:rFonts w:cs="Calibri"/>
                <w:sz w:val="22"/>
                <w:szCs w:val="22"/>
                <w:lang w:val="en-IN" w:eastAsia="en-IN"/>
              </w:rPr>
              <w:t>B</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290.03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397.03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477.43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640.19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1,028.53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530.70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396.01 </w:t>
            </w:r>
          </w:p>
        </w:tc>
      </w:tr>
      <w:tr w:rsidR="007B4E42" w:rsidRPr="00942C19" w:rsidTr="007B4E42">
        <w:trPr>
          <w:trHeight w:val="300"/>
        </w:trPr>
        <w:tc>
          <w:tcPr>
            <w:tcW w:w="1389"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Employee Expenses Capitalisation</w:t>
            </w:r>
          </w:p>
        </w:tc>
        <w:tc>
          <w:tcPr>
            <w:tcW w:w="600" w:type="pct"/>
            <w:shd w:val="clear" w:color="auto" w:fill="auto"/>
            <w:vAlign w:val="center"/>
            <w:hideMark/>
          </w:tcPr>
          <w:p w:rsidR="007B4E42" w:rsidRPr="00942C19" w:rsidRDefault="007B4E42" w:rsidP="007E2592">
            <w:pPr>
              <w:spacing w:before="0" w:line="240" w:lineRule="auto"/>
              <w:jc w:val="center"/>
              <w:rPr>
                <w:rFonts w:cs="Calibri"/>
                <w:sz w:val="22"/>
                <w:szCs w:val="22"/>
                <w:lang w:val="en-IN" w:eastAsia="en-IN"/>
              </w:rPr>
            </w:pPr>
            <w:r w:rsidRPr="00942C19">
              <w:rPr>
                <w:rFonts w:cs="Calibri"/>
                <w:sz w:val="22"/>
                <w:szCs w:val="22"/>
                <w:lang w:val="en-IN" w:eastAsia="en-IN"/>
              </w:rPr>
              <w:t>C</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45.05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35.01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67.60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71.14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4.66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62.73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70.43 </w:t>
            </w:r>
          </w:p>
        </w:tc>
      </w:tr>
      <w:tr w:rsidR="007B4E42" w:rsidRPr="00942C19" w:rsidTr="007B4E42">
        <w:trPr>
          <w:trHeight w:val="300"/>
        </w:trPr>
        <w:tc>
          <w:tcPr>
            <w:tcW w:w="1389"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A&amp;G Expenses Capitalisation</w:t>
            </w:r>
          </w:p>
        </w:tc>
        <w:tc>
          <w:tcPr>
            <w:tcW w:w="600" w:type="pct"/>
            <w:shd w:val="clear" w:color="auto" w:fill="auto"/>
            <w:vAlign w:val="center"/>
            <w:hideMark/>
          </w:tcPr>
          <w:p w:rsidR="007B4E42" w:rsidRPr="00942C19" w:rsidRDefault="007B4E42" w:rsidP="007E2592">
            <w:pPr>
              <w:spacing w:before="0" w:line="240" w:lineRule="auto"/>
              <w:jc w:val="center"/>
              <w:rPr>
                <w:rFonts w:cs="Calibri"/>
                <w:sz w:val="22"/>
                <w:szCs w:val="22"/>
                <w:lang w:val="en-IN" w:eastAsia="en-IN"/>
              </w:rPr>
            </w:pPr>
            <w:r w:rsidRPr="00942C19">
              <w:rPr>
                <w:rFonts w:cs="Calibri"/>
                <w:sz w:val="22"/>
                <w:szCs w:val="22"/>
                <w:lang w:val="en-IN" w:eastAsia="en-IN"/>
              </w:rPr>
              <w:t>D</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6.32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5.87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8.56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13.55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1.31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11.69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13.13 </w:t>
            </w:r>
          </w:p>
        </w:tc>
      </w:tr>
      <w:tr w:rsidR="007B4E42" w:rsidRPr="00942C19" w:rsidTr="007B4E42">
        <w:trPr>
          <w:trHeight w:val="600"/>
        </w:trPr>
        <w:tc>
          <w:tcPr>
            <w:tcW w:w="1389" w:type="pct"/>
            <w:shd w:val="clear" w:color="auto" w:fill="auto"/>
            <w:vAlign w:val="center"/>
            <w:hideMark/>
          </w:tcPr>
          <w:p w:rsidR="007B4E42" w:rsidRPr="00942C19" w:rsidRDefault="007B4E42" w:rsidP="007E2592">
            <w:pPr>
              <w:spacing w:before="0" w:line="240" w:lineRule="auto"/>
              <w:jc w:val="left"/>
              <w:rPr>
                <w:rFonts w:cs="Calibri"/>
                <w:sz w:val="22"/>
                <w:szCs w:val="22"/>
                <w:lang w:val="en-IN" w:eastAsia="en-IN"/>
              </w:rPr>
            </w:pPr>
            <w:r w:rsidRPr="00942C19">
              <w:rPr>
                <w:rFonts w:cs="Calibri"/>
                <w:sz w:val="22"/>
                <w:szCs w:val="22"/>
                <w:lang w:val="en-IN" w:eastAsia="en-IN"/>
              </w:rPr>
              <w:t>Interest Capitalisation on Interest on long term loans</w:t>
            </w:r>
          </w:p>
        </w:tc>
        <w:tc>
          <w:tcPr>
            <w:tcW w:w="600" w:type="pct"/>
            <w:shd w:val="clear" w:color="auto" w:fill="auto"/>
            <w:vAlign w:val="center"/>
            <w:hideMark/>
          </w:tcPr>
          <w:p w:rsidR="007B4E42" w:rsidRPr="00942C19" w:rsidRDefault="007B4E42" w:rsidP="007E2592">
            <w:pPr>
              <w:spacing w:before="0" w:line="240" w:lineRule="auto"/>
              <w:jc w:val="center"/>
              <w:rPr>
                <w:rFonts w:cs="Calibri"/>
                <w:sz w:val="22"/>
                <w:szCs w:val="22"/>
                <w:lang w:val="en-IN" w:eastAsia="en-IN"/>
              </w:rPr>
            </w:pPr>
            <w:r w:rsidRPr="00942C19">
              <w:rPr>
                <w:rFonts w:cs="Calibri"/>
                <w:sz w:val="22"/>
                <w:szCs w:val="22"/>
                <w:lang w:val="en-IN" w:eastAsia="en-IN"/>
              </w:rPr>
              <w:t>E</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16.16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21.28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12.15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11.93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27.30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27.53 </w:t>
            </w:r>
          </w:p>
        </w:tc>
      </w:tr>
      <w:tr w:rsidR="007B4E42" w:rsidRPr="00942C19" w:rsidTr="007B4E42">
        <w:trPr>
          <w:trHeight w:val="300"/>
        </w:trPr>
        <w:tc>
          <w:tcPr>
            <w:tcW w:w="1389"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Total Investments</w:t>
            </w:r>
          </w:p>
        </w:tc>
        <w:tc>
          <w:tcPr>
            <w:tcW w:w="600" w:type="pct"/>
            <w:shd w:val="clear" w:color="auto" w:fill="auto"/>
            <w:vAlign w:val="center"/>
            <w:hideMark/>
          </w:tcPr>
          <w:p w:rsidR="007B4E42" w:rsidRPr="00942C19" w:rsidRDefault="007B4E42" w:rsidP="007E2592">
            <w:pPr>
              <w:spacing w:before="0" w:line="240" w:lineRule="auto"/>
              <w:jc w:val="center"/>
              <w:rPr>
                <w:rFonts w:cs="Calibri"/>
                <w:b/>
                <w:bCs/>
                <w:sz w:val="22"/>
                <w:szCs w:val="22"/>
                <w:lang w:val="en-IN" w:eastAsia="en-IN"/>
              </w:rPr>
            </w:pPr>
            <w:r w:rsidRPr="00942C19">
              <w:rPr>
                <w:rFonts w:cs="Calibri"/>
                <w:b/>
                <w:bCs/>
                <w:sz w:val="22"/>
                <w:szCs w:val="22"/>
                <w:lang w:val="en-IN" w:eastAsia="en-IN"/>
              </w:rPr>
              <w:t>F= A+B+C+D+E</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1,274.14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1,355.91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1,608.00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1,752.62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2,166.29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2,320.64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1,899.48 </w:t>
            </w:r>
          </w:p>
        </w:tc>
      </w:tr>
      <w:tr w:rsidR="007B4E42" w:rsidRPr="00942C19" w:rsidTr="007B4E42">
        <w:trPr>
          <w:trHeight w:val="467"/>
        </w:trPr>
        <w:tc>
          <w:tcPr>
            <w:tcW w:w="1389"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Transferred to GFA (Total Capitalisation)</w:t>
            </w:r>
          </w:p>
        </w:tc>
        <w:tc>
          <w:tcPr>
            <w:tcW w:w="600" w:type="pct"/>
            <w:shd w:val="clear" w:color="auto" w:fill="auto"/>
            <w:vAlign w:val="center"/>
            <w:hideMark/>
          </w:tcPr>
          <w:p w:rsidR="007B4E42" w:rsidRPr="00942C19" w:rsidRDefault="007B4E42" w:rsidP="007E2592">
            <w:pPr>
              <w:spacing w:before="0" w:line="240" w:lineRule="auto"/>
              <w:jc w:val="center"/>
              <w:rPr>
                <w:rFonts w:cs="Calibri"/>
                <w:b/>
                <w:bCs/>
                <w:sz w:val="22"/>
                <w:szCs w:val="22"/>
                <w:lang w:val="en-IN" w:eastAsia="en-IN"/>
              </w:rPr>
            </w:pPr>
            <w:r w:rsidRPr="00942C19">
              <w:rPr>
                <w:rFonts w:cs="Calibri"/>
                <w:b/>
                <w:bCs/>
                <w:sz w:val="22"/>
                <w:szCs w:val="22"/>
                <w:lang w:val="en-IN" w:eastAsia="en-IN"/>
              </w:rPr>
              <w:t>G=F*40%</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377.42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313.65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592.19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620.83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478.08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928.25 </w:t>
            </w:r>
          </w:p>
        </w:tc>
        <w:tc>
          <w:tcPr>
            <w:tcW w:w="430"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759.79 </w:t>
            </w:r>
          </w:p>
        </w:tc>
      </w:tr>
      <w:tr w:rsidR="007B4E42" w:rsidRPr="00942C19" w:rsidTr="007B4E42">
        <w:trPr>
          <w:trHeight w:val="421"/>
        </w:trPr>
        <w:tc>
          <w:tcPr>
            <w:tcW w:w="1389" w:type="pct"/>
            <w:shd w:val="clear" w:color="auto" w:fill="auto"/>
            <w:vAlign w:val="center"/>
            <w:hideMark/>
          </w:tcPr>
          <w:p w:rsidR="007B4E42" w:rsidRPr="00942C19" w:rsidRDefault="007B4E42" w:rsidP="007E2592">
            <w:pPr>
              <w:spacing w:before="0" w:line="240" w:lineRule="auto"/>
              <w:jc w:val="left"/>
              <w:rPr>
                <w:rFonts w:cs="Calibri"/>
                <w:b/>
                <w:bCs/>
                <w:sz w:val="22"/>
                <w:szCs w:val="22"/>
                <w:lang w:val="en-IN" w:eastAsia="en-IN"/>
              </w:rPr>
            </w:pPr>
            <w:r w:rsidRPr="00942C19">
              <w:rPr>
                <w:rFonts w:cs="Calibri"/>
                <w:b/>
                <w:bCs/>
                <w:sz w:val="22"/>
                <w:szCs w:val="22"/>
                <w:lang w:val="en-IN" w:eastAsia="en-IN"/>
              </w:rPr>
              <w:t>Closing WIP</w:t>
            </w:r>
          </w:p>
        </w:tc>
        <w:tc>
          <w:tcPr>
            <w:tcW w:w="600" w:type="pct"/>
            <w:shd w:val="clear" w:color="auto" w:fill="auto"/>
            <w:vAlign w:val="center"/>
            <w:hideMark/>
          </w:tcPr>
          <w:p w:rsidR="007B4E42" w:rsidRPr="00942C19" w:rsidRDefault="007B4E42" w:rsidP="000D3A3C">
            <w:pPr>
              <w:spacing w:before="0" w:line="240" w:lineRule="auto"/>
              <w:jc w:val="center"/>
              <w:rPr>
                <w:rFonts w:cs="Calibri"/>
                <w:b/>
                <w:bCs/>
                <w:sz w:val="22"/>
                <w:szCs w:val="22"/>
                <w:lang w:val="en-IN" w:eastAsia="en-IN"/>
              </w:rPr>
            </w:pPr>
            <w:r w:rsidRPr="00942C19">
              <w:rPr>
                <w:rFonts w:cs="Calibri"/>
                <w:b/>
                <w:bCs/>
                <w:sz w:val="22"/>
                <w:szCs w:val="22"/>
                <w:lang w:val="en-IN" w:eastAsia="en-IN"/>
              </w:rPr>
              <w:t xml:space="preserve"> H = F-G</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896.72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1,042.26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1,015.81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1,131.79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1,688.22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1,392.38 </w:t>
            </w:r>
          </w:p>
        </w:tc>
        <w:tc>
          <w:tcPr>
            <w:tcW w:w="430"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1,139.69 </w:t>
            </w:r>
          </w:p>
        </w:tc>
      </w:tr>
    </w:tbl>
    <w:p w:rsidR="00222C32" w:rsidRPr="00942C19" w:rsidRDefault="00222C32" w:rsidP="00222C32">
      <w:pPr>
        <w:jc w:val="center"/>
      </w:pPr>
    </w:p>
    <w:p w:rsidR="00222C32" w:rsidRPr="00942C19" w:rsidRDefault="00222C32" w:rsidP="00222C32"/>
    <w:p w:rsidR="00222C32" w:rsidRPr="00942C19" w:rsidRDefault="00222C32" w:rsidP="00222C32">
      <w:pPr>
        <w:pStyle w:val="Default"/>
        <w:jc w:val="both"/>
        <w:rPr>
          <w:rFonts w:cs="Times New Roman"/>
          <w:color w:val="auto"/>
          <w:lang w:val="en-GB"/>
        </w:rPr>
      </w:pPr>
    </w:p>
    <w:p w:rsidR="00222C32" w:rsidRPr="00942C19" w:rsidRDefault="00222C32" w:rsidP="00222C32">
      <w:pPr>
        <w:pStyle w:val="Heading2"/>
        <w:keepNext/>
        <w:numPr>
          <w:ilvl w:val="1"/>
          <w:numId w:val="1"/>
        </w:numPr>
        <w:autoSpaceDE/>
        <w:autoSpaceDN/>
        <w:adjustRightInd/>
        <w:spacing w:before="0" w:line="276" w:lineRule="auto"/>
        <w:contextualSpacing w:val="0"/>
        <w:sectPr w:rsidR="00222C32" w:rsidRPr="00942C19" w:rsidSect="003F5C37">
          <w:headerReference w:type="default" r:id="rId27"/>
          <w:footerReference w:type="default" r:id="rId28"/>
          <w:pgSz w:w="16834" w:h="11909" w:orient="landscape"/>
          <w:pgMar w:top="1800" w:right="1440" w:bottom="1440" w:left="1440" w:header="720" w:footer="720" w:gutter="0"/>
          <w:pgNumType w:chapSep="colon"/>
          <w:cols w:space="720"/>
        </w:sectPr>
      </w:pPr>
      <w:bookmarkStart w:id="694" w:name="_Toc356322605"/>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695" w:name="_Toc357274230"/>
      <w:bookmarkStart w:id="696" w:name="_Toc357714406"/>
      <w:r w:rsidRPr="00942C19">
        <w:t>FINANCING OF THE CAPITAL INVESTMENT</w:t>
      </w:r>
      <w:bookmarkEnd w:id="695"/>
      <w:bookmarkEnd w:id="696"/>
    </w:p>
    <w:p w:rsidR="00222C32" w:rsidRPr="00942C19" w:rsidRDefault="00222C32" w:rsidP="00222C32">
      <w:pPr>
        <w:tabs>
          <w:tab w:val="num" w:pos="900"/>
        </w:tabs>
        <w:spacing w:after="120" w:line="240" w:lineRule="auto"/>
        <w:ind w:left="360" w:hanging="360"/>
      </w:pPr>
    </w:p>
    <w:p w:rsidR="00222C32" w:rsidRPr="00942C19" w:rsidRDefault="00222C32" w:rsidP="00222C32">
      <w:pPr>
        <w:pStyle w:val="Heading3"/>
        <w:numPr>
          <w:ilvl w:val="2"/>
          <w:numId w:val="1"/>
        </w:numPr>
        <w:spacing w:before="0"/>
        <w:rPr>
          <w:szCs w:val="24"/>
        </w:rPr>
      </w:pPr>
      <w:r w:rsidRPr="00942C19">
        <w:t xml:space="preserve">The Commission has considered a normative tariff approach with a gearing of 70:30. </w:t>
      </w:r>
      <w:r w:rsidRPr="00942C19">
        <w:rPr>
          <w:rFonts w:cs="Calibri"/>
        </w:rPr>
        <w:t>Considering</w:t>
      </w:r>
      <w:r w:rsidRPr="00942C19">
        <w:t xml:space="preserve">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CA4184" w:rsidRPr="00942C19">
        <w:t>s</w:t>
      </w:r>
      <w:r w:rsidRPr="00942C19">
        <w:t xml:space="preserve">, capital subsidies and grants has been separated as the depreciation and interest thereon would not be charged to the consumers. </w:t>
      </w:r>
    </w:p>
    <w:p w:rsidR="00222C32" w:rsidRPr="00942C19" w:rsidRDefault="00222C32" w:rsidP="00222C32">
      <w:pPr>
        <w:tabs>
          <w:tab w:val="left" w:pos="720"/>
        </w:tabs>
        <w:ind w:left="720"/>
        <w:outlineLvl w:val="2"/>
        <w:rPr>
          <w:rFonts w:cs="Arial"/>
          <w:bCs/>
        </w:rPr>
      </w:pPr>
    </w:p>
    <w:p w:rsidR="00222C32" w:rsidRPr="00942C19" w:rsidRDefault="00222C32" w:rsidP="00A926B1">
      <w:pPr>
        <w:pStyle w:val="Heading3"/>
        <w:numPr>
          <w:ilvl w:val="2"/>
          <w:numId w:val="1"/>
        </w:numPr>
        <w:spacing w:before="0"/>
        <w:rPr>
          <w:szCs w:val="24"/>
        </w:rPr>
      </w:pPr>
      <w:r w:rsidRPr="00942C19">
        <w:rPr>
          <w:szCs w:val="24"/>
        </w:rPr>
        <w:t xml:space="preserve">The </w:t>
      </w:r>
      <w:r w:rsidRPr="00942C19">
        <w:t>balances</w:t>
      </w:r>
      <w:r w:rsidRPr="00942C19">
        <w:rPr>
          <w:szCs w:val="24"/>
        </w:rPr>
        <w:t xml:space="preserve"> of </w:t>
      </w:r>
      <w:r w:rsidRPr="00942C19">
        <w:t xml:space="preserve">consumer </w:t>
      </w:r>
      <w:r w:rsidRPr="00942C19">
        <w:rPr>
          <w:rFonts w:cs="Calibri"/>
        </w:rPr>
        <w:t>contributions</w:t>
      </w:r>
      <w:r w:rsidRPr="00942C19">
        <w:t>, capital subsidies and grants up</w:t>
      </w:r>
      <w:r w:rsidR="00CA4184" w:rsidRPr="00942C19">
        <w:t xml:space="preserve"> </w:t>
      </w:r>
      <w:r w:rsidRPr="00942C19">
        <w:t>to FY 2010-11 ha</w:t>
      </w:r>
      <w:r w:rsidR="00CA4184" w:rsidRPr="00942C19">
        <w:t>ve</w:t>
      </w:r>
      <w:r w:rsidRPr="00942C19">
        <w:t xml:space="preserve"> been considered from the audited accounts.</w:t>
      </w:r>
    </w:p>
    <w:p w:rsidR="00222C32" w:rsidRPr="00942C19" w:rsidRDefault="00222C32" w:rsidP="00222C32">
      <w:pPr>
        <w:pStyle w:val="Heading3"/>
        <w:numPr>
          <w:ilvl w:val="0"/>
          <w:numId w:val="0"/>
        </w:numPr>
        <w:tabs>
          <w:tab w:val="clear" w:pos="720"/>
          <w:tab w:val="left" w:pos="851"/>
        </w:tabs>
        <w:ind w:left="851"/>
        <w:rPr>
          <w:szCs w:val="24"/>
        </w:rPr>
      </w:pPr>
    </w:p>
    <w:p w:rsidR="00222C32" w:rsidRPr="00942C19" w:rsidRDefault="00222C32" w:rsidP="00A926B1">
      <w:pPr>
        <w:pStyle w:val="Heading3"/>
        <w:numPr>
          <w:ilvl w:val="2"/>
          <w:numId w:val="1"/>
        </w:numPr>
        <w:spacing w:before="0"/>
        <w:rPr>
          <w:szCs w:val="24"/>
        </w:rPr>
      </w:pPr>
      <w:r w:rsidRPr="00942C19">
        <w:t xml:space="preserve">The provisional accounts for FY 2011-12 reveal the amounts received as consumer </w:t>
      </w:r>
      <w:r w:rsidRPr="00942C19">
        <w:rPr>
          <w:rFonts w:cs="Calibri"/>
        </w:rPr>
        <w:t>contributions</w:t>
      </w:r>
      <w:r w:rsidRPr="00942C19">
        <w:t xml:space="preserve">, capital subsidies and grants. Further, the consumer contribution, capital subsidies and grants for FY 2012-13 and 2013-14 have been considered to be in the same ratio to the total investments, as proposed by the </w:t>
      </w:r>
      <w:r w:rsidR="009A3804" w:rsidRPr="00942C19">
        <w:t>Licensee</w:t>
      </w:r>
      <w:r w:rsidRPr="00942C19">
        <w:t xml:space="preserve"> in its ARR </w:t>
      </w:r>
      <w:r w:rsidR="004D2506" w:rsidRPr="00942C19">
        <w:t xml:space="preserve">/ Tariff </w:t>
      </w:r>
      <w:r w:rsidRPr="00942C19">
        <w:t>Petitions for 2013-14 respectively.</w:t>
      </w:r>
    </w:p>
    <w:p w:rsidR="00222C32" w:rsidRPr="00942C19" w:rsidRDefault="00222C32" w:rsidP="00222C32">
      <w:pPr>
        <w:pStyle w:val="Heading3"/>
        <w:numPr>
          <w:ilvl w:val="0"/>
          <w:numId w:val="0"/>
        </w:numPr>
        <w:tabs>
          <w:tab w:val="clear" w:pos="720"/>
          <w:tab w:val="left" w:pos="851"/>
        </w:tabs>
        <w:ind w:left="851"/>
        <w:rPr>
          <w:szCs w:val="24"/>
        </w:rPr>
      </w:pPr>
    </w:p>
    <w:p w:rsidR="00222C32" w:rsidRPr="00942C19" w:rsidRDefault="00222C32" w:rsidP="00A926B1">
      <w:pPr>
        <w:pStyle w:val="Heading3"/>
        <w:numPr>
          <w:ilvl w:val="2"/>
          <w:numId w:val="1"/>
        </w:numPr>
        <w:spacing w:before="0"/>
        <w:rPr>
          <w:szCs w:val="24"/>
        </w:rPr>
      </w:pPr>
      <w:r w:rsidRPr="00942C19">
        <w:t>The table below summarises the amounts considered towards consumer contributions, capital grants and subsidies up</w:t>
      </w:r>
      <w:r w:rsidR="00CA4184" w:rsidRPr="00942C19">
        <w:t xml:space="preserve"> </w:t>
      </w:r>
      <w:r w:rsidRPr="00942C19">
        <w:t>to FY 2013-14:</w:t>
      </w:r>
    </w:p>
    <w:p w:rsidR="00222C32" w:rsidRPr="00942C19" w:rsidRDefault="00222C32" w:rsidP="00A926B1">
      <w:pPr>
        <w:pStyle w:val="StyleHeading2NotLatinBoldBefore6ptAfter6pt"/>
        <w:numPr>
          <w:ilvl w:val="0"/>
          <w:numId w:val="0"/>
        </w:numPr>
        <w:autoSpaceDE/>
        <w:autoSpaceDN/>
        <w:adjustRightInd/>
        <w:spacing w:before="0" w:line="276" w:lineRule="auto"/>
        <w:ind w:left="576"/>
        <w:contextualSpacing w:val="0"/>
      </w:pPr>
    </w:p>
    <w:p w:rsidR="000F3819" w:rsidRPr="00942C19" w:rsidRDefault="000F3819" w:rsidP="00A926B1">
      <w:pPr>
        <w:pStyle w:val="StyleHeading2NotLatinBoldBefore6ptAfter6pt"/>
        <w:numPr>
          <w:ilvl w:val="0"/>
          <w:numId w:val="0"/>
        </w:numPr>
        <w:autoSpaceDE/>
        <w:autoSpaceDN/>
        <w:adjustRightInd/>
        <w:spacing w:before="0" w:line="276" w:lineRule="auto"/>
        <w:ind w:left="576"/>
        <w:contextualSpacing w:val="0"/>
      </w:pPr>
    </w:p>
    <w:p w:rsidR="000F3819" w:rsidRPr="00942C19" w:rsidRDefault="000F3819" w:rsidP="00222C32">
      <w:pPr>
        <w:tabs>
          <w:tab w:val="left" w:pos="720"/>
        </w:tabs>
        <w:ind w:left="720"/>
        <w:jc w:val="center"/>
        <w:outlineLvl w:val="2"/>
        <w:rPr>
          <w:rFonts w:cs="Calibri"/>
          <w:b/>
          <w:bCs/>
        </w:rPr>
        <w:sectPr w:rsidR="000F3819" w:rsidRPr="00942C19" w:rsidSect="000F3819">
          <w:headerReference w:type="default" r:id="rId29"/>
          <w:footerReference w:type="default" r:id="rId30"/>
          <w:pgSz w:w="11909" w:h="16834"/>
          <w:pgMar w:top="1440" w:right="1440" w:bottom="1440" w:left="1797" w:header="1008" w:footer="1008" w:gutter="0"/>
          <w:cols w:space="720"/>
        </w:sectPr>
      </w:pPr>
      <w:bookmarkStart w:id="697" w:name="_Toc356913133"/>
      <w:bookmarkStart w:id="698" w:name="_Toc357274497"/>
    </w:p>
    <w:p w:rsidR="00A44CA7" w:rsidRPr="00942C19" w:rsidRDefault="00785E17">
      <w:pPr>
        <w:tabs>
          <w:tab w:val="left" w:pos="720"/>
        </w:tabs>
        <w:spacing w:after="240"/>
        <w:ind w:left="720"/>
        <w:jc w:val="center"/>
        <w:outlineLvl w:val="2"/>
        <w:rPr>
          <w:rFonts w:cs="Arial"/>
          <w:b/>
          <w:bCs/>
        </w:rPr>
      </w:pPr>
      <w:bookmarkStart w:id="699" w:name="_Toc357719738"/>
      <w:r w:rsidRPr="00942C19">
        <w:rPr>
          <w:rFonts w:cs="Calibri"/>
          <w:b/>
          <w:bCs/>
        </w:rPr>
        <w:t xml:space="preserve">Table </w:t>
      </w:r>
      <w:r w:rsidR="000C642E" w:rsidRPr="00942C19">
        <w:rPr>
          <w:rFonts w:cs="Calibri"/>
          <w:b/>
          <w:bCs/>
        </w:rPr>
        <w:fldChar w:fldCharType="begin"/>
      </w:r>
      <w:r w:rsidRPr="00942C19">
        <w:rPr>
          <w:rFonts w:cs="Calibri"/>
          <w:b/>
          <w:bCs/>
        </w:rPr>
        <w:instrText xml:space="preserve"> STYLEREF 1 \s </w:instrText>
      </w:r>
      <w:r w:rsidR="000C642E" w:rsidRPr="00942C19">
        <w:rPr>
          <w:rFonts w:cs="Calibri"/>
          <w:b/>
          <w:bCs/>
        </w:rPr>
        <w:fldChar w:fldCharType="separate"/>
      </w:r>
      <w:r w:rsidR="00984AA4" w:rsidRPr="00942C19">
        <w:rPr>
          <w:rFonts w:cs="Calibri"/>
          <w:b/>
          <w:bCs/>
          <w:noProof/>
        </w:rPr>
        <w:t>4</w:t>
      </w:r>
      <w:r w:rsidR="000C642E" w:rsidRPr="00942C19">
        <w:rPr>
          <w:rFonts w:cs="Calibri"/>
          <w:b/>
          <w:bCs/>
        </w:rPr>
        <w:fldChar w:fldCharType="end"/>
      </w:r>
      <w:r w:rsidRPr="00942C19">
        <w:rPr>
          <w:rFonts w:cs="Calibri"/>
          <w:b/>
          <w:bCs/>
        </w:rPr>
        <w:noBreakHyphen/>
      </w:r>
      <w:r w:rsidR="000C642E" w:rsidRPr="00942C19">
        <w:rPr>
          <w:rFonts w:cs="Calibri"/>
          <w:b/>
          <w:bCs/>
        </w:rPr>
        <w:fldChar w:fldCharType="begin"/>
      </w:r>
      <w:r w:rsidRPr="00942C19">
        <w:rPr>
          <w:rFonts w:cs="Calibri"/>
          <w:b/>
          <w:bCs/>
        </w:rPr>
        <w:instrText xml:space="preserve"> SEQ Table \* ARABIC \s 1 </w:instrText>
      </w:r>
      <w:r w:rsidR="000C642E" w:rsidRPr="00942C19">
        <w:rPr>
          <w:rFonts w:cs="Calibri"/>
          <w:b/>
          <w:bCs/>
        </w:rPr>
        <w:fldChar w:fldCharType="separate"/>
      </w:r>
      <w:r w:rsidR="00984AA4" w:rsidRPr="00942C19">
        <w:rPr>
          <w:rFonts w:cs="Calibri"/>
          <w:b/>
          <w:bCs/>
          <w:noProof/>
        </w:rPr>
        <w:t>44</w:t>
      </w:r>
      <w:r w:rsidR="000C642E" w:rsidRPr="00942C19">
        <w:rPr>
          <w:rFonts w:cs="Calibri"/>
          <w:b/>
          <w:bCs/>
        </w:rPr>
        <w:fldChar w:fldCharType="end"/>
      </w:r>
      <w:r w:rsidRPr="00942C19">
        <w:rPr>
          <w:rFonts w:cs="Calibri"/>
          <w:b/>
          <w:bCs/>
        </w:rPr>
        <w:t>: CONSUMER CONTRIBUTIONS, CAPITAL GRANTS AND SUBSIDIES CONSIDERED UP</w:t>
      </w:r>
      <w:r w:rsidR="00CA4184" w:rsidRPr="00942C19">
        <w:rPr>
          <w:rFonts w:cs="Calibri"/>
          <w:b/>
          <w:bCs/>
        </w:rPr>
        <w:t xml:space="preserve"> </w:t>
      </w:r>
      <w:r w:rsidRPr="00942C19">
        <w:rPr>
          <w:rFonts w:cs="Calibri"/>
          <w:b/>
          <w:bCs/>
        </w:rPr>
        <w:t>TO FY 2013-14 (Rs. Crore</w:t>
      </w:r>
      <w:r w:rsidR="008727B1" w:rsidRPr="00942C19">
        <w:rPr>
          <w:rFonts w:cs="Calibri"/>
          <w:b/>
          <w:bCs/>
        </w:rPr>
        <w:t>s</w:t>
      </w:r>
      <w:r w:rsidRPr="00942C19">
        <w:rPr>
          <w:rFonts w:cs="Calibri"/>
          <w:b/>
          <w:bCs/>
        </w:rPr>
        <w:t>)</w:t>
      </w:r>
      <w:bookmarkEnd w:id="697"/>
      <w:bookmarkEnd w:id="698"/>
      <w:bookmarkEnd w:id="699"/>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70"/>
        <w:gridCol w:w="1349"/>
        <w:gridCol w:w="65"/>
        <w:gridCol w:w="1284"/>
        <w:gridCol w:w="57"/>
        <w:gridCol w:w="1292"/>
        <w:gridCol w:w="48"/>
        <w:gridCol w:w="1301"/>
        <w:gridCol w:w="40"/>
        <w:gridCol w:w="1309"/>
        <w:gridCol w:w="31"/>
        <w:gridCol w:w="1318"/>
        <w:gridCol w:w="23"/>
        <w:gridCol w:w="1326"/>
        <w:gridCol w:w="14"/>
        <w:gridCol w:w="1343"/>
      </w:tblGrid>
      <w:tr w:rsidR="007E2592" w:rsidRPr="00942C19" w:rsidTr="007B4E42">
        <w:trPr>
          <w:trHeight w:val="300"/>
          <w:tblHeader/>
        </w:trPr>
        <w:tc>
          <w:tcPr>
            <w:tcW w:w="1189" w:type="pct"/>
            <w:shd w:val="clear" w:color="000000" w:fill="DBE5F1"/>
            <w:vAlign w:val="center"/>
            <w:hideMark/>
          </w:tcPr>
          <w:p w:rsidR="007E2592" w:rsidRPr="00942C19" w:rsidRDefault="007E2592" w:rsidP="007E2592">
            <w:pPr>
              <w:spacing w:before="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476" w:type="pct"/>
            <w:shd w:val="clear" w:color="000000" w:fill="DBE5F1"/>
            <w:noWrap/>
            <w:vAlign w:val="center"/>
            <w:hideMark/>
          </w:tcPr>
          <w:p w:rsidR="007E2592" w:rsidRPr="00942C19" w:rsidRDefault="007E259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476" w:type="pct"/>
            <w:gridSpan w:val="2"/>
            <w:shd w:val="clear" w:color="000000" w:fill="DBE5F1"/>
            <w:vAlign w:val="center"/>
            <w:hideMark/>
          </w:tcPr>
          <w:p w:rsidR="007E2592" w:rsidRPr="00942C19" w:rsidRDefault="007E2592" w:rsidP="00EA4E19">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2007-08</w:t>
            </w:r>
          </w:p>
        </w:tc>
        <w:tc>
          <w:tcPr>
            <w:tcW w:w="476" w:type="pct"/>
            <w:gridSpan w:val="2"/>
            <w:shd w:val="clear" w:color="000000" w:fill="DBE5F1"/>
            <w:vAlign w:val="center"/>
            <w:hideMark/>
          </w:tcPr>
          <w:p w:rsidR="007E2592" w:rsidRPr="00942C19" w:rsidRDefault="007E259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2008-09</w:t>
            </w:r>
          </w:p>
        </w:tc>
        <w:tc>
          <w:tcPr>
            <w:tcW w:w="476" w:type="pct"/>
            <w:gridSpan w:val="2"/>
            <w:shd w:val="clear" w:color="000000" w:fill="DBE5F1"/>
            <w:vAlign w:val="center"/>
            <w:hideMark/>
          </w:tcPr>
          <w:p w:rsidR="007E2592" w:rsidRPr="00942C19" w:rsidRDefault="007E259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2009-10</w:t>
            </w:r>
          </w:p>
        </w:tc>
        <w:tc>
          <w:tcPr>
            <w:tcW w:w="476" w:type="pct"/>
            <w:gridSpan w:val="2"/>
            <w:shd w:val="clear" w:color="000000" w:fill="DBE5F1"/>
            <w:vAlign w:val="center"/>
            <w:hideMark/>
          </w:tcPr>
          <w:p w:rsidR="007E2592" w:rsidRPr="00942C19" w:rsidRDefault="007E259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2010-11</w:t>
            </w:r>
          </w:p>
        </w:tc>
        <w:tc>
          <w:tcPr>
            <w:tcW w:w="476" w:type="pct"/>
            <w:gridSpan w:val="2"/>
            <w:shd w:val="clear" w:color="000000" w:fill="DBE5F1"/>
            <w:vAlign w:val="center"/>
            <w:hideMark/>
          </w:tcPr>
          <w:p w:rsidR="007E2592" w:rsidRPr="00942C19" w:rsidRDefault="007E259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2011-12</w:t>
            </w:r>
          </w:p>
        </w:tc>
        <w:tc>
          <w:tcPr>
            <w:tcW w:w="476" w:type="pct"/>
            <w:gridSpan w:val="2"/>
            <w:shd w:val="clear" w:color="000000" w:fill="DBE5F1"/>
            <w:vAlign w:val="center"/>
            <w:hideMark/>
          </w:tcPr>
          <w:p w:rsidR="007E2592" w:rsidRPr="00942C19" w:rsidRDefault="007E259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2012-13</w:t>
            </w:r>
          </w:p>
        </w:tc>
        <w:tc>
          <w:tcPr>
            <w:tcW w:w="479" w:type="pct"/>
            <w:gridSpan w:val="2"/>
            <w:shd w:val="clear" w:color="000000" w:fill="DBE5F1"/>
            <w:vAlign w:val="center"/>
            <w:hideMark/>
          </w:tcPr>
          <w:p w:rsidR="007E2592" w:rsidRPr="00942C19" w:rsidRDefault="007E259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2013-14</w:t>
            </w:r>
          </w:p>
        </w:tc>
      </w:tr>
      <w:tr w:rsidR="007B4E42" w:rsidRPr="00942C19" w:rsidTr="007B4E42">
        <w:trPr>
          <w:trHeight w:val="791"/>
        </w:trPr>
        <w:tc>
          <w:tcPr>
            <w:tcW w:w="1189" w:type="pct"/>
            <w:shd w:val="clear" w:color="auto" w:fill="auto"/>
            <w:vAlign w:val="bottom"/>
            <w:hideMark/>
          </w:tcPr>
          <w:p w:rsidR="007B4E42" w:rsidRPr="00942C19" w:rsidRDefault="007B4E42" w:rsidP="007E259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Opening Balance of Consumer Contributions, Grants and Subsidies towards Cost of Capital Assets</w:t>
            </w:r>
          </w:p>
        </w:tc>
        <w:tc>
          <w:tcPr>
            <w:tcW w:w="499" w:type="pct"/>
            <w:gridSpan w:val="2"/>
            <w:shd w:val="clear" w:color="auto" w:fill="auto"/>
            <w:noWrap/>
            <w:vAlign w:val="center"/>
            <w:hideMark/>
          </w:tcPr>
          <w:p w:rsidR="007B4E42" w:rsidRPr="00942C19" w:rsidRDefault="007B4E42" w:rsidP="007E2592">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A</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292.63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364.85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469.45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583.66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682.98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758.10 </w:t>
            </w:r>
          </w:p>
        </w:tc>
        <w:tc>
          <w:tcPr>
            <w:tcW w:w="474"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990.38 </w:t>
            </w:r>
          </w:p>
        </w:tc>
      </w:tr>
      <w:tr w:rsidR="007B4E42" w:rsidRPr="00942C19" w:rsidTr="007B4E42">
        <w:trPr>
          <w:trHeight w:val="350"/>
        </w:trPr>
        <w:tc>
          <w:tcPr>
            <w:tcW w:w="1189" w:type="pct"/>
            <w:shd w:val="clear" w:color="auto" w:fill="auto"/>
            <w:vAlign w:val="bottom"/>
            <w:hideMark/>
          </w:tcPr>
          <w:p w:rsidR="007B4E42" w:rsidRPr="00942C19" w:rsidRDefault="007B4E42" w:rsidP="007E259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Additions during the year</w:t>
            </w:r>
          </w:p>
        </w:tc>
        <w:tc>
          <w:tcPr>
            <w:tcW w:w="499" w:type="pct"/>
            <w:gridSpan w:val="2"/>
            <w:shd w:val="clear" w:color="auto" w:fill="auto"/>
            <w:noWrap/>
            <w:vAlign w:val="center"/>
            <w:hideMark/>
          </w:tcPr>
          <w:p w:rsidR="007B4E42" w:rsidRPr="00942C19" w:rsidRDefault="007B4E42" w:rsidP="007E2592">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B</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92.91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121.93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136.51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127.04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107.42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270.02 </w:t>
            </w:r>
          </w:p>
        </w:tc>
        <w:tc>
          <w:tcPr>
            <w:tcW w:w="474"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280.00 </w:t>
            </w:r>
          </w:p>
        </w:tc>
      </w:tr>
      <w:tr w:rsidR="007B4E42" w:rsidRPr="00942C19" w:rsidTr="007B4E42">
        <w:trPr>
          <w:trHeight w:val="300"/>
        </w:trPr>
        <w:tc>
          <w:tcPr>
            <w:tcW w:w="1189" w:type="pct"/>
            <w:shd w:val="clear" w:color="auto" w:fill="auto"/>
            <w:vAlign w:val="bottom"/>
            <w:hideMark/>
          </w:tcPr>
          <w:p w:rsidR="007B4E42" w:rsidRPr="00942C19" w:rsidRDefault="007B4E42" w:rsidP="007E259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Less: Amortisation </w:t>
            </w:r>
          </w:p>
        </w:tc>
        <w:tc>
          <w:tcPr>
            <w:tcW w:w="499" w:type="pct"/>
            <w:gridSpan w:val="2"/>
            <w:shd w:val="clear" w:color="auto" w:fill="auto"/>
            <w:noWrap/>
            <w:vAlign w:val="center"/>
            <w:hideMark/>
          </w:tcPr>
          <w:p w:rsidR="007B4E42" w:rsidRPr="00942C19" w:rsidRDefault="007B4E42" w:rsidP="007E2592">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C</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20.69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17.33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22.30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27.72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32.30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37.74 </w:t>
            </w:r>
          </w:p>
        </w:tc>
        <w:tc>
          <w:tcPr>
            <w:tcW w:w="474" w:type="pct"/>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46.00 </w:t>
            </w:r>
          </w:p>
        </w:tc>
      </w:tr>
      <w:tr w:rsidR="007B4E42" w:rsidRPr="00942C19" w:rsidTr="007B4E42">
        <w:trPr>
          <w:trHeight w:val="300"/>
        </w:trPr>
        <w:tc>
          <w:tcPr>
            <w:tcW w:w="1189" w:type="pct"/>
            <w:shd w:val="clear" w:color="auto" w:fill="auto"/>
            <w:vAlign w:val="bottom"/>
            <w:hideMark/>
          </w:tcPr>
          <w:p w:rsidR="007B4E42" w:rsidRPr="00942C19" w:rsidRDefault="007B4E42" w:rsidP="007E2592">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Closing Balance</w:t>
            </w:r>
          </w:p>
        </w:tc>
        <w:tc>
          <w:tcPr>
            <w:tcW w:w="499" w:type="pct"/>
            <w:gridSpan w:val="2"/>
            <w:shd w:val="clear" w:color="auto" w:fill="auto"/>
            <w:noWrap/>
            <w:vAlign w:val="center"/>
            <w:hideMark/>
          </w:tcPr>
          <w:p w:rsidR="007B4E42" w:rsidRPr="00942C19" w:rsidRDefault="007B4E42" w:rsidP="007E2592">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D=A+B-C</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364.85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469.45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583.66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682.98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758.10 </w:t>
            </w:r>
          </w:p>
        </w:tc>
        <w:tc>
          <w:tcPr>
            <w:tcW w:w="473" w:type="pct"/>
            <w:gridSpan w:val="2"/>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990.38 </w:t>
            </w:r>
          </w:p>
        </w:tc>
        <w:tc>
          <w:tcPr>
            <w:tcW w:w="474" w:type="pct"/>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1,224.39 </w:t>
            </w:r>
          </w:p>
        </w:tc>
      </w:tr>
    </w:tbl>
    <w:p w:rsidR="00222C32" w:rsidRPr="00942C19" w:rsidRDefault="00222C32" w:rsidP="00222C32">
      <w:pPr>
        <w:pStyle w:val="Heading3"/>
        <w:numPr>
          <w:ilvl w:val="0"/>
          <w:numId w:val="0"/>
        </w:numPr>
        <w:tabs>
          <w:tab w:val="clear" w:pos="720"/>
          <w:tab w:val="left" w:pos="851"/>
        </w:tabs>
        <w:ind w:left="851"/>
      </w:pPr>
    </w:p>
    <w:p w:rsidR="00222C32" w:rsidRPr="00942C19" w:rsidRDefault="00222C32" w:rsidP="00A926B1">
      <w:pPr>
        <w:pStyle w:val="Heading3"/>
        <w:numPr>
          <w:ilvl w:val="2"/>
          <w:numId w:val="1"/>
        </w:numPr>
        <w:spacing w:before="0"/>
        <w:rPr>
          <w:szCs w:val="24"/>
        </w:rPr>
      </w:pPr>
      <w:r w:rsidRPr="00942C19">
        <w:t xml:space="preserve">Thus, </w:t>
      </w:r>
      <w:r w:rsidRPr="00942C19">
        <w:rPr>
          <w:rFonts w:cs="Calibri"/>
        </w:rPr>
        <w:t>the</w:t>
      </w:r>
      <w:r w:rsidRPr="00942C19">
        <w:t xml:space="preserve"> approved financing of the capital investment is depicted in the table below:</w:t>
      </w:r>
    </w:p>
    <w:p w:rsidR="00222C32" w:rsidRPr="00942C19" w:rsidRDefault="00222C32" w:rsidP="000F3819">
      <w:pPr>
        <w:tabs>
          <w:tab w:val="left" w:pos="720"/>
        </w:tabs>
        <w:spacing w:before="0"/>
        <w:ind w:left="720"/>
        <w:jc w:val="center"/>
        <w:outlineLvl w:val="2"/>
        <w:rPr>
          <w:rFonts w:cs="Calibri"/>
          <w:b/>
          <w:bCs/>
          <w:szCs w:val="26"/>
        </w:rPr>
      </w:pPr>
      <w:bookmarkStart w:id="700" w:name="_Toc357274498"/>
      <w:bookmarkStart w:id="701" w:name="_Toc357719739"/>
      <w:bookmarkStart w:id="702" w:name="_Toc356913135"/>
      <w:r w:rsidRPr="00942C19">
        <w:rPr>
          <w:rFonts w:cs="Calibri"/>
          <w:b/>
          <w:bCs/>
          <w:szCs w:val="26"/>
        </w:rPr>
        <w:t xml:space="preserve">Table </w:t>
      </w:r>
      <w:r w:rsidR="000C642E" w:rsidRPr="00942C19">
        <w:rPr>
          <w:rFonts w:cs="Calibri"/>
          <w:b/>
          <w:bCs/>
          <w:szCs w:val="26"/>
        </w:rPr>
        <w:fldChar w:fldCharType="begin"/>
      </w:r>
      <w:r w:rsidRPr="00942C19">
        <w:rPr>
          <w:rFonts w:cs="Calibri"/>
          <w:b/>
          <w:bCs/>
          <w:szCs w:val="26"/>
        </w:rPr>
        <w:instrText xml:space="preserve"> STYLEREF 1 \s </w:instrText>
      </w:r>
      <w:r w:rsidR="000C642E" w:rsidRPr="00942C19">
        <w:rPr>
          <w:rFonts w:cs="Calibri"/>
          <w:b/>
          <w:bCs/>
          <w:szCs w:val="26"/>
        </w:rPr>
        <w:fldChar w:fldCharType="separate"/>
      </w:r>
      <w:r w:rsidR="00984AA4" w:rsidRPr="00942C19">
        <w:rPr>
          <w:rFonts w:cs="Calibri"/>
          <w:b/>
          <w:bCs/>
          <w:noProof/>
          <w:szCs w:val="26"/>
        </w:rPr>
        <w:t>4</w:t>
      </w:r>
      <w:r w:rsidR="000C642E" w:rsidRPr="00942C19">
        <w:rPr>
          <w:rFonts w:cs="Calibri"/>
          <w:b/>
          <w:bCs/>
          <w:szCs w:val="26"/>
        </w:rPr>
        <w:fldChar w:fldCharType="end"/>
      </w:r>
      <w:r w:rsidRPr="00942C19">
        <w:rPr>
          <w:rFonts w:cs="Calibri"/>
          <w:b/>
          <w:bCs/>
          <w:szCs w:val="26"/>
        </w:rPr>
        <w:noBreakHyphen/>
      </w:r>
      <w:r w:rsidR="000C642E" w:rsidRPr="00942C19">
        <w:rPr>
          <w:rFonts w:cs="Calibri"/>
          <w:b/>
          <w:bCs/>
          <w:szCs w:val="26"/>
        </w:rPr>
        <w:fldChar w:fldCharType="begin"/>
      </w:r>
      <w:r w:rsidRPr="00942C19">
        <w:rPr>
          <w:rFonts w:cs="Calibri"/>
          <w:b/>
          <w:bCs/>
          <w:szCs w:val="26"/>
        </w:rPr>
        <w:instrText xml:space="preserve"> SEQ Table \* ARABIC \s 1 </w:instrText>
      </w:r>
      <w:r w:rsidR="000C642E" w:rsidRPr="00942C19">
        <w:rPr>
          <w:rFonts w:cs="Calibri"/>
          <w:b/>
          <w:bCs/>
          <w:szCs w:val="26"/>
        </w:rPr>
        <w:fldChar w:fldCharType="separate"/>
      </w:r>
      <w:r w:rsidR="00984AA4" w:rsidRPr="00942C19">
        <w:rPr>
          <w:rFonts w:cs="Calibri"/>
          <w:b/>
          <w:bCs/>
          <w:noProof/>
          <w:szCs w:val="26"/>
        </w:rPr>
        <w:t>45</w:t>
      </w:r>
      <w:r w:rsidR="000C642E" w:rsidRPr="00942C19">
        <w:rPr>
          <w:rFonts w:cs="Calibri"/>
          <w:b/>
          <w:bCs/>
          <w:szCs w:val="26"/>
        </w:rPr>
        <w:fldChar w:fldCharType="end"/>
      </w:r>
      <w:r w:rsidRPr="00942C19">
        <w:rPr>
          <w:rFonts w:cs="Calibri"/>
          <w:b/>
          <w:bCs/>
          <w:szCs w:val="26"/>
        </w:rPr>
        <w:t>: FINANCING OF THE CAPITAL INVESTMENTS UP</w:t>
      </w:r>
      <w:r w:rsidR="00CA4184" w:rsidRPr="00942C19">
        <w:rPr>
          <w:rFonts w:cs="Calibri"/>
          <w:b/>
          <w:bCs/>
          <w:szCs w:val="26"/>
        </w:rPr>
        <w:t xml:space="preserve"> </w:t>
      </w:r>
      <w:r w:rsidRPr="00942C19">
        <w:rPr>
          <w:rFonts w:cs="Calibri"/>
          <w:b/>
          <w:bCs/>
          <w:szCs w:val="26"/>
        </w:rPr>
        <w:t>TO FY 2013-14</w:t>
      </w:r>
      <w:bookmarkEnd w:id="700"/>
      <w:r w:rsidR="000D3A3C" w:rsidRPr="00942C19">
        <w:rPr>
          <w:rFonts w:cs="Calibri"/>
          <w:b/>
          <w:bCs/>
          <w:szCs w:val="26"/>
        </w:rPr>
        <w:t xml:space="preserve"> (Rs. Crore</w:t>
      </w:r>
      <w:r w:rsidR="008727B1" w:rsidRPr="00942C19">
        <w:rPr>
          <w:rFonts w:cs="Calibri"/>
          <w:b/>
          <w:bCs/>
          <w:szCs w:val="26"/>
        </w:rPr>
        <w:t>s</w:t>
      </w:r>
      <w:r w:rsidR="000D3A3C" w:rsidRPr="00942C19">
        <w:rPr>
          <w:rFonts w:cs="Calibri"/>
          <w:b/>
          <w:bCs/>
          <w:szCs w:val="26"/>
        </w:rPr>
        <w:t>)</w:t>
      </w:r>
      <w:bookmarkEnd w:id="701"/>
    </w:p>
    <w:tbl>
      <w:tblPr>
        <w:tblW w:w="49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663"/>
        <w:gridCol w:w="1180"/>
        <w:gridCol w:w="1472"/>
        <w:gridCol w:w="1472"/>
        <w:gridCol w:w="1471"/>
        <w:gridCol w:w="1471"/>
        <w:gridCol w:w="1471"/>
        <w:gridCol w:w="1471"/>
        <w:gridCol w:w="1471"/>
      </w:tblGrid>
      <w:tr w:rsidR="007B4E42" w:rsidRPr="00942C19" w:rsidTr="007B4E42">
        <w:trPr>
          <w:trHeight w:val="600"/>
        </w:trPr>
        <w:tc>
          <w:tcPr>
            <w:tcW w:w="940" w:type="pct"/>
            <w:shd w:val="clear" w:color="000000" w:fill="DBE5F1"/>
            <w:vAlign w:val="center"/>
            <w:hideMark/>
          </w:tcPr>
          <w:bookmarkEnd w:id="702"/>
          <w:p w:rsidR="007E2592" w:rsidRPr="00942C19" w:rsidRDefault="007E2592" w:rsidP="007E2592">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Particulars</w:t>
            </w:r>
          </w:p>
        </w:tc>
        <w:tc>
          <w:tcPr>
            <w:tcW w:w="417" w:type="pct"/>
            <w:shd w:val="clear" w:color="000000" w:fill="DBE5F1"/>
            <w:vAlign w:val="center"/>
            <w:hideMark/>
          </w:tcPr>
          <w:p w:rsidR="007E2592" w:rsidRPr="00942C19" w:rsidRDefault="007E2592" w:rsidP="007E2592">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520" w:type="pct"/>
            <w:shd w:val="clear" w:color="000000" w:fill="DBE5F1"/>
            <w:vAlign w:val="center"/>
            <w:hideMark/>
          </w:tcPr>
          <w:p w:rsidR="007E2592" w:rsidRPr="00942C19" w:rsidRDefault="007E2592" w:rsidP="007E2592">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2007-08</w:t>
            </w:r>
          </w:p>
        </w:tc>
        <w:tc>
          <w:tcPr>
            <w:tcW w:w="520" w:type="pct"/>
            <w:shd w:val="clear" w:color="000000" w:fill="DBE5F1"/>
            <w:vAlign w:val="center"/>
            <w:hideMark/>
          </w:tcPr>
          <w:p w:rsidR="007E2592" w:rsidRPr="00942C19" w:rsidRDefault="007E2592" w:rsidP="007E2592">
            <w:pPr>
              <w:spacing w:before="0" w:line="240" w:lineRule="auto"/>
              <w:contextualSpacing/>
              <w:jc w:val="right"/>
              <w:rPr>
                <w:rFonts w:cs="Calibri"/>
                <w:b/>
                <w:bCs/>
                <w:sz w:val="22"/>
                <w:szCs w:val="22"/>
                <w:lang w:val="en-IN" w:eastAsia="en-IN"/>
              </w:rPr>
            </w:pPr>
            <w:r w:rsidRPr="00942C19">
              <w:rPr>
                <w:rFonts w:cs="Calibri"/>
                <w:b/>
                <w:bCs/>
                <w:sz w:val="22"/>
                <w:szCs w:val="22"/>
                <w:lang w:val="en-IN" w:eastAsia="en-IN"/>
              </w:rPr>
              <w:t>2008-09</w:t>
            </w:r>
          </w:p>
        </w:tc>
        <w:tc>
          <w:tcPr>
            <w:tcW w:w="520" w:type="pct"/>
            <w:shd w:val="clear" w:color="000000" w:fill="DBE5F1"/>
            <w:vAlign w:val="center"/>
            <w:hideMark/>
          </w:tcPr>
          <w:p w:rsidR="007E2592" w:rsidRPr="00942C19" w:rsidRDefault="007E2592" w:rsidP="007E2592">
            <w:pPr>
              <w:spacing w:before="0" w:line="240" w:lineRule="auto"/>
              <w:contextualSpacing/>
              <w:jc w:val="right"/>
              <w:rPr>
                <w:rFonts w:cs="Calibri"/>
                <w:b/>
                <w:bCs/>
                <w:sz w:val="22"/>
                <w:szCs w:val="22"/>
                <w:lang w:val="en-IN" w:eastAsia="en-IN"/>
              </w:rPr>
            </w:pPr>
            <w:r w:rsidRPr="00942C19">
              <w:rPr>
                <w:rFonts w:cs="Calibri"/>
                <w:b/>
                <w:bCs/>
                <w:sz w:val="22"/>
                <w:szCs w:val="22"/>
                <w:lang w:val="en-IN" w:eastAsia="en-IN"/>
              </w:rPr>
              <w:t>2009-10</w:t>
            </w:r>
          </w:p>
        </w:tc>
        <w:tc>
          <w:tcPr>
            <w:tcW w:w="520" w:type="pct"/>
            <w:shd w:val="clear" w:color="000000" w:fill="DBE5F1"/>
            <w:vAlign w:val="center"/>
            <w:hideMark/>
          </w:tcPr>
          <w:p w:rsidR="007E2592" w:rsidRPr="00942C19" w:rsidRDefault="007E2592" w:rsidP="007E2592">
            <w:pPr>
              <w:spacing w:before="0" w:line="240" w:lineRule="auto"/>
              <w:contextualSpacing/>
              <w:jc w:val="right"/>
              <w:rPr>
                <w:rFonts w:cs="Calibri"/>
                <w:b/>
                <w:bCs/>
                <w:sz w:val="22"/>
                <w:szCs w:val="22"/>
                <w:lang w:val="en-IN" w:eastAsia="en-IN"/>
              </w:rPr>
            </w:pPr>
            <w:r w:rsidRPr="00942C19">
              <w:rPr>
                <w:rFonts w:cs="Calibri"/>
                <w:b/>
                <w:bCs/>
                <w:sz w:val="22"/>
                <w:szCs w:val="22"/>
                <w:lang w:val="en-IN" w:eastAsia="en-IN"/>
              </w:rPr>
              <w:t>2010-11</w:t>
            </w:r>
          </w:p>
        </w:tc>
        <w:tc>
          <w:tcPr>
            <w:tcW w:w="520" w:type="pct"/>
            <w:shd w:val="clear" w:color="000000" w:fill="DBE5F1"/>
            <w:vAlign w:val="center"/>
            <w:hideMark/>
          </w:tcPr>
          <w:p w:rsidR="007E2592" w:rsidRPr="00942C19" w:rsidRDefault="007E2592" w:rsidP="007E2592">
            <w:pPr>
              <w:spacing w:before="0" w:line="240" w:lineRule="auto"/>
              <w:contextualSpacing/>
              <w:jc w:val="right"/>
              <w:rPr>
                <w:rFonts w:cs="Calibri"/>
                <w:b/>
                <w:bCs/>
                <w:sz w:val="22"/>
                <w:szCs w:val="22"/>
                <w:lang w:val="en-IN" w:eastAsia="en-IN"/>
              </w:rPr>
            </w:pPr>
            <w:r w:rsidRPr="00942C19">
              <w:rPr>
                <w:rFonts w:cs="Calibri"/>
                <w:b/>
                <w:bCs/>
                <w:sz w:val="22"/>
                <w:szCs w:val="22"/>
                <w:lang w:val="en-IN" w:eastAsia="en-IN"/>
              </w:rPr>
              <w:t>2011-12</w:t>
            </w:r>
          </w:p>
        </w:tc>
        <w:tc>
          <w:tcPr>
            <w:tcW w:w="520" w:type="pct"/>
            <w:shd w:val="clear" w:color="000000" w:fill="DBE5F1"/>
            <w:vAlign w:val="center"/>
            <w:hideMark/>
          </w:tcPr>
          <w:p w:rsidR="007E2592" w:rsidRPr="00942C19" w:rsidRDefault="007E2592" w:rsidP="007E2592">
            <w:pPr>
              <w:spacing w:before="0" w:line="240" w:lineRule="auto"/>
              <w:contextualSpacing/>
              <w:jc w:val="right"/>
              <w:rPr>
                <w:rFonts w:cs="Calibri"/>
                <w:b/>
                <w:bCs/>
                <w:sz w:val="22"/>
                <w:szCs w:val="22"/>
                <w:lang w:val="en-IN" w:eastAsia="en-IN"/>
              </w:rPr>
            </w:pPr>
            <w:r w:rsidRPr="00942C19">
              <w:rPr>
                <w:rFonts w:cs="Calibri"/>
                <w:b/>
                <w:bCs/>
                <w:sz w:val="22"/>
                <w:szCs w:val="22"/>
                <w:lang w:val="en-IN" w:eastAsia="en-IN"/>
              </w:rPr>
              <w:t>2012-13</w:t>
            </w:r>
          </w:p>
        </w:tc>
        <w:tc>
          <w:tcPr>
            <w:tcW w:w="520" w:type="pct"/>
            <w:shd w:val="clear" w:color="000000" w:fill="DBE5F1"/>
            <w:vAlign w:val="center"/>
            <w:hideMark/>
          </w:tcPr>
          <w:p w:rsidR="007E2592" w:rsidRPr="00942C19" w:rsidRDefault="007E2592" w:rsidP="007E2592">
            <w:pPr>
              <w:spacing w:before="0" w:line="240" w:lineRule="auto"/>
              <w:contextualSpacing/>
              <w:jc w:val="right"/>
              <w:rPr>
                <w:rFonts w:cs="Calibri"/>
                <w:b/>
                <w:bCs/>
                <w:sz w:val="22"/>
                <w:szCs w:val="22"/>
                <w:lang w:val="en-IN" w:eastAsia="en-IN"/>
              </w:rPr>
            </w:pPr>
            <w:r w:rsidRPr="00942C19">
              <w:rPr>
                <w:rFonts w:cs="Calibri"/>
                <w:b/>
                <w:bCs/>
                <w:sz w:val="22"/>
                <w:szCs w:val="22"/>
                <w:lang w:val="en-IN" w:eastAsia="en-IN"/>
              </w:rPr>
              <w:t>2013-14</w:t>
            </w:r>
          </w:p>
        </w:tc>
      </w:tr>
      <w:tr w:rsidR="007B4E42" w:rsidRPr="00942C19" w:rsidTr="007B4E42">
        <w:trPr>
          <w:trHeight w:val="300"/>
        </w:trPr>
        <w:tc>
          <w:tcPr>
            <w:tcW w:w="940" w:type="pct"/>
            <w:shd w:val="clear" w:color="auto" w:fill="auto"/>
            <w:vAlign w:val="center"/>
            <w:hideMark/>
          </w:tcPr>
          <w:p w:rsidR="007B4E42" w:rsidRPr="00942C19" w:rsidRDefault="007B4E42" w:rsidP="007E2592">
            <w:pPr>
              <w:spacing w:before="0" w:line="240" w:lineRule="auto"/>
              <w:contextualSpacing/>
              <w:jc w:val="left"/>
              <w:rPr>
                <w:rFonts w:cs="Calibri"/>
                <w:sz w:val="22"/>
                <w:szCs w:val="22"/>
                <w:lang w:val="en-IN" w:eastAsia="en-IN"/>
              </w:rPr>
            </w:pPr>
            <w:r w:rsidRPr="00942C19">
              <w:rPr>
                <w:rFonts w:cs="Calibri"/>
                <w:sz w:val="22"/>
                <w:szCs w:val="22"/>
                <w:lang w:val="en-IN" w:eastAsia="en-IN"/>
              </w:rPr>
              <w:t>Investment</w:t>
            </w:r>
          </w:p>
        </w:tc>
        <w:tc>
          <w:tcPr>
            <w:tcW w:w="417" w:type="pct"/>
            <w:shd w:val="clear" w:color="auto" w:fill="auto"/>
            <w:noWrap/>
            <w:vAlign w:val="center"/>
            <w:hideMark/>
          </w:tcPr>
          <w:p w:rsidR="007B4E42" w:rsidRPr="00942C19" w:rsidRDefault="007B4E42" w:rsidP="007E2592">
            <w:pPr>
              <w:spacing w:before="0" w:line="240" w:lineRule="auto"/>
              <w:contextualSpacing/>
              <w:jc w:val="center"/>
              <w:rPr>
                <w:rFonts w:cs="Calibri"/>
                <w:color w:val="000000"/>
                <w:sz w:val="22"/>
                <w:szCs w:val="22"/>
                <w:lang w:val="en-IN" w:eastAsia="en-IN"/>
              </w:rPr>
            </w:pPr>
            <w:r w:rsidRPr="00942C19">
              <w:rPr>
                <w:rFonts w:cs="Calibri"/>
                <w:color w:val="000000"/>
                <w:sz w:val="22"/>
                <w:szCs w:val="22"/>
                <w:lang w:val="en-IN" w:eastAsia="en-IN"/>
              </w:rPr>
              <w:t>A</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290.03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397.03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477.43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640.19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1,028.53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530.70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396.01 </w:t>
            </w:r>
          </w:p>
        </w:tc>
      </w:tr>
      <w:tr w:rsidR="007B4E42" w:rsidRPr="00942C19" w:rsidTr="007B4E42">
        <w:trPr>
          <w:trHeight w:val="300"/>
        </w:trPr>
        <w:tc>
          <w:tcPr>
            <w:tcW w:w="940" w:type="pct"/>
            <w:shd w:val="clear" w:color="auto" w:fill="auto"/>
            <w:vAlign w:val="center"/>
            <w:hideMark/>
          </w:tcPr>
          <w:p w:rsidR="007B4E42" w:rsidRPr="00942C19" w:rsidRDefault="007B4E42" w:rsidP="007E2592">
            <w:pPr>
              <w:spacing w:before="0" w:line="240" w:lineRule="auto"/>
              <w:contextualSpacing/>
              <w:jc w:val="left"/>
              <w:rPr>
                <w:rFonts w:cs="Calibri"/>
                <w:sz w:val="22"/>
                <w:szCs w:val="22"/>
                <w:lang w:val="en-IN" w:eastAsia="en-IN"/>
              </w:rPr>
            </w:pPr>
            <w:r w:rsidRPr="00942C19">
              <w:rPr>
                <w:rFonts w:cs="Calibri"/>
                <w:sz w:val="22"/>
                <w:szCs w:val="22"/>
                <w:lang w:val="en-IN" w:eastAsia="en-IN"/>
              </w:rPr>
              <w:t xml:space="preserve">Less: </w:t>
            </w:r>
          </w:p>
        </w:tc>
        <w:tc>
          <w:tcPr>
            <w:tcW w:w="417" w:type="pct"/>
            <w:shd w:val="clear" w:color="auto" w:fill="auto"/>
            <w:noWrap/>
            <w:vAlign w:val="center"/>
            <w:hideMark/>
          </w:tcPr>
          <w:p w:rsidR="007B4E42" w:rsidRPr="00942C19" w:rsidRDefault="007B4E42" w:rsidP="007E2592">
            <w:pPr>
              <w:spacing w:before="0" w:line="240" w:lineRule="auto"/>
              <w:contextualSpacing/>
              <w:jc w:val="center"/>
              <w:rPr>
                <w:rFonts w:cs="Calibri"/>
                <w:color w:val="000000"/>
                <w:sz w:val="22"/>
                <w:szCs w:val="22"/>
                <w:lang w:val="en-IN" w:eastAsia="en-IN"/>
              </w:rPr>
            </w:pPr>
            <w:r w:rsidRPr="00942C19">
              <w:rPr>
                <w:rFonts w:cs="Calibri"/>
                <w:color w:val="000000"/>
                <w:sz w:val="22"/>
                <w:szCs w:val="22"/>
                <w:lang w:val="en-IN" w:eastAsia="en-IN"/>
              </w:rPr>
              <w:t> </w:t>
            </w: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b/>
                <w:bCs/>
                <w:color w:val="000000"/>
                <w:kern w:val="32"/>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b/>
                <w:bCs/>
                <w:color w:val="000000"/>
                <w:kern w:val="32"/>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b/>
                <w:bCs/>
                <w:color w:val="000000"/>
                <w:kern w:val="32"/>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b/>
                <w:bCs/>
                <w:color w:val="000000"/>
                <w:kern w:val="32"/>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b/>
                <w:bCs/>
                <w:color w:val="000000"/>
                <w:kern w:val="32"/>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b/>
                <w:bCs/>
                <w:color w:val="000000"/>
                <w:kern w:val="32"/>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b/>
                <w:bCs/>
                <w:color w:val="000000"/>
                <w:kern w:val="32"/>
                <w:sz w:val="22"/>
                <w:szCs w:val="22"/>
                <w:lang w:val="en-IN" w:eastAsia="en-IN"/>
              </w:rPr>
            </w:pPr>
          </w:p>
        </w:tc>
      </w:tr>
      <w:tr w:rsidR="007B4E42" w:rsidRPr="00942C19" w:rsidTr="007B4E42">
        <w:trPr>
          <w:trHeight w:val="600"/>
        </w:trPr>
        <w:tc>
          <w:tcPr>
            <w:tcW w:w="940" w:type="pct"/>
            <w:shd w:val="clear" w:color="auto" w:fill="auto"/>
            <w:vAlign w:val="center"/>
            <w:hideMark/>
          </w:tcPr>
          <w:p w:rsidR="007B4E42" w:rsidRPr="00942C19" w:rsidRDefault="007B4E42" w:rsidP="007E2592">
            <w:pPr>
              <w:spacing w:before="0" w:line="240" w:lineRule="auto"/>
              <w:contextualSpacing/>
              <w:jc w:val="left"/>
              <w:rPr>
                <w:rFonts w:cs="Calibri"/>
                <w:sz w:val="22"/>
                <w:szCs w:val="22"/>
                <w:lang w:val="en-IN" w:eastAsia="en-IN"/>
              </w:rPr>
            </w:pPr>
            <w:r w:rsidRPr="00942C19">
              <w:rPr>
                <w:rFonts w:cs="Calibri"/>
                <w:sz w:val="22"/>
                <w:szCs w:val="22"/>
                <w:lang w:val="en-IN" w:eastAsia="en-IN"/>
              </w:rPr>
              <w:t>Consumer Contribution and Capital Assets Subsidy</w:t>
            </w:r>
          </w:p>
        </w:tc>
        <w:tc>
          <w:tcPr>
            <w:tcW w:w="417" w:type="pct"/>
            <w:shd w:val="clear" w:color="auto" w:fill="auto"/>
            <w:noWrap/>
            <w:vAlign w:val="center"/>
            <w:hideMark/>
          </w:tcPr>
          <w:p w:rsidR="007B4E42" w:rsidRPr="00942C19" w:rsidRDefault="007B4E42" w:rsidP="007E2592">
            <w:pPr>
              <w:spacing w:before="0" w:line="240" w:lineRule="auto"/>
              <w:contextualSpacing/>
              <w:jc w:val="center"/>
              <w:rPr>
                <w:rFonts w:cs="Calibri"/>
                <w:color w:val="000000"/>
                <w:sz w:val="22"/>
                <w:szCs w:val="22"/>
                <w:lang w:val="en-IN" w:eastAsia="en-IN"/>
              </w:rPr>
            </w:pPr>
            <w:r w:rsidRPr="00942C19">
              <w:rPr>
                <w:rFonts w:cs="Calibri"/>
                <w:color w:val="000000"/>
                <w:sz w:val="22"/>
                <w:szCs w:val="22"/>
                <w:lang w:val="en-IN" w:eastAsia="en-IN"/>
              </w:rPr>
              <w:t>B</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92.91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121.93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136.51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127.04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107.42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270.02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280.00 </w:t>
            </w:r>
          </w:p>
        </w:tc>
      </w:tr>
      <w:tr w:rsidR="007B4E42" w:rsidRPr="00942C19" w:rsidTr="007B4E42">
        <w:trPr>
          <w:trHeight w:val="300"/>
        </w:trPr>
        <w:tc>
          <w:tcPr>
            <w:tcW w:w="940" w:type="pct"/>
            <w:shd w:val="clear" w:color="auto" w:fill="auto"/>
            <w:vAlign w:val="center"/>
            <w:hideMark/>
          </w:tcPr>
          <w:p w:rsidR="007B4E42" w:rsidRPr="00942C19" w:rsidRDefault="007B4E42" w:rsidP="007E2592">
            <w:pPr>
              <w:spacing w:before="0" w:line="240" w:lineRule="auto"/>
              <w:contextualSpacing/>
              <w:jc w:val="left"/>
              <w:rPr>
                <w:rFonts w:cs="Calibri"/>
                <w:b/>
                <w:bCs/>
                <w:sz w:val="22"/>
                <w:szCs w:val="22"/>
                <w:lang w:val="en-IN" w:eastAsia="en-IN"/>
              </w:rPr>
            </w:pPr>
            <w:r w:rsidRPr="00942C19">
              <w:rPr>
                <w:rFonts w:cs="Calibri"/>
                <w:b/>
                <w:bCs/>
                <w:sz w:val="22"/>
                <w:szCs w:val="22"/>
                <w:lang w:val="en-IN" w:eastAsia="en-IN"/>
              </w:rPr>
              <w:t>Total</w:t>
            </w:r>
          </w:p>
        </w:tc>
        <w:tc>
          <w:tcPr>
            <w:tcW w:w="417" w:type="pct"/>
            <w:shd w:val="clear" w:color="auto" w:fill="auto"/>
            <w:noWrap/>
            <w:vAlign w:val="center"/>
            <w:hideMark/>
          </w:tcPr>
          <w:p w:rsidR="007B4E42" w:rsidRPr="00942C19" w:rsidRDefault="007B4E42" w:rsidP="007E2592">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C = A- B</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b/>
                <w:bCs/>
                <w:color w:val="000000"/>
                <w:sz w:val="22"/>
                <w:szCs w:val="22"/>
                <w:lang w:val="en-IN" w:eastAsia="en-IN"/>
              </w:rPr>
            </w:pPr>
            <w:r w:rsidRPr="00942C19">
              <w:rPr>
                <w:rFonts w:cs="Calibri"/>
                <w:b/>
                <w:bCs/>
                <w:color w:val="000000"/>
                <w:sz w:val="22"/>
                <w:szCs w:val="22"/>
              </w:rPr>
              <w:t xml:space="preserve">197.12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b/>
                <w:bCs/>
                <w:color w:val="000000"/>
                <w:sz w:val="22"/>
                <w:szCs w:val="22"/>
                <w:lang w:val="en-IN" w:eastAsia="en-IN"/>
              </w:rPr>
            </w:pPr>
            <w:r w:rsidRPr="00942C19">
              <w:rPr>
                <w:rFonts w:cs="Calibri"/>
                <w:b/>
                <w:bCs/>
                <w:color w:val="000000"/>
                <w:sz w:val="22"/>
                <w:szCs w:val="22"/>
              </w:rPr>
              <w:t xml:space="preserve">275.09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b/>
                <w:bCs/>
                <w:color w:val="000000"/>
                <w:sz w:val="22"/>
                <w:szCs w:val="22"/>
                <w:lang w:val="en-IN" w:eastAsia="en-IN"/>
              </w:rPr>
            </w:pPr>
            <w:r w:rsidRPr="00942C19">
              <w:rPr>
                <w:rFonts w:cs="Calibri"/>
                <w:b/>
                <w:bCs/>
                <w:color w:val="000000"/>
                <w:sz w:val="22"/>
                <w:szCs w:val="22"/>
              </w:rPr>
              <w:t xml:space="preserve">340.92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b/>
                <w:bCs/>
                <w:color w:val="000000"/>
                <w:sz w:val="22"/>
                <w:szCs w:val="22"/>
                <w:lang w:val="en-IN" w:eastAsia="en-IN"/>
              </w:rPr>
            </w:pPr>
            <w:r w:rsidRPr="00942C19">
              <w:rPr>
                <w:rFonts w:cs="Calibri"/>
                <w:b/>
                <w:bCs/>
                <w:color w:val="000000"/>
                <w:sz w:val="22"/>
                <w:szCs w:val="22"/>
              </w:rPr>
              <w:t xml:space="preserve">513.14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b/>
                <w:bCs/>
                <w:color w:val="000000"/>
                <w:sz w:val="22"/>
                <w:szCs w:val="22"/>
                <w:lang w:val="en-IN" w:eastAsia="en-IN"/>
              </w:rPr>
            </w:pPr>
            <w:r w:rsidRPr="00942C19">
              <w:rPr>
                <w:rFonts w:cs="Calibri"/>
                <w:b/>
                <w:bCs/>
                <w:color w:val="000000"/>
                <w:sz w:val="22"/>
                <w:szCs w:val="22"/>
              </w:rPr>
              <w:t xml:space="preserve">921.11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b/>
                <w:bCs/>
                <w:color w:val="000000"/>
                <w:sz w:val="22"/>
                <w:szCs w:val="22"/>
                <w:lang w:val="en-IN" w:eastAsia="en-IN"/>
              </w:rPr>
            </w:pPr>
            <w:r w:rsidRPr="00942C19">
              <w:rPr>
                <w:rFonts w:cs="Calibri"/>
                <w:b/>
                <w:bCs/>
                <w:color w:val="000000"/>
                <w:sz w:val="22"/>
                <w:szCs w:val="22"/>
              </w:rPr>
              <w:t xml:space="preserve">260.68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b/>
                <w:bCs/>
                <w:color w:val="000000"/>
                <w:sz w:val="22"/>
                <w:szCs w:val="22"/>
                <w:lang w:val="en-IN" w:eastAsia="en-IN"/>
              </w:rPr>
            </w:pPr>
            <w:r w:rsidRPr="00942C19">
              <w:rPr>
                <w:rFonts w:cs="Calibri"/>
                <w:b/>
                <w:bCs/>
                <w:color w:val="000000"/>
                <w:sz w:val="22"/>
                <w:szCs w:val="22"/>
              </w:rPr>
              <w:t xml:space="preserve">116.01 </w:t>
            </w:r>
          </w:p>
        </w:tc>
      </w:tr>
      <w:tr w:rsidR="007B4E42" w:rsidRPr="00942C19" w:rsidTr="007B4E42">
        <w:trPr>
          <w:trHeight w:val="283"/>
        </w:trPr>
        <w:tc>
          <w:tcPr>
            <w:tcW w:w="940" w:type="pct"/>
            <w:shd w:val="clear" w:color="auto" w:fill="auto"/>
            <w:vAlign w:val="center"/>
            <w:hideMark/>
          </w:tcPr>
          <w:p w:rsidR="007B4E42" w:rsidRPr="00942C19" w:rsidRDefault="007B4E42" w:rsidP="007E2592">
            <w:pPr>
              <w:spacing w:before="0" w:line="240" w:lineRule="auto"/>
              <w:contextualSpacing/>
              <w:jc w:val="left"/>
              <w:rPr>
                <w:rFonts w:cs="Calibri"/>
                <w:sz w:val="22"/>
                <w:szCs w:val="22"/>
                <w:lang w:val="en-IN" w:eastAsia="en-IN"/>
              </w:rPr>
            </w:pPr>
            <w:r w:rsidRPr="00942C19">
              <w:rPr>
                <w:rFonts w:cs="Calibri"/>
                <w:sz w:val="22"/>
                <w:szCs w:val="22"/>
                <w:lang w:val="en-IN" w:eastAsia="en-IN"/>
              </w:rPr>
              <w:t>Investment funded by debt and equity</w:t>
            </w:r>
          </w:p>
        </w:tc>
        <w:tc>
          <w:tcPr>
            <w:tcW w:w="417" w:type="pct"/>
            <w:shd w:val="clear" w:color="auto" w:fill="auto"/>
            <w:noWrap/>
            <w:vAlign w:val="center"/>
            <w:hideMark/>
          </w:tcPr>
          <w:p w:rsidR="007B4E42" w:rsidRPr="00942C19" w:rsidRDefault="007B4E42" w:rsidP="007E2592">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color w:val="000000"/>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color w:val="000000"/>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color w:val="000000"/>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color w:val="000000"/>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color w:val="000000"/>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color w:val="000000"/>
                <w:sz w:val="22"/>
                <w:szCs w:val="22"/>
                <w:lang w:val="en-IN" w:eastAsia="en-IN"/>
              </w:rPr>
            </w:pPr>
          </w:p>
        </w:tc>
        <w:tc>
          <w:tcPr>
            <w:tcW w:w="520" w:type="pct"/>
            <w:shd w:val="clear" w:color="auto" w:fill="auto"/>
            <w:noWrap/>
            <w:vAlign w:val="center"/>
            <w:hideMark/>
          </w:tcPr>
          <w:p w:rsidR="00155FB3" w:rsidRPr="00942C19" w:rsidRDefault="00155FB3" w:rsidP="00155FB3">
            <w:pPr>
              <w:spacing w:before="0" w:line="240" w:lineRule="auto"/>
              <w:contextualSpacing/>
              <w:jc w:val="right"/>
              <w:rPr>
                <w:rFonts w:cs="Calibri"/>
                <w:color w:val="000000"/>
                <w:sz w:val="22"/>
                <w:szCs w:val="22"/>
                <w:lang w:val="en-IN" w:eastAsia="en-IN"/>
              </w:rPr>
            </w:pPr>
          </w:p>
        </w:tc>
      </w:tr>
      <w:tr w:rsidR="007B4E42" w:rsidRPr="00942C19" w:rsidTr="007B4E42">
        <w:trPr>
          <w:trHeight w:val="300"/>
        </w:trPr>
        <w:tc>
          <w:tcPr>
            <w:tcW w:w="940" w:type="pct"/>
            <w:shd w:val="clear" w:color="auto" w:fill="auto"/>
            <w:vAlign w:val="center"/>
            <w:hideMark/>
          </w:tcPr>
          <w:p w:rsidR="007B4E42" w:rsidRPr="00942C19" w:rsidRDefault="007B4E42" w:rsidP="007E2592">
            <w:pPr>
              <w:spacing w:before="0" w:line="240" w:lineRule="auto"/>
              <w:contextualSpacing/>
              <w:jc w:val="left"/>
              <w:rPr>
                <w:rFonts w:cs="Calibri"/>
                <w:sz w:val="22"/>
                <w:szCs w:val="22"/>
                <w:lang w:val="en-IN" w:eastAsia="en-IN"/>
              </w:rPr>
            </w:pPr>
            <w:r w:rsidRPr="00942C19">
              <w:rPr>
                <w:rFonts w:cs="Calibri"/>
                <w:sz w:val="22"/>
                <w:szCs w:val="22"/>
                <w:lang w:val="en-IN" w:eastAsia="en-IN"/>
              </w:rPr>
              <w:t xml:space="preserve">Debt Funded </w:t>
            </w:r>
          </w:p>
        </w:tc>
        <w:tc>
          <w:tcPr>
            <w:tcW w:w="417" w:type="pct"/>
            <w:shd w:val="clear" w:color="auto" w:fill="auto"/>
            <w:noWrap/>
            <w:vAlign w:val="center"/>
            <w:hideMark/>
          </w:tcPr>
          <w:p w:rsidR="007B4E42" w:rsidRPr="00942C19" w:rsidRDefault="007B4E42" w:rsidP="007E2592">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70%</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137.98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192.57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238.64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359.20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644.78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182.48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81.20 </w:t>
            </w:r>
          </w:p>
        </w:tc>
      </w:tr>
      <w:tr w:rsidR="007B4E42" w:rsidRPr="00942C19" w:rsidTr="007B4E42">
        <w:trPr>
          <w:trHeight w:val="300"/>
        </w:trPr>
        <w:tc>
          <w:tcPr>
            <w:tcW w:w="940" w:type="pct"/>
            <w:shd w:val="clear" w:color="auto" w:fill="auto"/>
            <w:vAlign w:val="center"/>
            <w:hideMark/>
          </w:tcPr>
          <w:p w:rsidR="007B4E42" w:rsidRPr="00942C19" w:rsidRDefault="007B4E42" w:rsidP="007E2592">
            <w:pPr>
              <w:spacing w:before="0" w:line="240" w:lineRule="auto"/>
              <w:contextualSpacing/>
              <w:jc w:val="left"/>
              <w:rPr>
                <w:rFonts w:cs="Calibri"/>
                <w:sz w:val="22"/>
                <w:szCs w:val="22"/>
                <w:lang w:val="en-IN" w:eastAsia="en-IN"/>
              </w:rPr>
            </w:pPr>
            <w:r w:rsidRPr="00942C19">
              <w:rPr>
                <w:rFonts w:cs="Calibri"/>
                <w:sz w:val="22"/>
                <w:szCs w:val="22"/>
                <w:lang w:val="en-IN" w:eastAsia="en-IN"/>
              </w:rPr>
              <w:t>Equity Funded</w:t>
            </w:r>
          </w:p>
        </w:tc>
        <w:tc>
          <w:tcPr>
            <w:tcW w:w="417" w:type="pct"/>
            <w:shd w:val="clear" w:color="auto" w:fill="auto"/>
            <w:noWrap/>
            <w:vAlign w:val="center"/>
            <w:hideMark/>
          </w:tcPr>
          <w:p w:rsidR="007B4E42" w:rsidRPr="00942C19" w:rsidRDefault="007B4E42" w:rsidP="007E2592">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30%</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59.13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82.53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102.28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153.94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276.33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78.20 </w:t>
            </w:r>
          </w:p>
        </w:tc>
        <w:tc>
          <w:tcPr>
            <w:tcW w:w="520" w:type="pct"/>
            <w:shd w:val="clear" w:color="auto" w:fill="auto"/>
            <w:noWrap/>
            <w:vAlign w:val="center"/>
            <w:hideMark/>
          </w:tcPr>
          <w:p w:rsidR="00155FB3" w:rsidRPr="00942C19" w:rsidRDefault="007B4E42" w:rsidP="00155FB3">
            <w:pPr>
              <w:spacing w:before="0" w:line="240" w:lineRule="auto"/>
              <w:contextualSpacing/>
              <w:jc w:val="right"/>
              <w:rPr>
                <w:rFonts w:cs="Calibri"/>
                <w:color w:val="000000"/>
                <w:sz w:val="22"/>
                <w:szCs w:val="22"/>
                <w:lang w:val="en-IN" w:eastAsia="en-IN"/>
              </w:rPr>
            </w:pPr>
            <w:r w:rsidRPr="00942C19">
              <w:rPr>
                <w:rFonts w:cs="Calibri"/>
                <w:color w:val="000000"/>
                <w:sz w:val="22"/>
                <w:szCs w:val="22"/>
              </w:rPr>
              <w:t xml:space="preserve">34.80 </w:t>
            </w:r>
          </w:p>
        </w:tc>
      </w:tr>
    </w:tbl>
    <w:p w:rsidR="000F3819" w:rsidRPr="00942C19" w:rsidRDefault="000F3819" w:rsidP="00111E35">
      <w:pPr>
        <w:pStyle w:val="Heading3"/>
        <w:numPr>
          <w:ilvl w:val="0"/>
          <w:numId w:val="0"/>
        </w:numPr>
        <w:spacing w:before="0"/>
        <w:sectPr w:rsidR="000F3819" w:rsidRPr="00942C19" w:rsidSect="000F3819">
          <w:headerReference w:type="default" r:id="rId31"/>
          <w:footerReference w:type="default" r:id="rId32"/>
          <w:pgSz w:w="16834" w:h="11909" w:orient="landscape"/>
          <w:pgMar w:top="1797" w:right="1440" w:bottom="1440" w:left="1440" w:header="1009" w:footer="1009" w:gutter="0"/>
          <w:cols w:space="720"/>
        </w:sectPr>
      </w:pPr>
    </w:p>
    <w:p w:rsidR="00222C32" w:rsidRPr="00942C19" w:rsidRDefault="00A35D55" w:rsidP="00A926B1">
      <w:pPr>
        <w:pStyle w:val="Heading3"/>
        <w:numPr>
          <w:ilvl w:val="2"/>
          <w:numId w:val="1"/>
        </w:numPr>
        <w:spacing w:before="0"/>
        <w:rPr>
          <w:szCs w:val="24"/>
        </w:rPr>
      </w:pPr>
      <w:r w:rsidRPr="00942C19">
        <w:t xml:space="preserve">The </w:t>
      </w:r>
      <w:r w:rsidR="00785E17" w:rsidRPr="00942C19">
        <w:t xml:space="preserve">Commission approves consumer </w:t>
      </w:r>
      <w:r w:rsidR="00785E17" w:rsidRPr="00942C19">
        <w:rPr>
          <w:rFonts w:cs="Calibri"/>
        </w:rPr>
        <w:t>contributions</w:t>
      </w:r>
      <w:r w:rsidR="00785E17" w:rsidRPr="00942C19">
        <w:t xml:space="preserve">, capital subsidies and grants to the tune of Rs. </w:t>
      </w:r>
      <w:r w:rsidR="0084795B" w:rsidRPr="00942C19">
        <w:t>280.00</w:t>
      </w:r>
      <w:r w:rsidR="00785E17" w:rsidRPr="00942C19">
        <w:t xml:space="preserve"> crores in FY 2013-14. Thus, balance Rs. </w:t>
      </w:r>
      <w:r w:rsidR="0084795B" w:rsidRPr="00942C19">
        <w:t>116.01</w:t>
      </w:r>
      <w:r w:rsidR="00785E17" w:rsidRPr="00942C19">
        <w:t xml:space="preserve"> crores have been considered to be funded through debt and equity. Considering a debt equity ratio of 70:30, Rs. </w:t>
      </w:r>
      <w:r w:rsidR="0084795B" w:rsidRPr="00942C19">
        <w:t>81.20</w:t>
      </w:r>
      <w:r w:rsidR="00785E17" w:rsidRPr="00942C19">
        <w:t xml:space="preserve"> crores or 70% of the capital investment is approved to be funded through debt and balance 30% equivalent to Rs. </w:t>
      </w:r>
      <w:r w:rsidR="0084795B" w:rsidRPr="00942C19">
        <w:t>34.80</w:t>
      </w:r>
      <w:r w:rsidR="00785E17" w:rsidRPr="00942C19">
        <w:t xml:space="preserve"> crores through equity.</w:t>
      </w:r>
    </w:p>
    <w:p w:rsidR="00222C32" w:rsidRPr="00942C19" w:rsidRDefault="00222C32" w:rsidP="00222C32">
      <w:pPr>
        <w:pStyle w:val="Heading3"/>
        <w:numPr>
          <w:ilvl w:val="0"/>
          <w:numId w:val="0"/>
        </w:numPr>
        <w:tabs>
          <w:tab w:val="clear" w:pos="720"/>
          <w:tab w:val="left" w:pos="851"/>
        </w:tabs>
        <w:ind w:left="720" w:hanging="720"/>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703" w:name="_Toc357714407"/>
      <w:r w:rsidRPr="00942C19">
        <w:t>DEPRECIATION EXPENSE</w:t>
      </w:r>
      <w:bookmarkEnd w:id="694"/>
      <w:bookmarkEnd w:id="703"/>
    </w:p>
    <w:p w:rsidR="00222C32" w:rsidRPr="00942C19" w:rsidRDefault="00222C32" w:rsidP="00222C32">
      <w:pPr>
        <w:tabs>
          <w:tab w:val="left" w:pos="360"/>
        </w:tabs>
      </w:pPr>
    </w:p>
    <w:p w:rsidR="00222C32" w:rsidRPr="00942C19" w:rsidRDefault="00222C32" w:rsidP="00222C32">
      <w:pPr>
        <w:pStyle w:val="Heading3"/>
        <w:numPr>
          <w:ilvl w:val="2"/>
          <w:numId w:val="1"/>
        </w:numPr>
        <w:spacing w:before="0"/>
      </w:pPr>
      <w:r w:rsidRPr="00942C19">
        <w:t xml:space="preserve">The Commission in its Distribution Tariff Regulations has specified the methodology for the computation of depreciation. </w:t>
      </w:r>
    </w:p>
    <w:p w:rsidR="00222C32" w:rsidRPr="00942C19" w:rsidRDefault="00222C32" w:rsidP="00222C32">
      <w:pPr>
        <w:pStyle w:val="Heading3"/>
        <w:numPr>
          <w:ilvl w:val="0"/>
          <w:numId w:val="0"/>
        </w:numPr>
        <w:spacing w:before="0"/>
        <w:ind w:left="720"/>
      </w:pPr>
    </w:p>
    <w:p w:rsidR="00222C32" w:rsidRPr="00942C19" w:rsidRDefault="00222C32" w:rsidP="00222C32">
      <w:pPr>
        <w:pStyle w:val="Heading3"/>
        <w:numPr>
          <w:ilvl w:val="2"/>
          <w:numId w:val="1"/>
        </w:numPr>
        <w:spacing w:before="0"/>
      </w:pPr>
      <w:r w:rsidRPr="00942C19">
        <w:t>Annexure B to the Distribution Tariff Regulations provide</w:t>
      </w:r>
      <w:r w:rsidR="000D3A3C" w:rsidRPr="00942C19">
        <w:t>s</w:t>
      </w:r>
      <w:r w:rsidRPr="00942C19">
        <w:t xml:space="preserve"> the depreciation rate to be charged on each class of asset. Due to non-maintenance of Fixed Asset Registers by the </w:t>
      </w:r>
      <w:r w:rsidR="009A3804" w:rsidRPr="00942C19">
        <w:t>Licensee</w:t>
      </w:r>
      <w:r w:rsidRPr="00942C19">
        <w:t xml:space="preserve">, the </w:t>
      </w:r>
      <w:r w:rsidR="000D3A3C" w:rsidRPr="00942C19">
        <w:t>Commission</w:t>
      </w:r>
      <w:r w:rsidRPr="00942C19">
        <w:t xml:space="preserve"> has computed deprecation </w:t>
      </w:r>
      <w:r w:rsidR="00CA4184" w:rsidRPr="00942C19">
        <w:t xml:space="preserve">for FY 2013-14 </w:t>
      </w:r>
      <w:r w:rsidRPr="00942C19">
        <w:t>at a weighted average rate of 7.84%.</w:t>
      </w:r>
    </w:p>
    <w:p w:rsidR="00222C32" w:rsidRPr="00942C19" w:rsidRDefault="00222C32" w:rsidP="00222C32">
      <w:pPr>
        <w:pStyle w:val="ListParagraph"/>
      </w:pPr>
    </w:p>
    <w:p w:rsidR="00222C32" w:rsidRPr="00942C19" w:rsidRDefault="00222C32" w:rsidP="00222C32">
      <w:pPr>
        <w:pStyle w:val="Heading3"/>
        <w:numPr>
          <w:ilvl w:val="2"/>
          <w:numId w:val="1"/>
        </w:numPr>
        <w:spacing w:before="0"/>
        <w:rPr>
          <w:szCs w:val="24"/>
        </w:rPr>
      </w:pPr>
      <w:r w:rsidRPr="00942C19">
        <w:t xml:space="preserve">For the purpose of computing depreciation, the Commission has considered the GFA base as per audited accounts </w:t>
      </w:r>
      <w:r w:rsidR="00CA4184" w:rsidRPr="00942C19">
        <w:t xml:space="preserve">up to </w:t>
      </w:r>
      <w:r w:rsidRPr="00942C19">
        <w:t xml:space="preserve">FY 2010-11 and have subsequently added the yearly capitalisations for FY 2011-12, 2012-13 and 2013-14 considered in </w:t>
      </w:r>
      <w:r w:rsidR="004D2506" w:rsidRPr="00942C19">
        <w:t>T</w:t>
      </w:r>
      <w:r w:rsidR="000D3A3C" w:rsidRPr="00942C19">
        <w:t>able 4-43</w:t>
      </w:r>
      <w:r w:rsidR="00C048C3" w:rsidRPr="00942C19">
        <w:t xml:space="preserve"> above</w:t>
      </w:r>
      <w:r w:rsidRPr="00942C19">
        <w:t>.</w:t>
      </w:r>
    </w:p>
    <w:p w:rsidR="00222C32" w:rsidRPr="00942C19" w:rsidRDefault="00222C32" w:rsidP="00A926B1">
      <w:pPr>
        <w:pStyle w:val="Heading3"/>
        <w:numPr>
          <w:ilvl w:val="0"/>
          <w:numId w:val="0"/>
        </w:numPr>
        <w:spacing w:before="0"/>
        <w:ind w:left="720"/>
        <w:rPr>
          <w:bCs w:val="0"/>
        </w:rPr>
      </w:pPr>
    </w:p>
    <w:p w:rsidR="00222C32" w:rsidRPr="00942C19" w:rsidRDefault="00222C32" w:rsidP="00222C32">
      <w:pPr>
        <w:pStyle w:val="Heading3"/>
        <w:numPr>
          <w:ilvl w:val="2"/>
          <w:numId w:val="1"/>
        </w:numPr>
        <w:spacing w:before="0"/>
        <w:rPr>
          <w:szCs w:val="24"/>
        </w:rPr>
      </w:pPr>
      <w:r w:rsidRPr="00942C19">
        <w:rPr>
          <w:szCs w:val="24"/>
        </w:rPr>
        <w:t xml:space="preserve">The </w:t>
      </w:r>
      <w:r w:rsidRPr="00942C19">
        <w:t>Commission</w:t>
      </w:r>
      <w:r w:rsidRPr="00942C19">
        <w:rPr>
          <w:szCs w:val="24"/>
        </w:rPr>
        <w:t xml:space="preserve"> has computed the depreciation only on the depreciable asset base and have excluded the non-depreciable assets such as land, land rights, etc.</w:t>
      </w:r>
    </w:p>
    <w:p w:rsidR="00222C32" w:rsidRPr="00942C19" w:rsidRDefault="00222C32" w:rsidP="00222C32">
      <w:pPr>
        <w:tabs>
          <w:tab w:val="left" w:pos="720"/>
        </w:tabs>
        <w:ind w:left="720"/>
        <w:outlineLvl w:val="2"/>
        <w:rPr>
          <w:rFonts w:cs="Arial"/>
          <w:bCs/>
        </w:rPr>
      </w:pPr>
    </w:p>
    <w:p w:rsidR="00222C32" w:rsidRPr="00942C19" w:rsidRDefault="00222C32" w:rsidP="00222C32">
      <w:pPr>
        <w:pStyle w:val="Heading3"/>
        <w:numPr>
          <w:ilvl w:val="2"/>
          <w:numId w:val="1"/>
        </w:numPr>
        <w:spacing w:before="0"/>
      </w:pPr>
      <w:r w:rsidRPr="00942C19">
        <w:t>Considering the philosophy and total capitalization approved by the Commission for FY 2013-14 as above, the GFA base approved by the Commission is given in the table below:</w:t>
      </w:r>
    </w:p>
    <w:p w:rsidR="00222C32" w:rsidRPr="00942C19" w:rsidRDefault="00785E17" w:rsidP="00222C32">
      <w:pPr>
        <w:pStyle w:val="Caption"/>
        <w:keepNext/>
        <w:jc w:val="center"/>
      </w:pPr>
      <w:bookmarkStart w:id="704" w:name="_Ref325536075"/>
      <w:bookmarkStart w:id="705" w:name="_Toc338310712"/>
      <w:bookmarkStart w:id="706" w:name="_Toc338419542"/>
      <w:bookmarkStart w:id="707" w:name="_Toc357719740"/>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46</w:t>
      </w:r>
      <w:r w:rsidR="000C642E" w:rsidRPr="00942C19">
        <w:fldChar w:fldCharType="end"/>
      </w:r>
      <w:bookmarkEnd w:id="704"/>
      <w:r w:rsidRPr="00942C19">
        <w:t>: GROSS FIXED ASSETS FOR FY 2013-14 (Rs. Crore</w:t>
      </w:r>
      <w:r w:rsidR="008727B1" w:rsidRPr="00942C19">
        <w:t>s</w:t>
      </w:r>
      <w:r w:rsidRPr="00942C19">
        <w:t>)</w:t>
      </w:r>
      <w:bookmarkEnd w:id="705"/>
      <w:bookmarkEnd w:id="706"/>
      <w:bookmarkEnd w:id="707"/>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32"/>
        <w:gridCol w:w="1611"/>
        <w:gridCol w:w="1758"/>
      </w:tblGrid>
      <w:tr w:rsidR="00EA4E19" w:rsidRPr="00942C19" w:rsidTr="00C048C3">
        <w:trPr>
          <w:trHeight w:val="645"/>
          <w:tblHeader/>
          <w:jc w:val="center"/>
        </w:trPr>
        <w:tc>
          <w:tcPr>
            <w:tcW w:w="0" w:type="auto"/>
            <w:shd w:val="clear" w:color="000000" w:fill="DBE5F1"/>
            <w:vAlign w:val="center"/>
            <w:hideMark/>
          </w:tcPr>
          <w:p w:rsidR="00EA4E19" w:rsidRPr="00942C19" w:rsidRDefault="00EA4E19" w:rsidP="00EA4E19">
            <w:pPr>
              <w:spacing w:before="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1611" w:type="dxa"/>
            <w:shd w:val="clear" w:color="000000" w:fill="DBE5F1"/>
            <w:noWrap/>
            <w:vAlign w:val="center"/>
            <w:hideMark/>
          </w:tcPr>
          <w:p w:rsidR="00EA4E19" w:rsidRPr="00942C19" w:rsidRDefault="00EA4E19" w:rsidP="00EA4E19">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1758" w:type="dxa"/>
            <w:shd w:val="clear" w:color="000000" w:fill="DBE5F1"/>
            <w:vAlign w:val="center"/>
            <w:hideMark/>
          </w:tcPr>
          <w:p w:rsidR="00A44CA7" w:rsidRPr="00942C19" w:rsidRDefault="00EA4E19">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Depreciation Rate</w:t>
            </w:r>
          </w:p>
        </w:tc>
        <w:tc>
          <w:tcPr>
            <w:tcW w:w="1611" w:type="dxa"/>
            <w:shd w:val="clear" w:color="auto" w:fill="auto"/>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A</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7.84%</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Opening GFA as on 1st April (Depreciable)</w:t>
            </w:r>
          </w:p>
        </w:tc>
        <w:tc>
          <w:tcPr>
            <w:tcW w:w="1611" w:type="dxa"/>
            <w:shd w:val="clear" w:color="auto" w:fill="auto"/>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B</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4,323.96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Opening GFA as on 1st April (Non-Depreciable)</w:t>
            </w:r>
          </w:p>
        </w:tc>
        <w:tc>
          <w:tcPr>
            <w:tcW w:w="1611" w:type="dxa"/>
            <w:shd w:val="clear" w:color="auto" w:fill="auto"/>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C</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0.03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Total Opening GFA as on 1st April</w:t>
            </w:r>
          </w:p>
        </w:tc>
        <w:tc>
          <w:tcPr>
            <w:tcW w:w="1611" w:type="dxa"/>
            <w:shd w:val="clear" w:color="auto" w:fill="auto"/>
            <w:hideMark/>
          </w:tcPr>
          <w:p w:rsidR="007B4E42" w:rsidRPr="00942C19" w:rsidRDefault="007B4E42" w:rsidP="00EA4E19">
            <w:pPr>
              <w:spacing w:before="0" w:line="240" w:lineRule="auto"/>
              <w:jc w:val="center"/>
              <w:rPr>
                <w:rFonts w:cs="Calibri"/>
                <w:b/>
                <w:bCs/>
                <w:sz w:val="22"/>
                <w:szCs w:val="22"/>
                <w:lang w:val="en-IN" w:eastAsia="en-IN"/>
              </w:rPr>
            </w:pPr>
            <w:r w:rsidRPr="00942C19">
              <w:rPr>
                <w:rFonts w:cs="Calibri"/>
                <w:b/>
                <w:bCs/>
                <w:sz w:val="22"/>
                <w:szCs w:val="22"/>
                <w:lang w:val="en-IN" w:eastAsia="en-IN"/>
              </w:rPr>
              <w:t>D=B+C</w:t>
            </w:r>
          </w:p>
        </w:tc>
        <w:tc>
          <w:tcPr>
            <w:tcW w:w="1758"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4,323.99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Addition to GFA during the year (Depreciable)</w:t>
            </w:r>
          </w:p>
        </w:tc>
        <w:tc>
          <w:tcPr>
            <w:tcW w:w="1611" w:type="dxa"/>
            <w:shd w:val="clear" w:color="auto" w:fill="auto"/>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D</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759.79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Addition to GFA during the year (Non Depreciable)</w:t>
            </w:r>
          </w:p>
        </w:tc>
        <w:tc>
          <w:tcPr>
            <w:tcW w:w="1611" w:type="dxa"/>
            <w:shd w:val="clear" w:color="auto" w:fill="auto"/>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E</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Deduction from GFA during the year (Depreciable)</w:t>
            </w:r>
          </w:p>
        </w:tc>
        <w:tc>
          <w:tcPr>
            <w:tcW w:w="1611" w:type="dxa"/>
            <w:shd w:val="clear" w:color="auto" w:fill="auto"/>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F</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Closing GFA as on 31st March (Depreciable)</w:t>
            </w:r>
          </w:p>
        </w:tc>
        <w:tc>
          <w:tcPr>
            <w:tcW w:w="1611" w:type="dxa"/>
            <w:shd w:val="clear" w:color="auto" w:fill="auto"/>
            <w:hideMark/>
          </w:tcPr>
          <w:p w:rsidR="007B4E42" w:rsidRPr="00942C19" w:rsidRDefault="007B4E42" w:rsidP="00EA4E19">
            <w:pPr>
              <w:spacing w:before="0" w:line="240" w:lineRule="auto"/>
              <w:jc w:val="center"/>
              <w:rPr>
                <w:rFonts w:cs="Calibri"/>
                <w:bCs/>
                <w:sz w:val="22"/>
                <w:szCs w:val="22"/>
                <w:lang w:val="en-IN" w:eastAsia="en-IN"/>
              </w:rPr>
            </w:pPr>
            <w:r w:rsidRPr="00942C19">
              <w:rPr>
                <w:rFonts w:cs="Calibri"/>
                <w:bCs/>
                <w:sz w:val="22"/>
                <w:szCs w:val="22"/>
                <w:lang w:val="en-IN" w:eastAsia="en-IN"/>
              </w:rPr>
              <w:t>G = B + D - F</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5,083.75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Closing GFA as on 31st March (Non Depreciable)</w:t>
            </w:r>
          </w:p>
        </w:tc>
        <w:tc>
          <w:tcPr>
            <w:tcW w:w="1611" w:type="dxa"/>
            <w:shd w:val="clear" w:color="auto" w:fill="auto"/>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H = C+E</w:t>
            </w:r>
          </w:p>
        </w:tc>
        <w:tc>
          <w:tcPr>
            <w:tcW w:w="1758"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0.03 </w:t>
            </w:r>
          </w:p>
        </w:tc>
      </w:tr>
      <w:tr w:rsidR="007B4E42" w:rsidRPr="00942C19" w:rsidTr="007B4E42">
        <w:trPr>
          <w:trHeight w:val="300"/>
          <w:jc w:val="center"/>
        </w:trPr>
        <w:tc>
          <w:tcPr>
            <w:tcW w:w="0" w:type="auto"/>
            <w:shd w:val="clear" w:color="auto" w:fill="auto"/>
            <w:hideMark/>
          </w:tcPr>
          <w:p w:rsidR="007B4E42" w:rsidRPr="00942C19" w:rsidRDefault="007B4E42" w:rsidP="00EA4E19">
            <w:pPr>
              <w:spacing w:before="0" w:line="240" w:lineRule="auto"/>
              <w:jc w:val="right"/>
              <w:rPr>
                <w:rFonts w:cs="Calibri"/>
                <w:b/>
                <w:bCs/>
                <w:sz w:val="22"/>
                <w:szCs w:val="22"/>
                <w:lang w:val="en-IN" w:eastAsia="en-IN"/>
              </w:rPr>
            </w:pPr>
            <w:r w:rsidRPr="00942C19">
              <w:rPr>
                <w:rFonts w:cs="Calibri"/>
                <w:b/>
                <w:bCs/>
                <w:sz w:val="22"/>
                <w:szCs w:val="22"/>
                <w:lang w:val="en-IN" w:eastAsia="en-IN"/>
              </w:rPr>
              <w:t>Total Closing GFA as on 31st March</w:t>
            </w:r>
          </w:p>
        </w:tc>
        <w:tc>
          <w:tcPr>
            <w:tcW w:w="1611" w:type="dxa"/>
            <w:shd w:val="clear" w:color="auto" w:fill="auto"/>
            <w:hideMark/>
          </w:tcPr>
          <w:p w:rsidR="007B4E42" w:rsidRPr="00942C19" w:rsidRDefault="007B4E42" w:rsidP="00EA4E19">
            <w:pPr>
              <w:spacing w:before="0" w:line="240" w:lineRule="auto"/>
              <w:jc w:val="center"/>
              <w:rPr>
                <w:rFonts w:cs="Calibri"/>
                <w:b/>
                <w:bCs/>
                <w:sz w:val="22"/>
                <w:szCs w:val="22"/>
                <w:lang w:val="en-IN" w:eastAsia="en-IN"/>
              </w:rPr>
            </w:pPr>
            <w:r w:rsidRPr="00942C19">
              <w:rPr>
                <w:rFonts w:cs="Calibri"/>
                <w:b/>
                <w:bCs/>
                <w:sz w:val="22"/>
                <w:szCs w:val="22"/>
                <w:lang w:val="en-IN" w:eastAsia="en-IN"/>
              </w:rPr>
              <w:t>I = G + H</w:t>
            </w:r>
          </w:p>
        </w:tc>
        <w:tc>
          <w:tcPr>
            <w:tcW w:w="1758"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5,083.78 </w:t>
            </w:r>
          </w:p>
        </w:tc>
      </w:tr>
    </w:tbl>
    <w:p w:rsidR="00222C32" w:rsidRPr="00942C19" w:rsidRDefault="00222C32" w:rsidP="00222C32">
      <w:pPr>
        <w:tabs>
          <w:tab w:val="left" w:pos="360"/>
        </w:tabs>
      </w:pPr>
    </w:p>
    <w:p w:rsidR="00222C32" w:rsidRPr="00942C19" w:rsidRDefault="00222C32" w:rsidP="00222C32">
      <w:pPr>
        <w:pStyle w:val="Heading3"/>
        <w:numPr>
          <w:ilvl w:val="2"/>
          <w:numId w:val="1"/>
        </w:numPr>
        <w:spacing w:before="0"/>
        <w:rPr>
          <w:szCs w:val="24"/>
        </w:rPr>
      </w:pPr>
      <w:r w:rsidRPr="00942C19">
        <w:t xml:space="preserve">The Commission has projected the depreciation on assets created out of consumer contributions, capital grants and subsidies for FY 2013-14 in the same ratio as per </w:t>
      </w:r>
      <w:r w:rsidRPr="00942C19">
        <w:rPr>
          <w:rFonts w:asciiTheme="minorHAnsi" w:eastAsiaTheme="minorHAnsi" w:hAnsiTheme="minorHAnsi" w:cstheme="minorHAnsi"/>
          <w:bCs w:val="0"/>
          <w:szCs w:val="24"/>
          <w:lang w:val="en-IN"/>
        </w:rPr>
        <w:t>provisional</w:t>
      </w:r>
      <w:r w:rsidRPr="00942C19">
        <w:t xml:space="preserve"> accounts of FY 2011-12. </w:t>
      </w:r>
      <w:r w:rsidR="00785E17" w:rsidRPr="00942C19">
        <w:rPr>
          <w:szCs w:val="24"/>
        </w:rPr>
        <w:t xml:space="preserve">The Commission has reduced the equivalent depreciation amounting to Rs. </w:t>
      </w:r>
      <w:r w:rsidR="00373CF3" w:rsidRPr="00942C19">
        <w:rPr>
          <w:szCs w:val="24"/>
        </w:rPr>
        <w:t>46.00</w:t>
      </w:r>
      <w:r w:rsidR="00785E17" w:rsidRPr="00942C19">
        <w:rPr>
          <w:szCs w:val="24"/>
        </w:rPr>
        <w:t xml:space="preserve"> </w:t>
      </w:r>
      <w:r w:rsidR="00112A2A" w:rsidRPr="00942C19">
        <w:rPr>
          <w:szCs w:val="24"/>
        </w:rPr>
        <w:t>c</w:t>
      </w:r>
      <w:r w:rsidR="00785E17" w:rsidRPr="00942C19">
        <w:rPr>
          <w:szCs w:val="24"/>
        </w:rPr>
        <w:t>rore</w:t>
      </w:r>
      <w:r w:rsidR="00112A2A" w:rsidRPr="00942C19">
        <w:rPr>
          <w:szCs w:val="24"/>
        </w:rPr>
        <w:t>s</w:t>
      </w:r>
      <w:r w:rsidR="00785E17" w:rsidRPr="00942C19">
        <w:rPr>
          <w:szCs w:val="24"/>
        </w:rPr>
        <w:t xml:space="preserve"> in respect of </w:t>
      </w:r>
      <w:r w:rsidR="00785E17" w:rsidRPr="00942C19">
        <w:t>depreciation on assets created out of consumer contributions, capital grants and subsidies</w:t>
      </w:r>
      <w:r w:rsidRPr="00942C19">
        <w:t xml:space="preserve">. </w:t>
      </w:r>
    </w:p>
    <w:p w:rsidR="00222C32" w:rsidRPr="00942C19" w:rsidRDefault="00222C32" w:rsidP="00222C32">
      <w:pPr>
        <w:tabs>
          <w:tab w:val="left" w:pos="360"/>
        </w:tabs>
      </w:pPr>
    </w:p>
    <w:p w:rsidR="00222C32" w:rsidRPr="00942C19" w:rsidRDefault="00222C32" w:rsidP="00222C32">
      <w:pPr>
        <w:pStyle w:val="Heading3"/>
        <w:numPr>
          <w:ilvl w:val="2"/>
          <w:numId w:val="1"/>
        </w:numPr>
        <w:spacing w:before="0"/>
      </w:pPr>
      <w:r w:rsidRPr="00942C19">
        <w:t xml:space="preserve">Regulation 4.5(9) </w:t>
      </w:r>
      <w:r w:rsidR="00C048C3" w:rsidRPr="00942C19">
        <w:t xml:space="preserve">of the Distribution Tariff Regulations </w:t>
      </w:r>
      <w:r w:rsidRPr="00942C19">
        <w:t>requires that “</w:t>
      </w:r>
      <w:r w:rsidRPr="00942C19">
        <w:rPr>
          <w:i/>
        </w:rPr>
        <w:t xml:space="preserve">the </w:t>
      </w:r>
      <w:r w:rsidR="009A3804" w:rsidRPr="00942C19">
        <w:rPr>
          <w:i/>
        </w:rPr>
        <w:t>Licensee</w:t>
      </w:r>
      <w:r w:rsidRPr="00942C19">
        <w:rPr>
          <w:i/>
        </w:rPr>
        <w:t xml:space="preserve"> will maintain asset registers at each operating circle/division that will capture all necessary details on the asset, including the cost incurred, date of Commissioning, location of asset, and all other technical details</w:t>
      </w:r>
      <w:r w:rsidRPr="00942C19">
        <w:t xml:space="preserve">”. </w:t>
      </w:r>
    </w:p>
    <w:p w:rsidR="00222C32" w:rsidRPr="00942C19" w:rsidRDefault="00222C32" w:rsidP="00222C32">
      <w:pPr>
        <w:tabs>
          <w:tab w:val="left" w:pos="360"/>
        </w:tabs>
      </w:pPr>
    </w:p>
    <w:p w:rsidR="00222C32" w:rsidRPr="00942C19" w:rsidRDefault="00222C32" w:rsidP="00222C32">
      <w:pPr>
        <w:pStyle w:val="Heading3"/>
        <w:numPr>
          <w:ilvl w:val="2"/>
          <w:numId w:val="1"/>
        </w:numPr>
        <w:spacing w:before="0"/>
      </w:pPr>
      <w:r w:rsidRPr="00942C19">
        <w:rPr>
          <w:bCs w:val="0"/>
        </w:rPr>
        <w:t xml:space="preserve">The Commission has repeatedly given several directions to the </w:t>
      </w:r>
      <w:r w:rsidR="009A3804" w:rsidRPr="00942C19">
        <w:rPr>
          <w:bCs w:val="0"/>
        </w:rPr>
        <w:t>Licensee</w:t>
      </w:r>
      <w:r w:rsidRPr="00942C19">
        <w:t xml:space="preserve"> to ensure that proper and detailed Fixed Assets Registers are maintained at the field offices. Further, the Hon’ble APTEL in Appeal No. 121 of 2010 &amp; I.A. No. 83 of 2011 has also reinforced Commission</w:t>
      </w:r>
      <w:r w:rsidR="00C048C3" w:rsidRPr="00942C19">
        <w:t>’s</w:t>
      </w:r>
      <w:r w:rsidRPr="00942C19">
        <w:t xml:space="preserve"> views and </w:t>
      </w:r>
      <w:r w:rsidR="00C048C3" w:rsidRPr="00942C19">
        <w:t xml:space="preserve">has </w:t>
      </w:r>
      <w:r w:rsidRPr="00942C19">
        <w:t xml:space="preserve">directed the </w:t>
      </w:r>
      <w:r w:rsidR="009A3804" w:rsidRPr="00942C19">
        <w:t>Licensee</w:t>
      </w:r>
      <w:r w:rsidRPr="00942C19">
        <w:t xml:space="preserve"> to comply with the regulation</w:t>
      </w:r>
      <w:r w:rsidR="00C048C3" w:rsidRPr="00942C19">
        <w:t>s</w:t>
      </w:r>
      <w:r w:rsidRPr="00942C19">
        <w:t xml:space="preserve"> and direction</w:t>
      </w:r>
      <w:r w:rsidR="00C048C3" w:rsidRPr="00942C19">
        <w:t>s</w:t>
      </w:r>
      <w:r w:rsidRPr="00942C19">
        <w:t xml:space="preserve"> issued by the Commission. </w:t>
      </w:r>
    </w:p>
    <w:p w:rsidR="00222C32" w:rsidRPr="00942C19" w:rsidRDefault="00222C32" w:rsidP="00222C32">
      <w:pPr>
        <w:tabs>
          <w:tab w:val="left" w:pos="360"/>
        </w:tabs>
      </w:pPr>
    </w:p>
    <w:p w:rsidR="00222C32" w:rsidRPr="00942C19" w:rsidRDefault="00222C32" w:rsidP="00222C32">
      <w:pPr>
        <w:pStyle w:val="Heading3"/>
        <w:numPr>
          <w:ilvl w:val="2"/>
          <w:numId w:val="1"/>
        </w:numPr>
        <w:spacing w:before="0"/>
        <w:rPr>
          <w:szCs w:val="24"/>
        </w:rPr>
      </w:pPr>
      <w:r w:rsidRPr="00942C19">
        <w:t xml:space="preserve">As a first step towards reprimanding the </w:t>
      </w:r>
      <w:r w:rsidR="009A3804" w:rsidRPr="00942C19">
        <w:t>Licensee</w:t>
      </w:r>
      <w:r w:rsidRPr="00942C19">
        <w:t xml:space="preserve"> over the issue of non-</w:t>
      </w:r>
      <w:r w:rsidR="00C048C3" w:rsidRPr="00942C19">
        <w:t xml:space="preserve">maintenance </w:t>
      </w:r>
      <w:r w:rsidRPr="00942C19">
        <w:t>of fixed asset registers, the Commission has withheld 20% of the allowable depreciation for FY 2013-14. The same would be released for recovery through tariff, upon submission of fixed asset registers up to the current year i.e., FY 2012-13</w:t>
      </w:r>
      <w:r w:rsidR="00906903" w:rsidRPr="00942C19">
        <w:t xml:space="preserve"> by 30</w:t>
      </w:r>
      <w:r w:rsidR="00906903" w:rsidRPr="00942C19">
        <w:rPr>
          <w:vertAlign w:val="superscript"/>
        </w:rPr>
        <w:t>th</w:t>
      </w:r>
      <w:r w:rsidR="00906903" w:rsidRPr="00942C19">
        <w:t xml:space="preserve"> November, 2013</w:t>
      </w:r>
      <w:r w:rsidRPr="00942C19">
        <w:t xml:space="preserve">. </w:t>
      </w:r>
    </w:p>
    <w:p w:rsidR="00222C32" w:rsidRPr="00942C19" w:rsidRDefault="00222C32" w:rsidP="00222C32">
      <w:pPr>
        <w:pStyle w:val="Heading3"/>
        <w:numPr>
          <w:ilvl w:val="0"/>
          <w:numId w:val="0"/>
        </w:numPr>
        <w:tabs>
          <w:tab w:val="clear" w:pos="720"/>
          <w:tab w:val="left" w:pos="851"/>
        </w:tabs>
        <w:ind w:left="851"/>
        <w:rPr>
          <w:szCs w:val="24"/>
        </w:rPr>
      </w:pPr>
    </w:p>
    <w:p w:rsidR="00222C32" w:rsidRPr="00942C19" w:rsidRDefault="00785E17" w:rsidP="00A926B1">
      <w:pPr>
        <w:pStyle w:val="Heading3"/>
        <w:numPr>
          <w:ilvl w:val="2"/>
          <w:numId w:val="1"/>
        </w:numPr>
        <w:spacing w:before="0"/>
        <w:ind w:hanging="862"/>
      </w:pPr>
      <w:r w:rsidRPr="00942C19">
        <w:t xml:space="preserve">Thus, the Commission has approved net depreciation expense of Rs. </w:t>
      </w:r>
      <w:r w:rsidR="00373CF3" w:rsidRPr="00942C19">
        <w:t>258.23</w:t>
      </w:r>
      <w:r w:rsidRPr="00942C19">
        <w:t xml:space="preserve"> </w:t>
      </w:r>
      <w:r w:rsidR="00112A2A" w:rsidRPr="00942C19">
        <w:t>c</w:t>
      </w:r>
      <w:r w:rsidRPr="00942C19">
        <w:t>rore</w:t>
      </w:r>
      <w:r w:rsidR="00112A2A" w:rsidRPr="00942C19">
        <w:t>s</w:t>
      </w:r>
      <w:r w:rsidRPr="00942C19">
        <w:t xml:space="preserve"> for FY 2013-14 as depicted in the table below</w:t>
      </w:r>
      <w:r w:rsidR="00222C32" w:rsidRPr="00942C19">
        <w:t>:</w:t>
      </w:r>
    </w:p>
    <w:p w:rsidR="00222C32" w:rsidRPr="00942C19" w:rsidRDefault="00785E17" w:rsidP="00222C32">
      <w:pPr>
        <w:pStyle w:val="Caption"/>
        <w:keepNext/>
        <w:jc w:val="center"/>
      </w:pPr>
      <w:bookmarkStart w:id="708" w:name="_Ref325536088"/>
      <w:bookmarkStart w:id="709" w:name="_Toc338310713"/>
      <w:bookmarkStart w:id="710" w:name="_Toc338419543"/>
      <w:bookmarkStart w:id="711" w:name="_Toc357719741"/>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47</w:t>
      </w:r>
      <w:r w:rsidR="000C642E" w:rsidRPr="00942C19">
        <w:fldChar w:fldCharType="end"/>
      </w:r>
      <w:bookmarkEnd w:id="708"/>
      <w:r w:rsidRPr="00942C19">
        <w:t xml:space="preserve">: </w:t>
      </w:r>
      <w:r w:rsidR="00C048C3" w:rsidRPr="00942C19">
        <w:t xml:space="preserve">APPROVED </w:t>
      </w:r>
      <w:r w:rsidRPr="00942C19">
        <w:t>DEPRECIATION FOR FY 2013-14 (Rs. Crore</w:t>
      </w:r>
      <w:r w:rsidR="008727B1" w:rsidRPr="00942C19">
        <w:t>s</w:t>
      </w:r>
      <w:r w:rsidRPr="00942C19">
        <w:t>)</w:t>
      </w:r>
      <w:bookmarkEnd w:id="709"/>
      <w:bookmarkEnd w:id="710"/>
      <w:bookmarkEnd w:id="711"/>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070"/>
        <w:gridCol w:w="1984"/>
        <w:gridCol w:w="1903"/>
      </w:tblGrid>
      <w:tr w:rsidR="00EA4E19" w:rsidRPr="00942C19" w:rsidTr="00C048C3">
        <w:trPr>
          <w:trHeight w:val="600"/>
          <w:tblHeader/>
          <w:jc w:val="center"/>
        </w:trPr>
        <w:tc>
          <w:tcPr>
            <w:tcW w:w="5070" w:type="dxa"/>
            <w:shd w:val="clear" w:color="000000" w:fill="DBE5F1"/>
            <w:vAlign w:val="center"/>
            <w:hideMark/>
          </w:tcPr>
          <w:p w:rsidR="00EA4E19" w:rsidRPr="00942C19" w:rsidRDefault="00EA4E19" w:rsidP="00EA4E19">
            <w:pPr>
              <w:spacing w:before="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1984" w:type="dxa"/>
            <w:shd w:val="clear" w:color="000000" w:fill="DBE5F1"/>
            <w:noWrap/>
            <w:vAlign w:val="center"/>
            <w:hideMark/>
          </w:tcPr>
          <w:p w:rsidR="00EA4E19" w:rsidRPr="00942C19" w:rsidRDefault="00EA4E19" w:rsidP="00EA4E19">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Derivation</w:t>
            </w:r>
          </w:p>
        </w:tc>
        <w:tc>
          <w:tcPr>
            <w:tcW w:w="1903" w:type="dxa"/>
            <w:shd w:val="clear" w:color="000000" w:fill="DBE5F1"/>
            <w:vAlign w:val="center"/>
            <w:hideMark/>
          </w:tcPr>
          <w:p w:rsidR="00A44CA7" w:rsidRPr="00942C19" w:rsidRDefault="00EA4E19">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7B4E42">
        <w:trPr>
          <w:trHeight w:val="300"/>
          <w:jc w:val="center"/>
        </w:trPr>
        <w:tc>
          <w:tcPr>
            <w:tcW w:w="5070" w:type="dxa"/>
            <w:shd w:val="clear" w:color="auto" w:fill="auto"/>
            <w:vAlign w:val="center"/>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Depreciation Rate</w:t>
            </w:r>
          </w:p>
        </w:tc>
        <w:tc>
          <w:tcPr>
            <w:tcW w:w="1984" w:type="dxa"/>
            <w:shd w:val="clear" w:color="auto" w:fill="auto"/>
            <w:vAlign w:val="center"/>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A</w:t>
            </w:r>
          </w:p>
        </w:tc>
        <w:tc>
          <w:tcPr>
            <w:tcW w:w="1903"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7.84%</w:t>
            </w:r>
          </w:p>
        </w:tc>
      </w:tr>
      <w:tr w:rsidR="007B4E42" w:rsidRPr="00942C19" w:rsidTr="007B4E42">
        <w:trPr>
          <w:trHeight w:val="300"/>
          <w:jc w:val="center"/>
        </w:trPr>
        <w:tc>
          <w:tcPr>
            <w:tcW w:w="5070" w:type="dxa"/>
            <w:shd w:val="clear" w:color="auto" w:fill="auto"/>
            <w:vAlign w:val="center"/>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Opening GFA as on 1st April (Depreciable Assets)</w:t>
            </w:r>
          </w:p>
        </w:tc>
        <w:tc>
          <w:tcPr>
            <w:tcW w:w="1984" w:type="dxa"/>
            <w:shd w:val="clear" w:color="auto" w:fill="auto"/>
            <w:vAlign w:val="center"/>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B</w:t>
            </w:r>
          </w:p>
        </w:tc>
        <w:tc>
          <w:tcPr>
            <w:tcW w:w="1903"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4,323.96 </w:t>
            </w:r>
          </w:p>
        </w:tc>
      </w:tr>
      <w:tr w:rsidR="007B4E42" w:rsidRPr="00942C19" w:rsidTr="007B4E42">
        <w:trPr>
          <w:trHeight w:val="300"/>
          <w:jc w:val="center"/>
        </w:trPr>
        <w:tc>
          <w:tcPr>
            <w:tcW w:w="5070" w:type="dxa"/>
            <w:shd w:val="clear" w:color="auto" w:fill="auto"/>
            <w:vAlign w:val="center"/>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Addition to GFA during the year (Depreciable Assets)</w:t>
            </w:r>
          </w:p>
        </w:tc>
        <w:tc>
          <w:tcPr>
            <w:tcW w:w="1984" w:type="dxa"/>
            <w:shd w:val="clear" w:color="auto" w:fill="auto"/>
            <w:vAlign w:val="center"/>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C</w:t>
            </w:r>
          </w:p>
        </w:tc>
        <w:tc>
          <w:tcPr>
            <w:tcW w:w="1903"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759.79 </w:t>
            </w:r>
          </w:p>
        </w:tc>
      </w:tr>
      <w:tr w:rsidR="007B4E42" w:rsidRPr="00942C19" w:rsidTr="007B4E42">
        <w:trPr>
          <w:trHeight w:val="300"/>
          <w:jc w:val="center"/>
        </w:trPr>
        <w:tc>
          <w:tcPr>
            <w:tcW w:w="5070" w:type="dxa"/>
            <w:shd w:val="clear" w:color="auto" w:fill="auto"/>
            <w:vAlign w:val="center"/>
            <w:hideMark/>
          </w:tcPr>
          <w:p w:rsidR="007B4E42" w:rsidRPr="00942C19" w:rsidRDefault="007B4E42" w:rsidP="00EA4E19">
            <w:pPr>
              <w:spacing w:before="0" w:line="240" w:lineRule="auto"/>
              <w:jc w:val="left"/>
              <w:rPr>
                <w:rFonts w:cs="Calibri"/>
                <w:b/>
                <w:bCs/>
                <w:sz w:val="22"/>
                <w:szCs w:val="22"/>
                <w:lang w:val="en-IN" w:eastAsia="en-IN"/>
              </w:rPr>
            </w:pPr>
            <w:r w:rsidRPr="00942C19">
              <w:rPr>
                <w:rFonts w:cs="Calibri"/>
                <w:b/>
                <w:bCs/>
                <w:sz w:val="22"/>
                <w:szCs w:val="22"/>
                <w:lang w:val="en-IN" w:eastAsia="en-IN"/>
              </w:rPr>
              <w:t>Depreciation on Opening  GFA + Addition during the year</w:t>
            </w:r>
          </w:p>
        </w:tc>
        <w:tc>
          <w:tcPr>
            <w:tcW w:w="1984" w:type="dxa"/>
            <w:shd w:val="clear" w:color="auto" w:fill="auto"/>
            <w:vAlign w:val="center"/>
            <w:hideMark/>
          </w:tcPr>
          <w:p w:rsidR="007B4E42" w:rsidRPr="00942C19" w:rsidRDefault="007B4E42" w:rsidP="00EA4E19">
            <w:pPr>
              <w:spacing w:before="0" w:line="240" w:lineRule="auto"/>
              <w:jc w:val="center"/>
              <w:rPr>
                <w:rFonts w:cs="Calibri"/>
                <w:b/>
                <w:bCs/>
                <w:sz w:val="22"/>
                <w:szCs w:val="22"/>
                <w:lang w:val="en-IN" w:eastAsia="en-IN"/>
              </w:rPr>
            </w:pPr>
            <w:r w:rsidRPr="00942C19">
              <w:rPr>
                <w:rFonts w:cs="Calibri"/>
                <w:b/>
                <w:bCs/>
                <w:sz w:val="22"/>
                <w:szCs w:val="22"/>
                <w:lang w:val="en-IN" w:eastAsia="en-IN"/>
              </w:rPr>
              <w:t>D = (A*B)+(C*A/2)</w:t>
            </w:r>
          </w:p>
        </w:tc>
        <w:tc>
          <w:tcPr>
            <w:tcW w:w="1903"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368.78 </w:t>
            </w:r>
          </w:p>
        </w:tc>
      </w:tr>
      <w:tr w:rsidR="007B4E42" w:rsidRPr="00942C19" w:rsidTr="007B4E42">
        <w:trPr>
          <w:trHeight w:val="300"/>
          <w:jc w:val="center"/>
        </w:trPr>
        <w:tc>
          <w:tcPr>
            <w:tcW w:w="5070" w:type="dxa"/>
            <w:shd w:val="clear" w:color="auto" w:fill="auto"/>
            <w:vAlign w:val="center"/>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 xml:space="preserve">Less: </w:t>
            </w:r>
          </w:p>
        </w:tc>
        <w:tc>
          <w:tcPr>
            <w:tcW w:w="1984" w:type="dxa"/>
            <w:shd w:val="clear" w:color="auto" w:fill="auto"/>
            <w:vAlign w:val="center"/>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 </w:t>
            </w:r>
          </w:p>
        </w:tc>
        <w:tc>
          <w:tcPr>
            <w:tcW w:w="1903" w:type="dxa"/>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r>
      <w:tr w:rsidR="007B4E42" w:rsidRPr="00942C19" w:rsidTr="007B4E42">
        <w:trPr>
          <w:trHeight w:val="600"/>
          <w:jc w:val="center"/>
        </w:trPr>
        <w:tc>
          <w:tcPr>
            <w:tcW w:w="5070" w:type="dxa"/>
            <w:shd w:val="clear" w:color="auto" w:fill="auto"/>
            <w:vAlign w:val="center"/>
            <w:hideMark/>
          </w:tcPr>
          <w:p w:rsidR="007B4E42" w:rsidRPr="00942C19" w:rsidRDefault="007B4E42" w:rsidP="00EA4E19">
            <w:pPr>
              <w:spacing w:before="0" w:line="240" w:lineRule="auto"/>
              <w:jc w:val="left"/>
              <w:rPr>
                <w:rFonts w:cs="Calibri"/>
                <w:sz w:val="22"/>
                <w:szCs w:val="22"/>
                <w:lang w:val="en-IN" w:eastAsia="en-IN"/>
              </w:rPr>
            </w:pPr>
            <w:r w:rsidRPr="00942C19">
              <w:rPr>
                <w:rFonts w:cs="Calibri"/>
                <w:sz w:val="22"/>
                <w:szCs w:val="22"/>
                <w:lang w:val="en-IN" w:eastAsia="en-IN"/>
              </w:rPr>
              <w:t xml:space="preserve">Depreciation on  assets created from </w:t>
            </w:r>
            <w:r w:rsidRPr="00942C19">
              <w:rPr>
                <w:rFonts w:cs="Calibri"/>
                <w:sz w:val="22"/>
                <w:szCs w:val="22"/>
                <w:lang w:val="en-IN" w:eastAsia="en-IN"/>
              </w:rPr>
              <w:br/>
              <w:t xml:space="preserve">Consumer Contribution and Capital Assets Subsidy </w:t>
            </w:r>
          </w:p>
        </w:tc>
        <w:tc>
          <w:tcPr>
            <w:tcW w:w="1984" w:type="dxa"/>
            <w:shd w:val="clear" w:color="auto" w:fill="auto"/>
            <w:vAlign w:val="center"/>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E</w:t>
            </w:r>
          </w:p>
        </w:tc>
        <w:tc>
          <w:tcPr>
            <w:tcW w:w="1903"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46.00 </w:t>
            </w:r>
          </w:p>
        </w:tc>
      </w:tr>
      <w:tr w:rsidR="007B4E42" w:rsidRPr="00942C19" w:rsidTr="007B4E42">
        <w:trPr>
          <w:trHeight w:val="300"/>
          <w:jc w:val="center"/>
        </w:trPr>
        <w:tc>
          <w:tcPr>
            <w:tcW w:w="5070" w:type="dxa"/>
            <w:shd w:val="clear" w:color="auto" w:fill="auto"/>
            <w:vAlign w:val="center"/>
            <w:hideMark/>
          </w:tcPr>
          <w:p w:rsidR="007B4E42" w:rsidRPr="00942C19" w:rsidRDefault="007B4E42" w:rsidP="00EA4E19">
            <w:pPr>
              <w:spacing w:before="0" w:line="240" w:lineRule="auto"/>
              <w:jc w:val="left"/>
              <w:rPr>
                <w:rFonts w:cs="Calibri"/>
                <w:b/>
                <w:bCs/>
                <w:sz w:val="22"/>
                <w:szCs w:val="22"/>
                <w:lang w:val="en-IN" w:eastAsia="en-IN"/>
              </w:rPr>
            </w:pPr>
            <w:r w:rsidRPr="00942C19">
              <w:rPr>
                <w:rFonts w:cs="Calibri"/>
                <w:b/>
                <w:bCs/>
                <w:sz w:val="22"/>
                <w:szCs w:val="22"/>
                <w:lang w:val="en-IN" w:eastAsia="en-IN"/>
              </w:rPr>
              <w:t>Gross Allowable Depreciation for 2013-14</w:t>
            </w:r>
          </w:p>
        </w:tc>
        <w:tc>
          <w:tcPr>
            <w:tcW w:w="1984" w:type="dxa"/>
            <w:shd w:val="clear" w:color="auto" w:fill="auto"/>
            <w:vAlign w:val="center"/>
            <w:hideMark/>
          </w:tcPr>
          <w:p w:rsidR="007B4E42" w:rsidRPr="00942C19" w:rsidRDefault="007B4E42" w:rsidP="00EA4E19">
            <w:pPr>
              <w:spacing w:before="0" w:line="240" w:lineRule="auto"/>
              <w:jc w:val="center"/>
              <w:rPr>
                <w:rFonts w:cs="Calibri"/>
                <w:b/>
                <w:bCs/>
                <w:sz w:val="22"/>
                <w:szCs w:val="22"/>
                <w:lang w:val="en-IN" w:eastAsia="en-IN"/>
              </w:rPr>
            </w:pPr>
            <w:r w:rsidRPr="00942C19">
              <w:rPr>
                <w:rFonts w:cs="Calibri"/>
                <w:b/>
                <w:bCs/>
                <w:sz w:val="22"/>
                <w:szCs w:val="22"/>
                <w:lang w:val="en-IN" w:eastAsia="en-IN"/>
              </w:rPr>
              <w:t>F=D-E</w:t>
            </w:r>
          </w:p>
        </w:tc>
        <w:tc>
          <w:tcPr>
            <w:tcW w:w="1903"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322.79 </w:t>
            </w:r>
          </w:p>
        </w:tc>
      </w:tr>
      <w:tr w:rsidR="007B4E42" w:rsidRPr="00942C19" w:rsidTr="007B4E42">
        <w:trPr>
          <w:trHeight w:val="600"/>
          <w:jc w:val="center"/>
        </w:trPr>
        <w:tc>
          <w:tcPr>
            <w:tcW w:w="5070" w:type="dxa"/>
            <w:shd w:val="clear" w:color="auto" w:fill="auto"/>
            <w:vAlign w:val="bottom"/>
            <w:hideMark/>
          </w:tcPr>
          <w:p w:rsidR="007B4E42" w:rsidRPr="00942C19" w:rsidRDefault="007B4E42" w:rsidP="00EA4E19">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Less: Depreciation withheld due to non-maintenance of Fixed Asset Register</w:t>
            </w:r>
          </w:p>
        </w:tc>
        <w:tc>
          <w:tcPr>
            <w:tcW w:w="1984" w:type="dxa"/>
            <w:shd w:val="clear" w:color="auto" w:fill="auto"/>
            <w:vAlign w:val="center"/>
            <w:hideMark/>
          </w:tcPr>
          <w:p w:rsidR="007B4E42" w:rsidRPr="00942C19" w:rsidRDefault="007B4E42" w:rsidP="00EA4E19">
            <w:pPr>
              <w:spacing w:before="0" w:line="240" w:lineRule="auto"/>
              <w:jc w:val="center"/>
              <w:rPr>
                <w:rFonts w:cs="Calibri"/>
                <w:sz w:val="22"/>
                <w:szCs w:val="22"/>
                <w:lang w:val="en-IN" w:eastAsia="en-IN"/>
              </w:rPr>
            </w:pPr>
            <w:r w:rsidRPr="00942C19">
              <w:rPr>
                <w:rFonts w:cs="Calibri"/>
                <w:sz w:val="22"/>
                <w:szCs w:val="22"/>
                <w:lang w:val="en-IN" w:eastAsia="en-IN"/>
              </w:rPr>
              <w:t>G = F*20%</w:t>
            </w:r>
          </w:p>
        </w:tc>
        <w:tc>
          <w:tcPr>
            <w:tcW w:w="1903"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64.56 </w:t>
            </w:r>
          </w:p>
        </w:tc>
      </w:tr>
      <w:tr w:rsidR="007B4E42" w:rsidRPr="00942C19" w:rsidTr="007B4E42">
        <w:trPr>
          <w:trHeight w:val="300"/>
          <w:jc w:val="center"/>
        </w:trPr>
        <w:tc>
          <w:tcPr>
            <w:tcW w:w="5070" w:type="dxa"/>
            <w:shd w:val="clear" w:color="auto" w:fill="auto"/>
            <w:vAlign w:val="bottom"/>
            <w:hideMark/>
          </w:tcPr>
          <w:p w:rsidR="007B4E42" w:rsidRPr="00942C19" w:rsidRDefault="007B4E42" w:rsidP="00EA4E19">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Net Allowable Depreciation for Recovery in the ARR for FY 2013-14</w:t>
            </w:r>
          </w:p>
        </w:tc>
        <w:tc>
          <w:tcPr>
            <w:tcW w:w="1984" w:type="dxa"/>
            <w:shd w:val="clear" w:color="auto" w:fill="auto"/>
            <w:vAlign w:val="center"/>
            <w:hideMark/>
          </w:tcPr>
          <w:p w:rsidR="007B4E42" w:rsidRPr="00942C19" w:rsidRDefault="007B4E42" w:rsidP="00EA4E19">
            <w:pPr>
              <w:spacing w:before="0" w:line="240" w:lineRule="auto"/>
              <w:jc w:val="center"/>
              <w:rPr>
                <w:rFonts w:cs="Calibri"/>
                <w:b/>
                <w:bCs/>
                <w:sz w:val="22"/>
                <w:szCs w:val="22"/>
                <w:lang w:val="en-IN" w:eastAsia="en-IN"/>
              </w:rPr>
            </w:pPr>
            <w:r w:rsidRPr="00942C19">
              <w:rPr>
                <w:rFonts w:cs="Calibri"/>
                <w:b/>
                <w:bCs/>
                <w:sz w:val="22"/>
                <w:szCs w:val="22"/>
                <w:lang w:val="en-IN" w:eastAsia="en-IN"/>
              </w:rPr>
              <w:t>H = F - G</w:t>
            </w:r>
          </w:p>
        </w:tc>
        <w:tc>
          <w:tcPr>
            <w:tcW w:w="1903"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258.23 </w:t>
            </w:r>
          </w:p>
        </w:tc>
      </w:tr>
    </w:tbl>
    <w:p w:rsidR="00A44CA7" w:rsidRPr="00942C19" w:rsidRDefault="00222C32">
      <w:pPr>
        <w:pStyle w:val="Heading3"/>
        <w:numPr>
          <w:ilvl w:val="0"/>
          <w:numId w:val="0"/>
        </w:numPr>
        <w:spacing w:before="0"/>
        <w:jc w:val="center"/>
      </w:pPr>
      <w:r w:rsidRPr="00942C19" w:rsidDel="003121F9">
        <w:t xml:space="preserve"> </w:t>
      </w:r>
    </w:p>
    <w:p w:rsidR="00A44CA7" w:rsidRPr="00942C19" w:rsidRDefault="00A44CA7">
      <w:pPr>
        <w:pStyle w:val="Heading3"/>
        <w:numPr>
          <w:ilvl w:val="0"/>
          <w:numId w:val="0"/>
        </w:numPr>
        <w:spacing w:before="0"/>
      </w:pPr>
    </w:p>
    <w:p w:rsidR="00B13F1A" w:rsidRPr="00942C19" w:rsidRDefault="00222C32">
      <w:pPr>
        <w:pStyle w:val="Heading2"/>
        <w:keepNext/>
        <w:numPr>
          <w:ilvl w:val="1"/>
          <w:numId w:val="1"/>
        </w:numPr>
        <w:autoSpaceDE/>
        <w:autoSpaceDN/>
        <w:adjustRightInd/>
        <w:spacing w:before="0" w:line="276" w:lineRule="auto"/>
        <w:contextualSpacing w:val="0"/>
      </w:pPr>
      <w:bookmarkStart w:id="712" w:name="_Toc356322606"/>
      <w:bookmarkStart w:id="713" w:name="_Toc357714408"/>
      <w:r w:rsidRPr="00942C19">
        <w:t>INTEREST AND FINANCING COST</w:t>
      </w:r>
      <w:bookmarkEnd w:id="712"/>
      <w:bookmarkEnd w:id="713"/>
    </w:p>
    <w:p w:rsidR="00A44CA7" w:rsidRPr="00942C19" w:rsidRDefault="00A44CA7">
      <w:pPr>
        <w:pStyle w:val="Heading3"/>
        <w:numPr>
          <w:ilvl w:val="0"/>
          <w:numId w:val="0"/>
        </w:numPr>
        <w:tabs>
          <w:tab w:val="clear" w:pos="720"/>
          <w:tab w:val="left" w:pos="864"/>
        </w:tabs>
        <w:spacing w:before="0"/>
      </w:pPr>
    </w:p>
    <w:p w:rsidR="00222C32" w:rsidRPr="00942C19" w:rsidRDefault="00222C32" w:rsidP="00222C32">
      <w:pPr>
        <w:pStyle w:val="Heading3"/>
        <w:numPr>
          <w:ilvl w:val="2"/>
          <w:numId w:val="1"/>
        </w:numPr>
        <w:spacing w:before="0"/>
        <w:rPr>
          <w:b/>
        </w:rPr>
      </w:pPr>
      <w:r w:rsidRPr="00942C19">
        <w:rPr>
          <w:b/>
        </w:rPr>
        <w:t xml:space="preserve">Interest on Long Term Loans </w:t>
      </w:r>
    </w:p>
    <w:p w:rsidR="00A44CA7" w:rsidRPr="00942C19" w:rsidRDefault="00A44CA7">
      <w:pPr>
        <w:pStyle w:val="ListParagraph"/>
        <w:spacing w:before="0"/>
        <w:ind w:left="480"/>
      </w:pPr>
    </w:p>
    <w:p w:rsidR="00222C32" w:rsidRPr="00942C19" w:rsidRDefault="00222C32" w:rsidP="00A926B1">
      <w:pPr>
        <w:pStyle w:val="Heading4"/>
        <w:rPr>
          <w:b/>
        </w:rPr>
      </w:pPr>
      <w:r w:rsidRPr="00942C19">
        <w:t xml:space="preserve">It is reiterated that the Commission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capital subsidies and grants has been separated as the depreciation and interest thereon would not be charged to the consumers. </w:t>
      </w:r>
    </w:p>
    <w:p w:rsidR="00A44CA7" w:rsidRPr="00942C19" w:rsidRDefault="00A44CA7">
      <w:pPr>
        <w:tabs>
          <w:tab w:val="left" w:pos="864"/>
        </w:tabs>
        <w:spacing w:before="0"/>
        <w:ind w:left="720"/>
        <w:outlineLvl w:val="2"/>
        <w:rPr>
          <w:rFonts w:cs="Arial"/>
          <w:b/>
          <w:bCs/>
          <w:szCs w:val="26"/>
        </w:rPr>
      </w:pPr>
    </w:p>
    <w:p w:rsidR="00222C32" w:rsidRPr="00942C19" w:rsidRDefault="00222C32" w:rsidP="00A926B1">
      <w:pPr>
        <w:pStyle w:val="Heading4"/>
        <w:rPr>
          <w:b/>
        </w:rPr>
      </w:pPr>
      <w:r w:rsidRPr="00942C19">
        <w:t xml:space="preserve">Allowable depreciation for the year has been considered as normative loan repayment. </w:t>
      </w:r>
    </w:p>
    <w:p w:rsidR="00A44CA7" w:rsidRPr="00942C19" w:rsidRDefault="00A44CA7">
      <w:pPr>
        <w:tabs>
          <w:tab w:val="left" w:pos="864"/>
        </w:tabs>
        <w:spacing w:before="0"/>
        <w:ind w:left="720"/>
        <w:outlineLvl w:val="2"/>
        <w:rPr>
          <w:rFonts w:cs="Arial"/>
          <w:b/>
          <w:bCs/>
          <w:szCs w:val="26"/>
        </w:rPr>
      </w:pPr>
    </w:p>
    <w:p w:rsidR="00222C32" w:rsidRPr="00942C19" w:rsidRDefault="00222C32" w:rsidP="00A926B1">
      <w:pPr>
        <w:pStyle w:val="Heading4"/>
        <w:rPr>
          <w:b/>
        </w:rPr>
      </w:pPr>
      <w:r w:rsidRPr="00942C19">
        <w:t xml:space="preserve">The weighted average rate of interest has been considered as per the ARR / Tariff Petition filed for FY 2013-14, as it seems to be fair and equitable. The interest capitalisation has been considered at a </w:t>
      </w:r>
      <w:r w:rsidR="00A926B1" w:rsidRPr="00942C19">
        <w:t xml:space="preserve">rate of 23% which is consistent </w:t>
      </w:r>
      <w:r w:rsidRPr="00942C19">
        <w:t>with the previous Orders of the Commission.</w:t>
      </w:r>
    </w:p>
    <w:p w:rsidR="00A44CA7" w:rsidRPr="00942C19" w:rsidRDefault="00A44CA7">
      <w:pPr>
        <w:tabs>
          <w:tab w:val="left" w:pos="864"/>
        </w:tabs>
        <w:spacing w:before="0"/>
        <w:ind w:left="720"/>
        <w:outlineLvl w:val="2"/>
        <w:rPr>
          <w:rFonts w:cs="Arial"/>
          <w:b/>
          <w:bCs/>
          <w:szCs w:val="26"/>
        </w:rPr>
      </w:pPr>
    </w:p>
    <w:p w:rsidR="00A44CA7" w:rsidRPr="00942C19" w:rsidRDefault="00222C32">
      <w:pPr>
        <w:pStyle w:val="Heading4"/>
        <w:spacing w:before="0"/>
        <w:rPr>
          <w:b/>
        </w:rPr>
      </w:pPr>
      <w:r w:rsidRPr="00942C19">
        <w:t>The computations for interest on long term loan are depicted in the table below:</w:t>
      </w:r>
    </w:p>
    <w:p w:rsidR="00222C32" w:rsidRPr="00942C19" w:rsidRDefault="00785E17" w:rsidP="00222C32">
      <w:pPr>
        <w:pStyle w:val="Caption"/>
        <w:keepNext/>
        <w:jc w:val="center"/>
      </w:pPr>
      <w:bookmarkStart w:id="714" w:name="_Toc357719742"/>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48</w:t>
      </w:r>
      <w:r w:rsidR="000C642E" w:rsidRPr="00942C19">
        <w:fldChar w:fldCharType="end"/>
      </w:r>
      <w:r w:rsidRPr="00942C19">
        <w:t>: INTEREST ON LONG TERM LOANS UP</w:t>
      </w:r>
      <w:r w:rsidR="00C048C3" w:rsidRPr="00942C19">
        <w:t xml:space="preserve"> </w:t>
      </w:r>
      <w:r w:rsidRPr="00942C19">
        <w:t>TO FY 2013-14 (Rs. Crore</w:t>
      </w:r>
      <w:r w:rsidR="008727B1" w:rsidRPr="00942C19">
        <w:t>s</w:t>
      </w:r>
      <w:r w:rsidRPr="00942C19">
        <w:t>)</w:t>
      </w:r>
      <w:bookmarkEnd w:id="714"/>
    </w:p>
    <w:tbl>
      <w:tblPr>
        <w:tblW w:w="9361"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14"/>
        <w:gridCol w:w="1021"/>
        <w:gridCol w:w="1021"/>
        <w:gridCol w:w="1021"/>
        <w:gridCol w:w="1021"/>
        <w:gridCol w:w="1021"/>
        <w:gridCol w:w="1021"/>
        <w:gridCol w:w="1021"/>
      </w:tblGrid>
      <w:tr w:rsidR="007B4E42" w:rsidRPr="00942C19" w:rsidTr="007B4E42">
        <w:trPr>
          <w:trHeight w:val="300"/>
        </w:trPr>
        <w:tc>
          <w:tcPr>
            <w:tcW w:w="2214" w:type="dxa"/>
            <w:shd w:val="clear" w:color="000000" w:fill="DBE5F1"/>
            <w:vAlign w:val="center"/>
            <w:hideMark/>
          </w:tcPr>
          <w:p w:rsidR="00155FB3" w:rsidRPr="00942C19" w:rsidRDefault="007B4E42" w:rsidP="00155FB3">
            <w:pPr>
              <w:spacing w:before="0" w:line="240" w:lineRule="auto"/>
              <w:jc w:val="left"/>
              <w:rPr>
                <w:rFonts w:cs="Calibri"/>
                <w:b/>
                <w:bCs/>
                <w:sz w:val="22"/>
                <w:szCs w:val="22"/>
                <w:lang w:val="en-IN" w:eastAsia="en-IN"/>
              </w:rPr>
            </w:pPr>
            <w:r w:rsidRPr="00942C19">
              <w:rPr>
                <w:rFonts w:cs="Calibri"/>
                <w:b/>
                <w:bCs/>
                <w:sz w:val="22"/>
                <w:szCs w:val="22"/>
                <w:lang w:val="en-IN" w:eastAsia="en-IN"/>
              </w:rPr>
              <w:t>Particulars</w:t>
            </w:r>
          </w:p>
        </w:tc>
        <w:tc>
          <w:tcPr>
            <w:tcW w:w="1021" w:type="dxa"/>
            <w:shd w:val="clear" w:color="000000" w:fill="DBE5F1"/>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2007-08</w:t>
            </w:r>
          </w:p>
        </w:tc>
        <w:tc>
          <w:tcPr>
            <w:tcW w:w="1021" w:type="dxa"/>
            <w:shd w:val="clear" w:color="000000" w:fill="DBE5F1"/>
            <w:vAlign w:val="center"/>
            <w:hideMark/>
          </w:tcPr>
          <w:p w:rsidR="0084795B" w:rsidRPr="00942C19" w:rsidRDefault="007B4E42">
            <w:pPr>
              <w:spacing w:before="0" w:line="240" w:lineRule="auto"/>
              <w:jc w:val="right"/>
              <w:rPr>
                <w:rFonts w:cs="Calibri"/>
                <w:b/>
                <w:bCs/>
                <w:sz w:val="22"/>
                <w:szCs w:val="22"/>
                <w:lang w:val="en-IN" w:eastAsia="en-IN"/>
              </w:rPr>
            </w:pPr>
            <w:r w:rsidRPr="00942C19">
              <w:rPr>
                <w:rFonts w:cs="Calibri"/>
                <w:b/>
                <w:bCs/>
                <w:sz w:val="22"/>
                <w:szCs w:val="22"/>
                <w:lang w:val="en-IN" w:eastAsia="en-IN"/>
              </w:rPr>
              <w:t>2008-09</w:t>
            </w:r>
          </w:p>
        </w:tc>
        <w:tc>
          <w:tcPr>
            <w:tcW w:w="1021" w:type="dxa"/>
            <w:shd w:val="clear" w:color="000000" w:fill="DBE5F1"/>
            <w:vAlign w:val="center"/>
            <w:hideMark/>
          </w:tcPr>
          <w:p w:rsidR="0084795B" w:rsidRPr="00942C19" w:rsidRDefault="007B4E42">
            <w:pPr>
              <w:spacing w:before="0" w:line="240" w:lineRule="auto"/>
              <w:jc w:val="right"/>
              <w:rPr>
                <w:rFonts w:cs="Calibri"/>
                <w:b/>
                <w:bCs/>
                <w:sz w:val="22"/>
                <w:szCs w:val="22"/>
                <w:lang w:val="en-IN" w:eastAsia="en-IN"/>
              </w:rPr>
            </w:pPr>
            <w:r w:rsidRPr="00942C19">
              <w:rPr>
                <w:rFonts w:cs="Calibri"/>
                <w:b/>
                <w:bCs/>
                <w:sz w:val="22"/>
                <w:szCs w:val="22"/>
                <w:lang w:val="en-IN" w:eastAsia="en-IN"/>
              </w:rPr>
              <w:t>2009-10</w:t>
            </w:r>
          </w:p>
        </w:tc>
        <w:tc>
          <w:tcPr>
            <w:tcW w:w="1021" w:type="dxa"/>
            <w:shd w:val="clear" w:color="000000" w:fill="DBE5F1"/>
            <w:vAlign w:val="center"/>
            <w:hideMark/>
          </w:tcPr>
          <w:p w:rsidR="0084795B" w:rsidRPr="00942C19" w:rsidRDefault="007B4E42">
            <w:pPr>
              <w:spacing w:before="0" w:line="240" w:lineRule="auto"/>
              <w:jc w:val="right"/>
              <w:rPr>
                <w:rFonts w:cs="Calibri"/>
                <w:b/>
                <w:bCs/>
                <w:sz w:val="22"/>
                <w:szCs w:val="22"/>
                <w:lang w:val="en-IN" w:eastAsia="en-IN"/>
              </w:rPr>
            </w:pPr>
            <w:r w:rsidRPr="00942C19">
              <w:rPr>
                <w:rFonts w:cs="Calibri"/>
                <w:b/>
                <w:bCs/>
                <w:sz w:val="22"/>
                <w:szCs w:val="22"/>
                <w:lang w:val="en-IN" w:eastAsia="en-IN"/>
              </w:rPr>
              <w:t>2010-11</w:t>
            </w:r>
          </w:p>
        </w:tc>
        <w:tc>
          <w:tcPr>
            <w:tcW w:w="1021" w:type="dxa"/>
            <w:shd w:val="clear" w:color="000000" w:fill="DBE5F1"/>
            <w:vAlign w:val="center"/>
            <w:hideMark/>
          </w:tcPr>
          <w:p w:rsidR="0084795B" w:rsidRPr="00942C19" w:rsidRDefault="007B4E42">
            <w:pPr>
              <w:spacing w:before="0" w:line="240" w:lineRule="auto"/>
              <w:jc w:val="right"/>
              <w:rPr>
                <w:rFonts w:cs="Calibri"/>
                <w:b/>
                <w:bCs/>
                <w:sz w:val="22"/>
                <w:szCs w:val="22"/>
                <w:lang w:val="en-IN" w:eastAsia="en-IN"/>
              </w:rPr>
            </w:pPr>
            <w:r w:rsidRPr="00942C19">
              <w:rPr>
                <w:rFonts w:cs="Calibri"/>
                <w:b/>
                <w:bCs/>
                <w:sz w:val="22"/>
                <w:szCs w:val="22"/>
                <w:lang w:val="en-IN" w:eastAsia="en-IN"/>
              </w:rPr>
              <w:t>2011-12</w:t>
            </w:r>
          </w:p>
        </w:tc>
        <w:tc>
          <w:tcPr>
            <w:tcW w:w="1021" w:type="dxa"/>
            <w:shd w:val="clear" w:color="000000" w:fill="DBE5F1"/>
            <w:vAlign w:val="center"/>
            <w:hideMark/>
          </w:tcPr>
          <w:p w:rsidR="0084795B" w:rsidRPr="00942C19" w:rsidRDefault="007B4E42">
            <w:pPr>
              <w:spacing w:before="0" w:line="240" w:lineRule="auto"/>
              <w:jc w:val="right"/>
              <w:rPr>
                <w:rFonts w:cs="Calibri"/>
                <w:b/>
                <w:bCs/>
                <w:sz w:val="22"/>
                <w:szCs w:val="22"/>
                <w:lang w:val="en-IN" w:eastAsia="en-IN"/>
              </w:rPr>
            </w:pPr>
            <w:r w:rsidRPr="00942C19">
              <w:rPr>
                <w:rFonts w:cs="Calibri"/>
                <w:b/>
                <w:bCs/>
                <w:sz w:val="22"/>
                <w:szCs w:val="22"/>
                <w:lang w:val="en-IN" w:eastAsia="en-IN"/>
              </w:rPr>
              <w:t>2012-13</w:t>
            </w:r>
          </w:p>
        </w:tc>
        <w:tc>
          <w:tcPr>
            <w:tcW w:w="1021" w:type="dxa"/>
            <w:shd w:val="clear" w:color="000000" w:fill="DBE5F1"/>
            <w:vAlign w:val="center"/>
            <w:hideMark/>
          </w:tcPr>
          <w:p w:rsidR="0084795B" w:rsidRPr="00942C19" w:rsidRDefault="007B4E42">
            <w:pPr>
              <w:spacing w:before="0" w:line="240" w:lineRule="auto"/>
              <w:jc w:val="right"/>
              <w:rPr>
                <w:rFonts w:cs="Calibri"/>
                <w:b/>
                <w:bCs/>
                <w:sz w:val="22"/>
                <w:szCs w:val="22"/>
                <w:lang w:val="en-IN" w:eastAsia="en-IN"/>
              </w:rPr>
            </w:pPr>
            <w:r w:rsidRPr="00942C19">
              <w:rPr>
                <w:rFonts w:cs="Calibri"/>
                <w:b/>
                <w:bCs/>
                <w:sz w:val="22"/>
                <w:szCs w:val="22"/>
                <w:lang w:val="en-IN" w:eastAsia="en-IN"/>
              </w:rPr>
              <w:t>2013-14</w:t>
            </w:r>
          </w:p>
        </w:tc>
      </w:tr>
      <w:tr w:rsidR="007B4E42" w:rsidRPr="00942C19" w:rsidTr="007B4E42">
        <w:trPr>
          <w:trHeight w:val="300"/>
        </w:trPr>
        <w:tc>
          <w:tcPr>
            <w:tcW w:w="2214" w:type="dxa"/>
            <w:shd w:val="clear" w:color="auto" w:fill="auto"/>
            <w:vAlign w:val="center"/>
            <w:hideMark/>
          </w:tcPr>
          <w:p w:rsidR="0084795B" w:rsidRPr="00942C19" w:rsidRDefault="007B4E4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Opening Loan</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842.03</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822.92</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841.38</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892.03</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1,041.03</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1,459.15</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1,376.76</w:t>
            </w:r>
          </w:p>
        </w:tc>
      </w:tr>
      <w:tr w:rsidR="007B4E42" w:rsidRPr="00942C19" w:rsidTr="007B4E42">
        <w:trPr>
          <w:trHeight w:val="300"/>
        </w:trPr>
        <w:tc>
          <w:tcPr>
            <w:tcW w:w="2214" w:type="dxa"/>
            <w:shd w:val="clear" w:color="auto" w:fill="auto"/>
            <w:vAlign w:val="center"/>
            <w:hideMark/>
          </w:tcPr>
          <w:p w:rsidR="0084795B" w:rsidRPr="00942C19" w:rsidRDefault="007B4E4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Loan Additions (70% of Investments)</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137.98</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192.57</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238.64</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359.20</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644.78</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182.48</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81.20</w:t>
            </w:r>
          </w:p>
        </w:tc>
      </w:tr>
      <w:tr w:rsidR="007B4E42" w:rsidRPr="00942C19" w:rsidTr="007B4E42">
        <w:trPr>
          <w:trHeight w:val="600"/>
        </w:trPr>
        <w:tc>
          <w:tcPr>
            <w:tcW w:w="2214" w:type="dxa"/>
            <w:shd w:val="clear" w:color="auto" w:fill="auto"/>
            <w:vAlign w:val="center"/>
            <w:hideMark/>
          </w:tcPr>
          <w:p w:rsidR="0084795B" w:rsidRPr="00942C19" w:rsidRDefault="007B4E4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Less: Repayments (Depreciation allowable for the year)</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157.10</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174.10</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187.99</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210.21</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226.65</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264.87</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322.79</w:t>
            </w:r>
          </w:p>
        </w:tc>
      </w:tr>
      <w:tr w:rsidR="007B4E42" w:rsidRPr="00942C19" w:rsidTr="007B4E42">
        <w:trPr>
          <w:trHeight w:val="300"/>
        </w:trPr>
        <w:tc>
          <w:tcPr>
            <w:tcW w:w="2214" w:type="dxa"/>
            <w:shd w:val="clear" w:color="auto" w:fill="auto"/>
            <w:vAlign w:val="center"/>
            <w:hideMark/>
          </w:tcPr>
          <w:p w:rsidR="0084795B" w:rsidRPr="00942C19" w:rsidRDefault="007B4E42">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Closing Loan Balance</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822.92</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841.38</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892.03</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1,041.03</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1,459.15</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1,376.76</w:t>
            </w:r>
          </w:p>
        </w:tc>
        <w:tc>
          <w:tcPr>
            <w:tcW w:w="1021" w:type="dxa"/>
            <w:shd w:val="clear" w:color="auto" w:fill="auto"/>
            <w:noWrap/>
            <w:vAlign w:val="center"/>
            <w:hideMark/>
          </w:tcPr>
          <w:p w:rsidR="00155FB3" w:rsidRPr="00942C19" w:rsidRDefault="007B4E42"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1,135.17</w:t>
            </w:r>
          </w:p>
        </w:tc>
      </w:tr>
      <w:tr w:rsidR="00856226" w:rsidRPr="00942C19" w:rsidTr="0084795B">
        <w:trPr>
          <w:trHeight w:val="300"/>
        </w:trPr>
        <w:tc>
          <w:tcPr>
            <w:tcW w:w="8340" w:type="dxa"/>
            <w:gridSpan w:val="7"/>
            <w:shd w:val="clear" w:color="auto" w:fill="auto"/>
            <w:vAlign w:val="center"/>
            <w:hideMark/>
          </w:tcPr>
          <w:p w:rsidR="00155FB3" w:rsidRPr="00942C19" w:rsidRDefault="00856226" w:rsidP="00155FB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Weighted Average Rate of Interest</w:t>
            </w:r>
          </w:p>
        </w:tc>
        <w:tc>
          <w:tcPr>
            <w:tcW w:w="1021" w:type="dxa"/>
            <w:shd w:val="clear" w:color="auto" w:fill="auto"/>
            <w:noWrap/>
            <w:vAlign w:val="center"/>
            <w:hideMark/>
          </w:tcPr>
          <w:p w:rsidR="0084795B" w:rsidRPr="00942C19" w:rsidRDefault="0085622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9.53%</w:t>
            </w:r>
          </w:p>
        </w:tc>
      </w:tr>
      <w:tr w:rsidR="00856226" w:rsidRPr="00942C19" w:rsidTr="0084795B">
        <w:trPr>
          <w:trHeight w:val="300"/>
        </w:trPr>
        <w:tc>
          <w:tcPr>
            <w:tcW w:w="8340" w:type="dxa"/>
            <w:gridSpan w:val="7"/>
            <w:shd w:val="clear" w:color="auto" w:fill="auto"/>
            <w:vAlign w:val="center"/>
            <w:hideMark/>
          </w:tcPr>
          <w:p w:rsidR="0084795B" w:rsidRPr="00942C19" w:rsidRDefault="00856226">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Interest on long term loan</w:t>
            </w:r>
          </w:p>
        </w:tc>
        <w:tc>
          <w:tcPr>
            <w:tcW w:w="1021" w:type="dxa"/>
            <w:shd w:val="clear" w:color="auto" w:fill="auto"/>
            <w:noWrap/>
            <w:vAlign w:val="center"/>
            <w:hideMark/>
          </w:tcPr>
          <w:p w:rsidR="00155FB3" w:rsidRPr="00942C19" w:rsidRDefault="00856226"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119.69</w:t>
            </w:r>
          </w:p>
        </w:tc>
      </w:tr>
      <w:tr w:rsidR="00856226" w:rsidRPr="00942C19" w:rsidTr="0084795B">
        <w:trPr>
          <w:trHeight w:val="300"/>
        </w:trPr>
        <w:tc>
          <w:tcPr>
            <w:tcW w:w="8340" w:type="dxa"/>
            <w:gridSpan w:val="7"/>
            <w:shd w:val="clear" w:color="auto" w:fill="auto"/>
            <w:vAlign w:val="center"/>
            <w:hideMark/>
          </w:tcPr>
          <w:p w:rsidR="00155FB3" w:rsidRPr="00942C19" w:rsidRDefault="00856226" w:rsidP="00155FB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Interest Capitalisation Rate</w:t>
            </w:r>
          </w:p>
        </w:tc>
        <w:tc>
          <w:tcPr>
            <w:tcW w:w="1021" w:type="dxa"/>
            <w:shd w:val="clear" w:color="auto" w:fill="auto"/>
            <w:noWrap/>
            <w:vAlign w:val="center"/>
            <w:hideMark/>
          </w:tcPr>
          <w:p w:rsidR="0084795B" w:rsidRPr="00942C19" w:rsidRDefault="00856226">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23.00%</w:t>
            </w:r>
          </w:p>
        </w:tc>
      </w:tr>
      <w:tr w:rsidR="00856226" w:rsidRPr="00942C19" w:rsidTr="0084795B">
        <w:trPr>
          <w:trHeight w:val="300"/>
        </w:trPr>
        <w:tc>
          <w:tcPr>
            <w:tcW w:w="8340" w:type="dxa"/>
            <w:gridSpan w:val="7"/>
            <w:shd w:val="clear" w:color="auto" w:fill="auto"/>
            <w:vAlign w:val="center"/>
            <w:hideMark/>
          </w:tcPr>
          <w:p w:rsidR="0084795B" w:rsidRPr="00942C19" w:rsidRDefault="00856226">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Less: Interest Capitalized</w:t>
            </w:r>
          </w:p>
        </w:tc>
        <w:tc>
          <w:tcPr>
            <w:tcW w:w="1021" w:type="dxa"/>
            <w:shd w:val="clear" w:color="auto" w:fill="auto"/>
            <w:noWrap/>
            <w:vAlign w:val="center"/>
            <w:hideMark/>
          </w:tcPr>
          <w:p w:rsidR="00155FB3" w:rsidRPr="00942C19" w:rsidRDefault="00856226" w:rsidP="00155FB3">
            <w:pPr>
              <w:spacing w:before="0" w:line="240" w:lineRule="auto"/>
              <w:jc w:val="right"/>
              <w:rPr>
                <w:rFonts w:cs="Calibri"/>
                <w:color w:val="000000"/>
                <w:sz w:val="22"/>
                <w:szCs w:val="22"/>
                <w:lang w:val="en-IN" w:eastAsia="en-IN"/>
              </w:rPr>
            </w:pPr>
            <w:r w:rsidRPr="00942C19">
              <w:rPr>
                <w:rFonts w:cs="Calibri"/>
                <w:color w:val="000000"/>
                <w:sz w:val="22"/>
                <w:szCs w:val="22"/>
                <w:lang w:val="en-IN" w:eastAsia="en-IN"/>
              </w:rPr>
              <w:t>27.53</w:t>
            </w:r>
          </w:p>
        </w:tc>
      </w:tr>
      <w:tr w:rsidR="00856226" w:rsidRPr="00942C19" w:rsidTr="0084795B">
        <w:trPr>
          <w:trHeight w:val="300"/>
        </w:trPr>
        <w:tc>
          <w:tcPr>
            <w:tcW w:w="8340" w:type="dxa"/>
            <w:gridSpan w:val="7"/>
            <w:shd w:val="clear" w:color="auto" w:fill="auto"/>
            <w:vAlign w:val="center"/>
            <w:hideMark/>
          </w:tcPr>
          <w:p w:rsidR="0084795B" w:rsidRPr="00942C19" w:rsidRDefault="00856226">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Net Interest Charged</w:t>
            </w:r>
          </w:p>
        </w:tc>
        <w:tc>
          <w:tcPr>
            <w:tcW w:w="1021" w:type="dxa"/>
            <w:shd w:val="clear" w:color="auto" w:fill="auto"/>
            <w:noWrap/>
            <w:vAlign w:val="center"/>
            <w:hideMark/>
          </w:tcPr>
          <w:p w:rsidR="00155FB3" w:rsidRPr="00942C19" w:rsidRDefault="00856226" w:rsidP="00155FB3">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92.16</w:t>
            </w:r>
          </w:p>
        </w:tc>
      </w:tr>
    </w:tbl>
    <w:p w:rsidR="00A44CA7" w:rsidRPr="00942C19" w:rsidRDefault="00A44CA7">
      <w:pPr>
        <w:tabs>
          <w:tab w:val="left" w:pos="360"/>
        </w:tabs>
        <w:spacing w:before="0"/>
        <w:jc w:val="center"/>
      </w:pPr>
    </w:p>
    <w:p w:rsidR="00222C32" w:rsidRPr="00942C19" w:rsidRDefault="00785E17" w:rsidP="00A926B1">
      <w:pPr>
        <w:pStyle w:val="Heading4"/>
        <w:rPr>
          <w:b/>
        </w:rPr>
      </w:pPr>
      <w:r w:rsidRPr="00942C19">
        <w:t>Thus, the Commission has approved gross interest on long term loan of Rs. 1</w:t>
      </w:r>
      <w:r w:rsidR="00373CF3" w:rsidRPr="00942C19">
        <w:t>19.69</w:t>
      </w:r>
      <w:r w:rsidRPr="00942C19">
        <w:t xml:space="preserve"> crores and capitalisation thereof amounting to Rs. </w:t>
      </w:r>
      <w:r w:rsidR="00373CF3" w:rsidRPr="00942C19">
        <w:t>27.53</w:t>
      </w:r>
      <w:r w:rsidRPr="00942C19">
        <w:t xml:space="preserve"> crores for FY 2013-14.</w:t>
      </w:r>
    </w:p>
    <w:p w:rsidR="004A359A" w:rsidRPr="00942C19" w:rsidRDefault="004A359A" w:rsidP="004A359A">
      <w:pPr>
        <w:pStyle w:val="Heading3"/>
        <w:numPr>
          <w:ilvl w:val="0"/>
          <w:numId w:val="0"/>
        </w:numPr>
        <w:spacing w:before="0"/>
        <w:ind w:left="720"/>
        <w:rPr>
          <w:b/>
        </w:rPr>
      </w:pPr>
    </w:p>
    <w:p w:rsidR="00222C32" w:rsidRPr="00942C19" w:rsidRDefault="00222C32" w:rsidP="00222C32">
      <w:pPr>
        <w:pStyle w:val="Heading3"/>
        <w:numPr>
          <w:ilvl w:val="2"/>
          <w:numId w:val="1"/>
        </w:numPr>
        <w:spacing w:before="0"/>
        <w:rPr>
          <w:b/>
        </w:rPr>
      </w:pPr>
      <w:r w:rsidRPr="00942C19">
        <w:rPr>
          <w:b/>
        </w:rPr>
        <w:t xml:space="preserve">Interest on Working Capital </w:t>
      </w:r>
    </w:p>
    <w:p w:rsidR="00A44CA7" w:rsidRPr="00942C19" w:rsidRDefault="00A44CA7">
      <w:pPr>
        <w:pStyle w:val="Heading3"/>
        <w:numPr>
          <w:ilvl w:val="0"/>
          <w:numId w:val="0"/>
        </w:numPr>
        <w:spacing w:before="0"/>
        <w:ind w:left="720"/>
        <w:rPr>
          <w:b/>
        </w:rPr>
      </w:pPr>
    </w:p>
    <w:p w:rsidR="00A44CA7" w:rsidRPr="00942C19" w:rsidRDefault="00222C32">
      <w:pPr>
        <w:pStyle w:val="Heading4"/>
        <w:spacing w:before="0"/>
      </w:pPr>
      <w:r w:rsidRPr="00942C19">
        <w:t xml:space="preserve">Regulation 4.8.2 of the Distribution Tariff Regulations lays down the norms and methodology for calculating interest on working capital. Although the Commission is aware of the financial distress and liquidity crunch of the Distribution </w:t>
      </w:r>
      <w:r w:rsidR="009A3804" w:rsidRPr="00942C19">
        <w:t>Licensee</w:t>
      </w:r>
      <w:r w:rsidRPr="00942C19">
        <w:t xml:space="preserve">, the Commission opines that the Distribution </w:t>
      </w:r>
      <w:r w:rsidR="009A3804" w:rsidRPr="00942C19">
        <w:t>Licensee</w:t>
      </w:r>
      <w:r w:rsidRPr="00942C19">
        <w:t xml:space="preserve"> is eligible only for interest cost on account of normative working capital. Commission views that the </w:t>
      </w:r>
      <w:r w:rsidR="009A3804" w:rsidRPr="00942C19">
        <w:t>Licensee</w:t>
      </w:r>
      <w:r w:rsidRPr="00942C19">
        <w:t xml:space="preserve"> should manage its day to day affairs pragmatically by improving collection efficiency, reducing bad debts thus strengthening its cash position. </w:t>
      </w:r>
      <w:r w:rsidRPr="00942C19">
        <w:rPr>
          <w:rFonts w:asciiTheme="minorHAnsi" w:hAnsiTheme="minorHAnsi" w:cstheme="minorHAnsi"/>
        </w:rPr>
        <w:t>The Commission has considered the interest on working capital in line with the provisions of the Distribution Tariff Regulations</w:t>
      </w:r>
    </w:p>
    <w:p w:rsidR="00222C32" w:rsidRPr="00942C19" w:rsidRDefault="00222C32" w:rsidP="00222C32">
      <w:pPr>
        <w:pStyle w:val="Default"/>
        <w:jc w:val="both"/>
        <w:rPr>
          <w:color w:val="auto"/>
          <w:sz w:val="23"/>
          <w:szCs w:val="23"/>
        </w:rPr>
      </w:pPr>
    </w:p>
    <w:p w:rsidR="00222C32" w:rsidRPr="00942C19" w:rsidRDefault="00222C32" w:rsidP="00A926B1">
      <w:pPr>
        <w:pStyle w:val="Heading4"/>
      </w:pPr>
      <w:r w:rsidRPr="00942C19">
        <w:t>Interest costs on working capital loans as approved by the Commission based on computation of interest on normative working capital for FY 2013-14 is given in the table below:</w:t>
      </w:r>
    </w:p>
    <w:p w:rsidR="00222C32" w:rsidRPr="00942C19" w:rsidRDefault="00785E17" w:rsidP="00222C32">
      <w:pPr>
        <w:pStyle w:val="Caption"/>
        <w:keepNext/>
        <w:jc w:val="center"/>
      </w:pPr>
      <w:bookmarkStart w:id="715" w:name="_Ref325536209"/>
      <w:bookmarkStart w:id="716" w:name="_Toc338310715"/>
      <w:bookmarkStart w:id="717" w:name="_Toc338419545"/>
      <w:bookmarkStart w:id="718" w:name="_Toc357719743"/>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49</w:t>
      </w:r>
      <w:r w:rsidR="000C642E" w:rsidRPr="00942C19">
        <w:fldChar w:fldCharType="end"/>
      </w:r>
      <w:bookmarkEnd w:id="715"/>
      <w:r w:rsidRPr="00942C19">
        <w:t>: INTEREST COST ON WORKING CAPITAL LOANS FOR FY 2013-14 (Rs. Crore</w:t>
      </w:r>
      <w:r w:rsidR="008727B1" w:rsidRPr="00942C19">
        <w:t>s</w:t>
      </w:r>
      <w:r w:rsidRPr="00942C19">
        <w:t>)</w:t>
      </w:r>
      <w:bookmarkEnd w:id="716"/>
      <w:bookmarkEnd w:id="717"/>
      <w:bookmarkEnd w:id="718"/>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526"/>
        <w:gridCol w:w="2328"/>
      </w:tblGrid>
      <w:tr w:rsidR="004A359A" w:rsidRPr="00942C19" w:rsidTr="004D2506">
        <w:trPr>
          <w:trHeight w:val="600"/>
        </w:trPr>
        <w:tc>
          <w:tcPr>
            <w:tcW w:w="6526" w:type="dxa"/>
            <w:shd w:val="clear" w:color="000000" w:fill="DBE5F1"/>
            <w:vAlign w:val="center"/>
            <w:hideMark/>
          </w:tcPr>
          <w:p w:rsidR="004A359A" w:rsidRPr="00942C19" w:rsidRDefault="004A359A" w:rsidP="004A359A">
            <w:pPr>
              <w:spacing w:before="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2328" w:type="dxa"/>
            <w:shd w:val="clear" w:color="000000" w:fill="DBE5F1"/>
            <w:vAlign w:val="center"/>
            <w:hideMark/>
          </w:tcPr>
          <w:p w:rsidR="00A44CA7" w:rsidRPr="00942C19" w:rsidRDefault="004A359A">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4D2506">
        <w:trPr>
          <w:trHeight w:val="300"/>
        </w:trPr>
        <w:tc>
          <w:tcPr>
            <w:tcW w:w="6526"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 xml:space="preserve">One month's O&amp;M  Expenses </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 xml:space="preserve">                          52.21 </w:t>
            </w:r>
          </w:p>
        </w:tc>
      </w:tr>
      <w:tr w:rsidR="007B4E42" w:rsidRPr="00942C19" w:rsidTr="004D2506">
        <w:trPr>
          <w:trHeight w:val="600"/>
        </w:trPr>
        <w:tc>
          <w:tcPr>
            <w:tcW w:w="6526" w:type="dxa"/>
            <w:shd w:val="clear" w:color="auto" w:fill="auto"/>
            <w:hideMark/>
          </w:tcPr>
          <w:p w:rsidR="007B4E42" w:rsidRPr="00942C19" w:rsidRDefault="007B4E42" w:rsidP="004A359A">
            <w:pPr>
              <w:spacing w:before="0" w:line="240" w:lineRule="auto"/>
              <w:rPr>
                <w:rFonts w:cs="Calibri"/>
                <w:sz w:val="22"/>
                <w:szCs w:val="22"/>
                <w:lang w:val="en-IN" w:eastAsia="en-IN"/>
              </w:rPr>
            </w:pPr>
            <w:r w:rsidRPr="00942C19">
              <w:rPr>
                <w:rFonts w:cs="Calibri"/>
                <w:sz w:val="22"/>
                <w:szCs w:val="22"/>
                <w:lang w:val="en-IN" w:eastAsia="en-IN"/>
              </w:rPr>
              <w:t>One-twelfth of the sum of the book value of materials in stores at the end of each month of such financial year.</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 xml:space="preserve">                            3.93 </w:t>
            </w:r>
          </w:p>
        </w:tc>
      </w:tr>
      <w:tr w:rsidR="007B4E42" w:rsidRPr="00942C19" w:rsidTr="004D2506">
        <w:trPr>
          <w:trHeight w:val="300"/>
        </w:trPr>
        <w:tc>
          <w:tcPr>
            <w:tcW w:w="6526" w:type="dxa"/>
            <w:shd w:val="clear" w:color="auto" w:fill="auto"/>
            <w:hideMark/>
          </w:tcPr>
          <w:p w:rsidR="007B4E42" w:rsidRPr="00942C19" w:rsidRDefault="007B4E42" w:rsidP="004A359A">
            <w:pPr>
              <w:spacing w:before="0" w:line="240" w:lineRule="auto"/>
              <w:rPr>
                <w:rFonts w:cs="Calibri"/>
                <w:sz w:val="22"/>
                <w:szCs w:val="22"/>
                <w:lang w:val="en-IN" w:eastAsia="en-IN"/>
              </w:rPr>
            </w:pPr>
            <w:r w:rsidRPr="00942C19">
              <w:rPr>
                <w:rFonts w:cs="Calibri"/>
                <w:sz w:val="22"/>
                <w:szCs w:val="22"/>
                <w:lang w:val="en-IN" w:eastAsia="en-IN"/>
              </w:rPr>
              <w:t>Receivables equivalent to 60 days average billing on consumers</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 xml:space="preserve">                    1,015.41 </w:t>
            </w:r>
          </w:p>
        </w:tc>
      </w:tr>
      <w:tr w:rsidR="007B4E42" w:rsidRPr="00942C19" w:rsidTr="004D2506">
        <w:trPr>
          <w:trHeight w:val="300"/>
        </w:trPr>
        <w:tc>
          <w:tcPr>
            <w:tcW w:w="6526" w:type="dxa"/>
            <w:shd w:val="clear" w:color="auto" w:fill="auto"/>
            <w:hideMark/>
          </w:tcPr>
          <w:p w:rsidR="007B4E42" w:rsidRPr="00942C19" w:rsidRDefault="007B4E42" w:rsidP="004A359A">
            <w:pPr>
              <w:spacing w:before="0" w:line="240" w:lineRule="auto"/>
              <w:rPr>
                <w:rFonts w:cs="Calibri"/>
                <w:b/>
                <w:bCs/>
                <w:sz w:val="22"/>
                <w:szCs w:val="22"/>
                <w:lang w:val="en-IN" w:eastAsia="en-IN"/>
              </w:rPr>
            </w:pPr>
            <w:r w:rsidRPr="00942C19">
              <w:rPr>
                <w:rFonts w:cs="Calibri"/>
                <w:b/>
                <w:bCs/>
                <w:sz w:val="22"/>
                <w:szCs w:val="22"/>
                <w:lang w:val="en-IN" w:eastAsia="en-IN"/>
              </w:rPr>
              <w:t>Gross Total</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rPr>
              <w:t xml:space="preserve">                    1,071.55 </w:t>
            </w:r>
          </w:p>
        </w:tc>
      </w:tr>
      <w:tr w:rsidR="007B4E42" w:rsidRPr="00942C19" w:rsidTr="004D2506">
        <w:trPr>
          <w:trHeight w:val="300"/>
        </w:trPr>
        <w:tc>
          <w:tcPr>
            <w:tcW w:w="6526" w:type="dxa"/>
            <w:shd w:val="clear" w:color="auto" w:fill="auto"/>
            <w:noWrap/>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 </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 </w:t>
            </w:r>
          </w:p>
        </w:tc>
      </w:tr>
      <w:tr w:rsidR="007B4E42" w:rsidRPr="00942C19" w:rsidTr="004D2506">
        <w:trPr>
          <w:trHeight w:val="463"/>
        </w:trPr>
        <w:tc>
          <w:tcPr>
            <w:tcW w:w="6526" w:type="dxa"/>
            <w:shd w:val="clear" w:color="auto" w:fill="auto"/>
            <w:hideMark/>
          </w:tcPr>
          <w:p w:rsidR="007B4E42" w:rsidRPr="00942C19" w:rsidRDefault="007B4E42" w:rsidP="004A359A">
            <w:pPr>
              <w:spacing w:before="0" w:line="240" w:lineRule="auto"/>
              <w:rPr>
                <w:rFonts w:cs="Calibri"/>
                <w:sz w:val="22"/>
                <w:szCs w:val="22"/>
                <w:lang w:val="en-IN" w:eastAsia="en-IN"/>
              </w:rPr>
            </w:pPr>
            <w:r w:rsidRPr="00942C19">
              <w:rPr>
                <w:rFonts w:cs="Calibri"/>
                <w:sz w:val="22"/>
                <w:szCs w:val="22"/>
                <w:lang w:val="en-IN" w:eastAsia="en-IN"/>
              </w:rPr>
              <w:t>Less: Total Security Deposits by the Consumers reduced by Security Deposits under section 47(1)(b) of the Electricity Act 2003</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 xml:space="preserve">                       242.91 </w:t>
            </w:r>
          </w:p>
        </w:tc>
      </w:tr>
      <w:tr w:rsidR="007B4E42" w:rsidRPr="00942C19" w:rsidTr="004D2506">
        <w:trPr>
          <w:trHeight w:val="300"/>
        </w:trPr>
        <w:tc>
          <w:tcPr>
            <w:tcW w:w="6526" w:type="dxa"/>
            <w:shd w:val="clear" w:color="auto" w:fill="auto"/>
            <w:hideMark/>
          </w:tcPr>
          <w:p w:rsidR="007B4E42" w:rsidRPr="00942C19" w:rsidRDefault="007B4E42" w:rsidP="004A359A">
            <w:pPr>
              <w:spacing w:before="0" w:line="240" w:lineRule="auto"/>
              <w:rPr>
                <w:rFonts w:cs="Calibri"/>
                <w:b/>
                <w:bCs/>
                <w:sz w:val="22"/>
                <w:szCs w:val="22"/>
                <w:lang w:val="en-IN" w:eastAsia="en-IN"/>
              </w:rPr>
            </w:pPr>
            <w:r w:rsidRPr="00942C19">
              <w:rPr>
                <w:rFonts w:cs="Calibri"/>
                <w:b/>
                <w:bCs/>
                <w:sz w:val="22"/>
                <w:szCs w:val="22"/>
                <w:lang w:val="en-IN" w:eastAsia="en-IN"/>
              </w:rPr>
              <w:t>Net Working Capital</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rPr>
              <w:t xml:space="preserve">                       828.64 </w:t>
            </w:r>
          </w:p>
        </w:tc>
      </w:tr>
      <w:tr w:rsidR="007B4E42" w:rsidRPr="00942C19" w:rsidTr="004D2506">
        <w:trPr>
          <w:trHeight w:val="300"/>
        </w:trPr>
        <w:tc>
          <w:tcPr>
            <w:tcW w:w="6526" w:type="dxa"/>
            <w:shd w:val="clear" w:color="auto" w:fill="auto"/>
            <w:hideMark/>
          </w:tcPr>
          <w:p w:rsidR="007B4E42" w:rsidRPr="00942C19" w:rsidRDefault="007B4E42" w:rsidP="004A359A">
            <w:pPr>
              <w:spacing w:before="0" w:line="240" w:lineRule="auto"/>
              <w:rPr>
                <w:rFonts w:cs="Calibri"/>
                <w:sz w:val="22"/>
                <w:szCs w:val="22"/>
                <w:lang w:val="en-IN" w:eastAsia="en-IN"/>
              </w:rPr>
            </w:pPr>
            <w:r w:rsidRPr="00942C19">
              <w:rPr>
                <w:rFonts w:cs="Calibri"/>
                <w:sz w:val="22"/>
                <w:szCs w:val="22"/>
                <w:lang w:val="en-IN" w:eastAsia="en-IN"/>
              </w:rPr>
              <w:t>Rate of Interest for Working Capital</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12.50%</w:t>
            </w:r>
          </w:p>
        </w:tc>
      </w:tr>
      <w:tr w:rsidR="007B4E42" w:rsidRPr="00942C19" w:rsidTr="004D2506">
        <w:trPr>
          <w:trHeight w:val="300"/>
        </w:trPr>
        <w:tc>
          <w:tcPr>
            <w:tcW w:w="6526" w:type="dxa"/>
            <w:shd w:val="clear" w:color="auto" w:fill="auto"/>
            <w:hideMark/>
          </w:tcPr>
          <w:p w:rsidR="007B4E42" w:rsidRPr="00942C19" w:rsidRDefault="007B4E42" w:rsidP="004A359A">
            <w:pPr>
              <w:spacing w:before="0" w:line="240" w:lineRule="auto"/>
              <w:rPr>
                <w:rFonts w:cs="Calibri"/>
                <w:b/>
                <w:bCs/>
                <w:sz w:val="22"/>
                <w:szCs w:val="22"/>
                <w:lang w:val="en-IN" w:eastAsia="en-IN"/>
              </w:rPr>
            </w:pPr>
            <w:r w:rsidRPr="00942C19">
              <w:rPr>
                <w:rFonts w:cs="Calibri"/>
                <w:b/>
                <w:bCs/>
                <w:sz w:val="22"/>
                <w:szCs w:val="22"/>
                <w:lang w:val="en-IN" w:eastAsia="en-IN"/>
              </w:rPr>
              <w:t>Interest on Working Capital</w:t>
            </w:r>
          </w:p>
        </w:tc>
        <w:tc>
          <w:tcPr>
            <w:tcW w:w="2328" w:type="dxa"/>
            <w:shd w:val="clear" w:color="auto" w:fill="auto"/>
            <w:noWrap/>
            <w:vAlign w:val="center"/>
            <w:hideMark/>
          </w:tcPr>
          <w:p w:rsidR="007B4E42" w:rsidRPr="00942C19" w:rsidRDefault="007B4E42">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rPr>
              <w:t xml:space="preserve">                       103.58 </w:t>
            </w:r>
          </w:p>
        </w:tc>
      </w:tr>
    </w:tbl>
    <w:p w:rsidR="00B13F1A" w:rsidRPr="00942C19" w:rsidRDefault="00222C32">
      <w:pPr>
        <w:pStyle w:val="Default"/>
        <w:jc w:val="center"/>
        <w:rPr>
          <w:rFonts w:cs="Times New Roman"/>
          <w:color w:val="auto"/>
          <w:lang w:val="en-GB"/>
        </w:rPr>
      </w:pPr>
      <w:r w:rsidRPr="00942C19" w:rsidDel="00111C2D">
        <w:t xml:space="preserve"> </w:t>
      </w:r>
    </w:p>
    <w:p w:rsidR="00A44CA7" w:rsidRPr="00942C19" w:rsidRDefault="00A44CA7">
      <w:pPr>
        <w:pStyle w:val="Heading4"/>
        <w:numPr>
          <w:ilvl w:val="0"/>
          <w:numId w:val="0"/>
        </w:numPr>
        <w:spacing w:before="0"/>
      </w:pPr>
    </w:p>
    <w:p w:rsidR="00222C32" w:rsidRPr="00942C19" w:rsidRDefault="00222C32" w:rsidP="00222C32">
      <w:pPr>
        <w:pStyle w:val="Heading3"/>
        <w:numPr>
          <w:ilvl w:val="2"/>
          <w:numId w:val="1"/>
        </w:numPr>
        <w:spacing w:before="0"/>
        <w:rPr>
          <w:b/>
        </w:rPr>
      </w:pPr>
      <w:r w:rsidRPr="00942C19">
        <w:rPr>
          <w:b/>
        </w:rPr>
        <w:t>Interest on Consumer Security Deposits</w:t>
      </w:r>
    </w:p>
    <w:p w:rsidR="00A44CA7" w:rsidRPr="00942C19" w:rsidRDefault="00A44CA7">
      <w:pPr>
        <w:pStyle w:val="Heading3"/>
        <w:numPr>
          <w:ilvl w:val="0"/>
          <w:numId w:val="0"/>
        </w:numPr>
        <w:spacing w:before="0"/>
        <w:ind w:left="720"/>
        <w:rPr>
          <w:b/>
        </w:rPr>
      </w:pPr>
    </w:p>
    <w:p w:rsidR="00A44CA7" w:rsidRPr="00942C19" w:rsidRDefault="00222C32">
      <w:pPr>
        <w:pStyle w:val="Heading4"/>
        <w:spacing w:before="0"/>
      </w:pPr>
      <w:r w:rsidRPr="00942C19">
        <w:t xml:space="preserve">In terms of the Regulation 4.8(3) of the Distribution Tariff Regulation, the </w:t>
      </w:r>
      <w:r w:rsidR="009A3804" w:rsidRPr="00942C19">
        <w:t>Licensee</w:t>
      </w:r>
      <w:r w:rsidRPr="00942C19">
        <w:t xml:space="preserve"> has to pay interest to the consumers at bank rate or more on the consumer security deposit. Such payment of interest on security deposit is also mandated under the Section 47 (4) of the Electricity Act, 2003. The Commission has considered the prevalent bank rate of the Reserve </w:t>
      </w:r>
      <w:r w:rsidR="008727B1" w:rsidRPr="00942C19">
        <w:t>B</w:t>
      </w:r>
      <w:r w:rsidRPr="00942C19">
        <w:t xml:space="preserve">ank of India </w:t>
      </w:r>
      <w:r w:rsidR="008727B1" w:rsidRPr="00942C19">
        <w:t xml:space="preserve">(RBI) </w:t>
      </w:r>
      <w:r w:rsidRPr="00942C19">
        <w:t xml:space="preserve">for approval of the Interest rate applicable for such payments. </w:t>
      </w:r>
    </w:p>
    <w:p w:rsidR="00A44CA7" w:rsidRPr="00942C19" w:rsidRDefault="00A44CA7">
      <w:pPr>
        <w:pStyle w:val="Heading4"/>
        <w:numPr>
          <w:ilvl w:val="0"/>
          <w:numId w:val="0"/>
        </w:numPr>
        <w:spacing w:before="0"/>
        <w:ind w:left="864"/>
      </w:pPr>
    </w:p>
    <w:p w:rsidR="00A44CA7" w:rsidRPr="00942C19" w:rsidRDefault="004D2506">
      <w:pPr>
        <w:pStyle w:val="Heading4"/>
        <w:spacing w:before="0"/>
      </w:pPr>
      <w:r w:rsidRPr="00942C19">
        <w:t>The Reserve Bank of India vide circular no. RBI/2012-13/492 dated 3</w:t>
      </w:r>
      <w:r w:rsidRPr="00942C19">
        <w:rPr>
          <w:vertAlign w:val="superscript"/>
        </w:rPr>
        <w:t>rd</w:t>
      </w:r>
      <w:r w:rsidRPr="00942C19">
        <w:t xml:space="preserve"> May, 2013 has revised the bank rate from 8.50% to 8.25% w.e.f 3</w:t>
      </w:r>
      <w:r w:rsidRPr="00942C19">
        <w:rPr>
          <w:vertAlign w:val="superscript"/>
        </w:rPr>
        <w:t>rd</w:t>
      </w:r>
      <w:r w:rsidRPr="00942C19">
        <w:t xml:space="preserve"> May, 2013. Thus, th</w:t>
      </w:r>
      <w:r w:rsidR="00222C32" w:rsidRPr="00942C19">
        <w:t xml:space="preserve">e </w:t>
      </w:r>
      <w:r w:rsidRPr="00942C19">
        <w:t>b</w:t>
      </w:r>
      <w:r w:rsidR="00222C32" w:rsidRPr="00942C19">
        <w:t xml:space="preserve">ank </w:t>
      </w:r>
      <w:r w:rsidRPr="00942C19">
        <w:t>r</w:t>
      </w:r>
      <w:r w:rsidR="00222C32" w:rsidRPr="00942C19">
        <w:t>ate was 8.5% from the 1</w:t>
      </w:r>
      <w:r w:rsidR="00222C32" w:rsidRPr="00942C19">
        <w:rPr>
          <w:vertAlign w:val="superscript"/>
        </w:rPr>
        <w:t>st</w:t>
      </w:r>
      <w:r w:rsidR="00222C32" w:rsidRPr="00942C19">
        <w:t xml:space="preserve"> April, 2013 to 2</w:t>
      </w:r>
      <w:r w:rsidR="00222C32" w:rsidRPr="00942C19">
        <w:rPr>
          <w:vertAlign w:val="superscript"/>
        </w:rPr>
        <w:t>nd</w:t>
      </w:r>
      <w:r w:rsidR="00222C32" w:rsidRPr="00942C19">
        <w:t xml:space="preserve"> May, 2013; thereafter the </w:t>
      </w:r>
      <w:r w:rsidRPr="00942C19">
        <w:t>b</w:t>
      </w:r>
      <w:r w:rsidR="00222C32" w:rsidRPr="00942C19">
        <w:t>ank rate was revised to 8.25% from 3</w:t>
      </w:r>
      <w:r w:rsidR="00222C32" w:rsidRPr="00942C19">
        <w:rPr>
          <w:vertAlign w:val="superscript"/>
        </w:rPr>
        <w:t>rd</w:t>
      </w:r>
      <w:r w:rsidR="00222C32" w:rsidRPr="00942C19">
        <w:t xml:space="preserve"> May, 2013 onwards. Hence the Commission has considered a weighted average rate of 8.27% for FY 2013-14. </w:t>
      </w:r>
      <w:r w:rsidR="00A35D55" w:rsidRPr="00942C19">
        <w:t xml:space="preserve">However, the </w:t>
      </w:r>
      <w:r w:rsidR="008727B1" w:rsidRPr="00942C19">
        <w:t xml:space="preserve">actual interest </w:t>
      </w:r>
      <w:r w:rsidR="00A35D55" w:rsidRPr="00942C19">
        <w:t xml:space="preserve">payable </w:t>
      </w:r>
      <w:r w:rsidR="008727B1" w:rsidRPr="00942C19">
        <w:t>on consumer security deposit</w:t>
      </w:r>
      <w:r w:rsidR="00A35D55" w:rsidRPr="00942C19">
        <w:t>s</w:t>
      </w:r>
      <w:r w:rsidR="008727B1" w:rsidRPr="00942C19">
        <w:t xml:space="preserve"> would be at the Bank Rates notified by the RBI from time to time</w:t>
      </w:r>
      <w:r w:rsidR="00A35D55" w:rsidRPr="00942C19">
        <w:t xml:space="preserve"> as per the provisions of the Electricity Supply Code</w:t>
      </w:r>
      <w:r w:rsidR="008727B1" w:rsidRPr="00942C19">
        <w:t>.</w:t>
      </w:r>
      <w:r w:rsidR="00222C32" w:rsidRPr="00942C19">
        <w:t xml:space="preserve"> </w:t>
      </w:r>
      <w:r w:rsidR="00B13F1A" w:rsidRPr="00942C19">
        <w:t>The same would be trued up based on audited accounts.</w:t>
      </w:r>
    </w:p>
    <w:p w:rsidR="00A44CA7" w:rsidRPr="00942C19" w:rsidRDefault="00A44CA7">
      <w:pPr>
        <w:spacing w:before="0"/>
      </w:pPr>
    </w:p>
    <w:p w:rsidR="00A44CA7" w:rsidRPr="00942C19" w:rsidRDefault="00785E17">
      <w:pPr>
        <w:pStyle w:val="Heading4"/>
        <w:spacing w:before="0"/>
      </w:pPr>
      <w:r w:rsidRPr="00942C19">
        <w:t xml:space="preserve">Accordingly the Commission has approved interest on security deposits for FY 2013-14 at Rs. </w:t>
      </w:r>
      <w:r w:rsidR="00373CF3" w:rsidRPr="00942C19">
        <w:t>1</w:t>
      </w:r>
      <w:r w:rsidRPr="00942C19">
        <w:t>8.</w:t>
      </w:r>
      <w:r w:rsidR="00373CF3" w:rsidRPr="00942C19">
        <w:t xml:space="preserve">86 </w:t>
      </w:r>
      <w:r w:rsidR="00112A2A" w:rsidRPr="00942C19">
        <w:t>c</w:t>
      </w:r>
      <w:r w:rsidRPr="00942C19">
        <w:t>rore</w:t>
      </w:r>
      <w:r w:rsidR="00112A2A" w:rsidRPr="00942C19">
        <w:t>s</w:t>
      </w:r>
      <w:r w:rsidRPr="00942C19">
        <w:t xml:space="preserve"> as depicted in the table below:</w:t>
      </w:r>
    </w:p>
    <w:p w:rsidR="004A359A" w:rsidRPr="00942C19" w:rsidDel="00111C2D" w:rsidRDefault="00785E17" w:rsidP="00222C32">
      <w:pPr>
        <w:pStyle w:val="Caption"/>
        <w:keepNext/>
        <w:jc w:val="center"/>
        <w:rPr>
          <w:szCs w:val="23"/>
        </w:rPr>
      </w:pPr>
      <w:bookmarkStart w:id="719" w:name="_Toc338310716"/>
      <w:bookmarkStart w:id="720" w:name="_Toc338419546"/>
      <w:bookmarkStart w:id="721" w:name="_Toc357719744"/>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50</w:t>
      </w:r>
      <w:r w:rsidR="000C642E" w:rsidRPr="00942C19">
        <w:fldChar w:fldCharType="end"/>
      </w:r>
      <w:r w:rsidRPr="00942C19">
        <w:t>: INTEREST ON SECURITY DEPOSITS FOR FY 2013-14 (Rs. Crore</w:t>
      </w:r>
      <w:r w:rsidR="008727B1" w:rsidRPr="00942C19">
        <w:t>s</w:t>
      </w:r>
      <w:r w:rsidRPr="00942C19">
        <w:t>)</w:t>
      </w:r>
      <w:bookmarkEnd w:id="719"/>
      <w:bookmarkEnd w:id="720"/>
      <w:bookmarkEnd w:id="721"/>
      <w:r w:rsidR="00222C32" w:rsidRPr="00942C19">
        <w:rPr>
          <w:sz w:val="23"/>
          <w:szCs w:val="23"/>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989"/>
        <w:gridCol w:w="1477"/>
        <w:gridCol w:w="1477"/>
      </w:tblGrid>
      <w:tr w:rsidR="004A359A" w:rsidRPr="00942C19" w:rsidTr="00373CF3">
        <w:trPr>
          <w:trHeight w:val="600"/>
          <w:jc w:val="center"/>
        </w:trPr>
        <w:tc>
          <w:tcPr>
            <w:tcW w:w="4989" w:type="dxa"/>
            <w:shd w:val="clear" w:color="000000" w:fill="DBE5F1"/>
            <w:vAlign w:val="center"/>
            <w:hideMark/>
          </w:tcPr>
          <w:p w:rsidR="004A359A" w:rsidRPr="00942C19" w:rsidRDefault="004A359A" w:rsidP="004A359A">
            <w:pPr>
              <w:spacing w:before="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1477" w:type="dxa"/>
            <w:shd w:val="clear" w:color="000000" w:fill="DBE5F1"/>
            <w:vAlign w:val="center"/>
            <w:hideMark/>
          </w:tcPr>
          <w:p w:rsidR="004A359A" w:rsidRPr="00942C19" w:rsidRDefault="004A359A" w:rsidP="004A359A">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w:t>
            </w:r>
          </w:p>
        </w:tc>
        <w:tc>
          <w:tcPr>
            <w:tcW w:w="1477" w:type="dxa"/>
            <w:shd w:val="clear" w:color="000000" w:fill="DBE5F1"/>
            <w:vAlign w:val="center"/>
            <w:hideMark/>
          </w:tcPr>
          <w:p w:rsidR="00A44CA7" w:rsidRPr="00942C19" w:rsidRDefault="004A359A">
            <w:pPr>
              <w:spacing w:before="0" w:line="240" w:lineRule="auto"/>
              <w:jc w:val="right"/>
              <w:rPr>
                <w:rFonts w:cs="Calibri"/>
                <w:b/>
                <w:bCs/>
                <w:color w:val="000000"/>
                <w:kern w:val="32"/>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373CF3">
        <w:trPr>
          <w:trHeight w:val="300"/>
          <w:jc w:val="center"/>
        </w:trPr>
        <w:tc>
          <w:tcPr>
            <w:tcW w:w="4989" w:type="dxa"/>
            <w:shd w:val="clear" w:color="auto" w:fill="auto"/>
            <w:vAlign w:val="center"/>
            <w:hideMark/>
          </w:tcPr>
          <w:p w:rsidR="007B4E42" w:rsidRPr="00942C19" w:rsidRDefault="007B4E42" w:rsidP="004A359A">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Opening Balance of Consumer Security Deposits</w:t>
            </w:r>
          </w:p>
        </w:tc>
        <w:tc>
          <w:tcPr>
            <w:tcW w:w="1477" w:type="dxa"/>
            <w:shd w:val="clear" w:color="auto" w:fill="auto"/>
            <w:noWrap/>
            <w:vAlign w:val="center"/>
            <w:hideMark/>
          </w:tcPr>
          <w:p w:rsidR="007B4E42" w:rsidRPr="00942C19" w:rsidRDefault="007B4E42" w:rsidP="004A359A">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A</w:t>
            </w:r>
          </w:p>
        </w:tc>
        <w:tc>
          <w:tcPr>
            <w:tcW w:w="1477" w:type="dxa"/>
            <w:shd w:val="clear" w:color="auto" w:fill="auto"/>
            <w:noWrap/>
            <w:vAlign w:val="center"/>
            <w:hideMark/>
          </w:tcPr>
          <w:p w:rsidR="0084795B"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 xml:space="preserve">213.18 </w:t>
            </w:r>
          </w:p>
        </w:tc>
      </w:tr>
      <w:tr w:rsidR="007B4E42" w:rsidRPr="00942C19" w:rsidTr="00373CF3">
        <w:trPr>
          <w:trHeight w:val="300"/>
          <w:jc w:val="center"/>
        </w:trPr>
        <w:tc>
          <w:tcPr>
            <w:tcW w:w="4989" w:type="dxa"/>
            <w:shd w:val="clear" w:color="auto" w:fill="auto"/>
            <w:vAlign w:val="center"/>
            <w:hideMark/>
          </w:tcPr>
          <w:p w:rsidR="007B4E42" w:rsidRPr="00942C19" w:rsidRDefault="007B4E42" w:rsidP="004A359A">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Projected Closing Balance of Consumer Security Deposits</w:t>
            </w:r>
          </w:p>
        </w:tc>
        <w:tc>
          <w:tcPr>
            <w:tcW w:w="1477" w:type="dxa"/>
            <w:shd w:val="clear" w:color="auto" w:fill="auto"/>
            <w:noWrap/>
            <w:vAlign w:val="center"/>
            <w:hideMark/>
          </w:tcPr>
          <w:p w:rsidR="007B4E42" w:rsidRPr="00942C19" w:rsidRDefault="007B4E42" w:rsidP="004A359A">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B</w:t>
            </w:r>
          </w:p>
        </w:tc>
        <w:tc>
          <w:tcPr>
            <w:tcW w:w="1477" w:type="dxa"/>
            <w:shd w:val="clear" w:color="auto" w:fill="auto"/>
            <w:noWrap/>
            <w:vAlign w:val="center"/>
            <w:hideMark/>
          </w:tcPr>
          <w:p w:rsidR="0084795B" w:rsidRPr="00942C19" w:rsidRDefault="007B4E42">
            <w:pPr>
              <w:spacing w:before="0" w:line="240" w:lineRule="auto"/>
              <w:jc w:val="right"/>
              <w:rPr>
                <w:rFonts w:cs="Calibri"/>
                <w:b/>
                <w:bCs/>
                <w:color w:val="000000"/>
                <w:kern w:val="32"/>
                <w:sz w:val="22"/>
                <w:szCs w:val="22"/>
                <w:lang w:val="en-IN" w:eastAsia="en-IN"/>
              </w:rPr>
            </w:pPr>
            <w:r w:rsidRPr="00942C19">
              <w:rPr>
                <w:rFonts w:cs="Calibri"/>
                <w:color w:val="000000"/>
                <w:sz w:val="22"/>
                <w:szCs w:val="22"/>
              </w:rPr>
              <w:t xml:space="preserve">242.91 </w:t>
            </w:r>
          </w:p>
        </w:tc>
      </w:tr>
      <w:tr w:rsidR="007B4E42" w:rsidRPr="00942C19" w:rsidTr="00373CF3">
        <w:trPr>
          <w:trHeight w:val="300"/>
          <w:jc w:val="center"/>
        </w:trPr>
        <w:tc>
          <w:tcPr>
            <w:tcW w:w="4989" w:type="dxa"/>
            <w:shd w:val="clear" w:color="auto" w:fill="auto"/>
            <w:noWrap/>
            <w:vAlign w:val="center"/>
            <w:hideMark/>
          </w:tcPr>
          <w:p w:rsidR="007B4E42" w:rsidRPr="00942C19" w:rsidRDefault="007B4E42">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Weighted Average Bank Rate (%)</w:t>
            </w:r>
          </w:p>
        </w:tc>
        <w:tc>
          <w:tcPr>
            <w:tcW w:w="1477" w:type="dxa"/>
            <w:shd w:val="clear" w:color="auto" w:fill="auto"/>
            <w:noWrap/>
            <w:vAlign w:val="center"/>
            <w:hideMark/>
          </w:tcPr>
          <w:p w:rsidR="007B4E42" w:rsidRPr="00942C19" w:rsidRDefault="007B4E42" w:rsidP="004A359A">
            <w:pPr>
              <w:spacing w:before="0" w:line="240" w:lineRule="auto"/>
              <w:jc w:val="center"/>
              <w:rPr>
                <w:rFonts w:cs="Calibri"/>
                <w:color w:val="000000"/>
                <w:sz w:val="22"/>
                <w:szCs w:val="22"/>
                <w:lang w:val="en-IN" w:eastAsia="en-IN"/>
              </w:rPr>
            </w:pPr>
            <w:r w:rsidRPr="00942C19">
              <w:rPr>
                <w:rFonts w:cs="Calibri"/>
                <w:color w:val="000000"/>
                <w:sz w:val="22"/>
                <w:szCs w:val="22"/>
                <w:lang w:val="en-IN" w:eastAsia="en-IN"/>
              </w:rPr>
              <w:t>C</w:t>
            </w:r>
          </w:p>
        </w:tc>
        <w:tc>
          <w:tcPr>
            <w:tcW w:w="1477"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8.27%</w:t>
            </w:r>
          </w:p>
        </w:tc>
      </w:tr>
      <w:tr w:rsidR="007B4E42" w:rsidRPr="00942C19" w:rsidTr="00373CF3">
        <w:trPr>
          <w:trHeight w:val="300"/>
          <w:jc w:val="center"/>
        </w:trPr>
        <w:tc>
          <w:tcPr>
            <w:tcW w:w="4989" w:type="dxa"/>
            <w:shd w:val="clear" w:color="auto" w:fill="auto"/>
            <w:noWrap/>
            <w:vAlign w:val="center"/>
            <w:hideMark/>
          </w:tcPr>
          <w:p w:rsidR="007B4E42" w:rsidRPr="00942C19" w:rsidRDefault="007B4E42" w:rsidP="004A359A">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Interest on Security Deposits</w:t>
            </w:r>
          </w:p>
        </w:tc>
        <w:tc>
          <w:tcPr>
            <w:tcW w:w="1477" w:type="dxa"/>
            <w:shd w:val="clear" w:color="auto" w:fill="auto"/>
            <w:noWrap/>
            <w:vAlign w:val="center"/>
            <w:hideMark/>
          </w:tcPr>
          <w:p w:rsidR="007B4E42" w:rsidRPr="00942C19" w:rsidRDefault="007B4E42" w:rsidP="004A359A">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C = (A+B)/2*C</w:t>
            </w:r>
          </w:p>
        </w:tc>
        <w:tc>
          <w:tcPr>
            <w:tcW w:w="1477"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18.86 </w:t>
            </w:r>
          </w:p>
        </w:tc>
      </w:tr>
    </w:tbl>
    <w:p w:rsidR="00A44CA7" w:rsidRPr="00942C19" w:rsidRDefault="00222C32">
      <w:pPr>
        <w:pStyle w:val="Caption"/>
        <w:keepNext/>
        <w:spacing w:before="0" w:after="0"/>
        <w:jc w:val="center"/>
        <w:rPr>
          <w:sz w:val="23"/>
          <w:szCs w:val="23"/>
        </w:rPr>
      </w:pPr>
      <w:r w:rsidRPr="00942C19" w:rsidDel="00111C2D">
        <w:rPr>
          <w:szCs w:val="23"/>
        </w:rPr>
        <w:t xml:space="preserve"> </w:t>
      </w:r>
    </w:p>
    <w:p w:rsidR="00A44CA7" w:rsidRPr="00942C19" w:rsidRDefault="00A44CA7">
      <w:pPr>
        <w:pStyle w:val="Heading4"/>
        <w:numPr>
          <w:ilvl w:val="0"/>
          <w:numId w:val="0"/>
        </w:numPr>
        <w:spacing w:before="0"/>
      </w:pPr>
    </w:p>
    <w:p w:rsidR="00B13F1A" w:rsidRPr="00942C19" w:rsidRDefault="00222C32">
      <w:pPr>
        <w:pStyle w:val="Heading3"/>
        <w:numPr>
          <w:ilvl w:val="2"/>
          <w:numId w:val="1"/>
        </w:numPr>
        <w:spacing w:before="0"/>
        <w:rPr>
          <w:b/>
        </w:rPr>
      </w:pPr>
      <w:r w:rsidRPr="00942C19">
        <w:rPr>
          <w:b/>
        </w:rPr>
        <w:t xml:space="preserve">Summary of Interest and Finance Charges </w:t>
      </w:r>
    </w:p>
    <w:p w:rsidR="00A44CA7" w:rsidRPr="00942C19" w:rsidRDefault="00A44CA7">
      <w:pPr>
        <w:pStyle w:val="Heading4"/>
        <w:numPr>
          <w:ilvl w:val="0"/>
          <w:numId w:val="0"/>
        </w:numPr>
        <w:spacing w:before="0"/>
        <w:ind w:left="864"/>
      </w:pPr>
    </w:p>
    <w:p w:rsidR="00A44CA7" w:rsidRPr="00942C19" w:rsidRDefault="008727B1">
      <w:pPr>
        <w:pStyle w:val="Heading4"/>
        <w:spacing w:before="0"/>
      </w:pPr>
      <w:r w:rsidRPr="00942C19">
        <w:t xml:space="preserve">Further, the Commission has considered Rs. 0.09 crores towards bank charges. </w:t>
      </w:r>
    </w:p>
    <w:p w:rsidR="00A44CA7" w:rsidRPr="00942C19" w:rsidRDefault="00A44CA7">
      <w:pPr>
        <w:pStyle w:val="Heading4"/>
        <w:numPr>
          <w:ilvl w:val="0"/>
          <w:numId w:val="0"/>
        </w:numPr>
        <w:spacing w:before="0"/>
        <w:ind w:left="864"/>
      </w:pPr>
    </w:p>
    <w:p w:rsidR="00A44CA7" w:rsidRPr="00942C19" w:rsidRDefault="00222C32">
      <w:pPr>
        <w:pStyle w:val="Heading4"/>
        <w:spacing w:before="0"/>
      </w:pPr>
      <w:r w:rsidRPr="00942C19">
        <w:t>Thus the approved interest and finance costs including interest on working capital for FY 2013-14 is summarised in the table below:</w:t>
      </w:r>
    </w:p>
    <w:p w:rsidR="00B13F1A" w:rsidRPr="00942C19" w:rsidRDefault="00785E17">
      <w:pPr>
        <w:pStyle w:val="Caption"/>
        <w:keepNext/>
        <w:jc w:val="center"/>
      </w:pPr>
      <w:bookmarkStart w:id="722" w:name="_Ref325536366"/>
      <w:bookmarkStart w:id="723" w:name="_Toc338310717"/>
      <w:bookmarkStart w:id="724" w:name="_Toc338419547"/>
      <w:bookmarkStart w:id="725" w:name="_Toc357719745"/>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51</w:t>
      </w:r>
      <w:r w:rsidR="000C642E" w:rsidRPr="00942C19">
        <w:fldChar w:fldCharType="end"/>
      </w:r>
      <w:bookmarkEnd w:id="722"/>
      <w:r w:rsidRPr="00942C19">
        <w:t xml:space="preserve">: INTEREST </w:t>
      </w:r>
      <w:r w:rsidRPr="004E2AB9">
        <w:rPr>
          <w:caps/>
        </w:rPr>
        <w:t>and</w:t>
      </w:r>
      <w:r w:rsidRPr="00942C19">
        <w:t xml:space="preserve"> FINANCE CHARGES FOR FY 2013-14 (Rs. Crores)</w:t>
      </w:r>
      <w:bookmarkEnd w:id="723"/>
      <w:bookmarkEnd w:id="724"/>
      <w:bookmarkEnd w:id="725"/>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111"/>
        <w:gridCol w:w="1659"/>
      </w:tblGrid>
      <w:tr w:rsidR="004A359A" w:rsidRPr="00942C19" w:rsidTr="008727B1">
        <w:trPr>
          <w:trHeight w:val="600"/>
          <w:tblHeader/>
          <w:jc w:val="center"/>
        </w:trPr>
        <w:tc>
          <w:tcPr>
            <w:tcW w:w="5111" w:type="dxa"/>
            <w:shd w:val="clear" w:color="000000" w:fill="DBE5F1"/>
            <w:vAlign w:val="center"/>
            <w:hideMark/>
          </w:tcPr>
          <w:p w:rsidR="00A44CA7" w:rsidRPr="00942C19" w:rsidRDefault="004A359A">
            <w:pPr>
              <w:spacing w:after="12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1659" w:type="dxa"/>
            <w:shd w:val="clear" w:color="000000" w:fill="DBE5F1"/>
            <w:vAlign w:val="center"/>
            <w:hideMark/>
          </w:tcPr>
          <w:p w:rsidR="004A359A" w:rsidRPr="00942C19" w:rsidRDefault="004A359A" w:rsidP="004A359A">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Interest on Long term Loans</w:t>
            </w:r>
          </w:p>
        </w:tc>
        <w:tc>
          <w:tcPr>
            <w:tcW w:w="165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119.69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Interest on Working Capital Loans</w:t>
            </w:r>
          </w:p>
        </w:tc>
        <w:tc>
          <w:tcPr>
            <w:tcW w:w="165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103.58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b/>
                <w:bCs/>
                <w:sz w:val="22"/>
                <w:szCs w:val="22"/>
                <w:lang w:val="en-IN" w:eastAsia="en-IN"/>
              </w:rPr>
            </w:pPr>
            <w:r w:rsidRPr="00942C19">
              <w:rPr>
                <w:rFonts w:cs="Calibri"/>
                <w:b/>
                <w:bCs/>
                <w:sz w:val="22"/>
                <w:szCs w:val="22"/>
                <w:lang w:val="en-IN" w:eastAsia="en-IN"/>
              </w:rPr>
              <w:t>Sub Total</w:t>
            </w:r>
          </w:p>
        </w:tc>
        <w:tc>
          <w:tcPr>
            <w:tcW w:w="1659"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223.27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b/>
                <w:bCs/>
                <w:sz w:val="22"/>
                <w:szCs w:val="22"/>
                <w:lang w:val="en-IN" w:eastAsia="en-IN"/>
              </w:rPr>
            </w:pPr>
            <w:r w:rsidRPr="00942C19">
              <w:rPr>
                <w:rFonts w:cs="Calibri"/>
                <w:b/>
                <w:bCs/>
                <w:sz w:val="22"/>
                <w:szCs w:val="22"/>
                <w:lang w:val="en-IN" w:eastAsia="en-IN"/>
              </w:rPr>
              <w:t> </w:t>
            </w:r>
          </w:p>
        </w:tc>
        <w:tc>
          <w:tcPr>
            <w:tcW w:w="1659" w:type="dxa"/>
            <w:shd w:val="clear" w:color="auto" w:fill="auto"/>
            <w:noWrap/>
            <w:vAlign w:val="center"/>
            <w:hideMark/>
          </w:tcPr>
          <w:p w:rsidR="0084795B" w:rsidRPr="00942C19" w:rsidRDefault="0084795B">
            <w:pPr>
              <w:spacing w:before="0" w:line="240" w:lineRule="auto"/>
              <w:jc w:val="right"/>
              <w:rPr>
                <w:rFonts w:cs="Calibri"/>
                <w:color w:val="000000"/>
                <w:sz w:val="22"/>
                <w:szCs w:val="22"/>
                <w:lang w:val="en-IN" w:eastAsia="en-IN"/>
              </w:rPr>
            </w:pP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Interest on Consumer Security Deposits</w:t>
            </w:r>
          </w:p>
        </w:tc>
        <w:tc>
          <w:tcPr>
            <w:tcW w:w="165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18.86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Bank Charges</w:t>
            </w:r>
          </w:p>
        </w:tc>
        <w:tc>
          <w:tcPr>
            <w:tcW w:w="165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0.09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Discount to Consumers</w:t>
            </w:r>
          </w:p>
        </w:tc>
        <w:tc>
          <w:tcPr>
            <w:tcW w:w="165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b/>
                <w:bCs/>
                <w:sz w:val="22"/>
                <w:szCs w:val="22"/>
                <w:lang w:val="en-IN" w:eastAsia="en-IN"/>
              </w:rPr>
            </w:pPr>
            <w:r w:rsidRPr="00942C19">
              <w:rPr>
                <w:rFonts w:cs="Calibri"/>
                <w:b/>
                <w:bCs/>
                <w:sz w:val="22"/>
                <w:szCs w:val="22"/>
                <w:lang w:val="en-IN" w:eastAsia="en-IN"/>
              </w:rPr>
              <w:t>Sub Total</w:t>
            </w:r>
          </w:p>
        </w:tc>
        <w:tc>
          <w:tcPr>
            <w:tcW w:w="1659"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18.95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b/>
                <w:bCs/>
                <w:sz w:val="22"/>
                <w:szCs w:val="22"/>
                <w:lang w:val="en-IN" w:eastAsia="en-IN"/>
              </w:rPr>
            </w:pPr>
            <w:r w:rsidRPr="00942C19">
              <w:rPr>
                <w:rFonts w:cs="Calibri"/>
                <w:b/>
                <w:bCs/>
                <w:sz w:val="22"/>
                <w:szCs w:val="22"/>
                <w:lang w:val="en-IN" w:eastAsia="en-IN"/>
              </w:rPr>
              <w:t>Gross Total Interest &amp; Finance Charges</w:t>
            </w:r>
          </w:p>
        </w:tc>
        <w:tc>
          <w:tcPr>
            <w:tcW w:w="1659"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242.22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Less: Capitalization of interest on Long term Loans</w:t>
            </w:r>
          </w:p>
        </w:tc>
        <w:tc>
          <w:tcPr>
            <w:tcW w:w="165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27.53 </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sz w:val="22"/>
                <w:szCs w:val="22"/>
                <w:lang w:val="en-IN" w:eastAsia="en-IN"/>
              </w:rPr>
            </w:pPr>
            <w:r w:rsidRPr="00942C19">
              <w:rPr>
                <w:rFonts w:cs="Calibri"/>
                <w:sz w:val="22"/>
                <w:szCs w:val="22"/>
                <w:lang w:val="en-IN" w:eastAsia="en-IN"/>
              </w:rPr>
              <w:t>Interest Capitalization Rate (%)</w:t>
            </w:r>
          </w:p>
        </w:tc>
        <w:tc>
          <w:tcPr>
            <w:tcW w:w="165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23.00%</w:t>
            </w:r>
          </w:p>
        </w:tc>
      </w:tr>
      <w:tr w:rsidR="007B4E42" w:rsidRPr="00942C19" w:rsidTr="007B4E42">
        <w:trPr>
          <w:trHeight w:val="300"/>
          <w:jc w:val="center"/>
        </w:trPr>
        <w:tc>
          <w:tcPr>
            <w:tcW w:w="5111" w:type="dxa"/>
            <w:shd w:val="clear" w:color="auto" w:fill="auto"/>
            <w:hideMark/>
          </w:tcPr>
          <w:p w:rsidR="007B4E42" w:rsidRPr="00942C19" w:rsidRDefault="007B4E42" w:rsidP="004A359A">
            <w:pPr>
              <w:spacing w:before="0" w:line="240" w:lineRule="auto"/>
              <w:jc w:val="left"/>
              <w:rPr>
                <w:rFonts w:cs="Calibri"/>
                <w:b/>
                <w:bCs/>
                <w:sz w:val="22"/>
                <w:szCs w:val="22"/>
                <w:lang w:val="en-IN" w:eastAsia="en-IN"/>
              </w:rPr>
            </w:pPr>
            <w:r w:rsidRPr="00942C19">
              <w:rPr>
                <w:rFonts w:cs="Calibri"/>
                <w:b/>
                <w:bCs/>
                <w:sz w:val="22"/>
                <w:szCs w:val="22"/>
                <w:lang w:val="en-IN" w:eastAsia="en-IN"/>
              </w:rPr>
              <w:t xml:space="preserve">Net Interest &amp; Finance Charges </w:t>
            </w:r>
          </w:p>
        </w:tc>
        <w:tc>
          <w:tcPr>
            <w:tcW w:w="1659"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214.69 </w:t>
            </w:r>
          </w:p>
        </w:tc>
      </w:tr>
    </w:tbl>
    <w:p w:rsidR="00155FB3" w:rsidRPr="00942C19" w:rsidRDefault="00155FB3" w:rsidP="00155FB3">
      <w:pPr>
        <w:pStyle w:val="Heading2"/>
        <w:keepNext/>
        <w:numPr>
          <w:ilvl w:val="0"/>
          <w:numId w:val="0"/>
        </w:numPr>
        <w:autoSpaceDE/>
        <w:autoSpaceDN/>
        <w:adjustRightInd/>
        <w:spacing w:before="0" w:line="276" w:lineRule="auto"/>
        <w:ind w:left="576"/>
        <w:contextualSpacing w:val="0"/>
      </w:pPr>
      <w:bookmarkStart w:id="726" w:name="_Toc356322607"/>
    </w:p>
    <w:p w:rsidR="00373CF3" w:rsidRPr="00942C19" w:rsidRDefault="00373CF3">
      <w:pPr>
        <w:spacing w:before="0" w:line="240" w:lineRule="auto"/>
        <w:jc w:val="left"/>
        <w:rPr>
          <w:rFonts w:asciiTheme="minorHAnsi" w:hAnsiTheme="minorHAnsi" w:cstheme="minorHAnsi"/>
          <w:b/>
          <w:bCs/>
          <w:color w:val="000000"/>
        </w:rPr>
      </w:pPr>
      <w:r w:rsidRPr="00942C19">
        <w:br w:type="page"/>
      </w: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727" w:name="_Toc357714409"/>
      <w:r w:rsidRPr="00942C19">
        <w:t>PROVISION FOR BAD AND DOUBTFUL DEBTS</w:t>
      </w:r>
      <w:bookmarkEnd w:id="726"/>
      <w:bookmarkEnd w:id="727"/>
    </w:p>
    <w:p w:rsidR="0095636B" w:rsidRPr="00942C19" w:rsidRDefault="0095636B" w:rsidP="0095636B">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710ADC">
      <w:pPr>
        <w:pStyle w:val="Heading3"/>
        <w:numPr>
          <w:ilvl w:val="2"/>
          <w:numId w:val="1"/>
        </w:numPr>
        <w:spacing w:before="0"/>
        <w:rPr>
          <w:b/>
        </w:rPr>
      </w:pPr>
      <w:bookmarkStart w:id="728" w:name="_Toc357349092"/>
      <w:bookmarkStart w:id="729" w:name="_Toc357356145"/>
      <w:r w:rsidRPr="00942C19">
        <w:t xml:space="preserve">Regulation 4.4 of the Distribution Tariff Regulations provide for expenses under Bad &amp; Doubtful Debts to the extent of 2% of the revenue receivables. However the Distribution </w:t>
      </w:r>
      <w:r w:rsidR="009A3804" w:rsidRPr="00942C19">
        <w:t>Licensee</w:t>
      </w:r>
      <w:r w:rsidRPr="00942C19">
        <w:t>s have to actually identify and write-off the bad debts as per a transparent policy approved by the Commission.</w:t>
      </w:r>
      <w:bookmarkEnd w:id="728"/>
      <w:bookmarkEnd w:id="729"/>
    </w:p>
    <w:p w:rsidR="0095636B" w:rsidRPr="00942C19" w:rsidRDefault="0095636B" w:rsidP="0095636B">
      <w:pPr>
        <w:pStyle w:val="Heading2"/>
        <w:keepNext/>
        <w:numPr>
          <w:ilvl w:val="0"/>
          <w:numId w:val="0"/>
        </w:numPr>
        <w:autoSpaceDE/>
        <w:autoSpaceDN/>
        <w:adjustRightInd/>
        <w:spacing w:before="0" w:line="276" w:lineRule="auto"/>
        <w:ind w:left="720"/>
        <w:contextualSpacing w:val="0"/>
        <w:rPr>
          <w:sz w:val="23"/>
          <w:szCs w:val="23"/>
        </w:rPr>
      </w:pPr>
    </w:p>
    <w:p w:rsidR="00222C32" w:rsidRPr="00942C19" w:rsidRDefault="00222C32" w:rsidP="00710ADC">
      <w:pPr>
        <w:pStyle w:val="Heading3"/>
        <w:numPr>
          <w:ilvl w:val="2"/>
          <w:numId w:val="1"/>
        </w:numPr>
        <w:spacing w:before="0"/>
        <w:rPr>
          <w:b/>
        </w:rPr>
      </w:pPr>
      <w:bookmarkStart w:id="730" w:name="_Toc357349093"/>
      <w:bookmarkStart w:id="731" w:name="_Toc357356146"/>
      <w:r w:rsidRPr="00942C19">
        <w:t xml:space="preserve">The Commission in its previous Tariff Orders opined that it is not averse to allowing provision for bad and doubtful debts in the course of normal operations of the Distribution </w:t>
      </w:r>
      <w:r w:rsidR="009A3804" w:rsidRPr="00942C19">
        <w:t>Licensee</w:t>
      </w:r>
      <w:r w:rsidRPr="00942C19">
        <w:t>. However such provisioning needs to backed up with processes to identify consumers who are not paying and then making adequate attempts to collect from such consumers. In this regard</w:t>
      </w:r>
      <w:r w:rsidR="008727B1" w:rsidRPr="00942C19">
        <w:t>,</w:t>
      </w:r>
      <w:r w:rsidRPr="00942C19">
        <w:t xml:space="preserve"> the Commission in its previous order directed the Distribution </w:t>
      </w:r>
      <w:r w:rsidR="009A3804" w:rsidRPr="00942C19">
        <w:t>Licensee</w:t>
      </w:r>
      <w:r w:rsidRPr="00942C19">
        <w:t xml:space="preserve"> to submit ten such sample cases of LT &amp; HT consumers where orders have been issued for writing off bad debts clearly depicting the procedure adopted for writing off bad debts along with a policy framework for Commission’s approval within a month of issue of this </w:t>
      </w:r>
      <w:r w:rsidR="008727B1" w:rsidRPr="00942C19">
        <w:t>O</w:t>
      </w:r>
      <w:r w:rsidRPr="00942C19">
        <w:t xml:space="preserve">rder. In this regard the </w:t>
      </w:r>
      <w:r w:rsidR="009A3804" w:rsidRPr="00942C19">
        <w:t>Licensee</w:t>
      </w:r>
      <w:r w:rsidRPr="00942C19">
        <w:t xml:space="preserve"> has submitted that action is being taken regularly in cases by way of P.D. and writing off the fictitious arrears at the distribution division level. However no such sample was submitted to the Commission.</w:t>
      </w:r>
      <w:bookmarkEnd w:id="730"/>
      <w:bookmarkEnd w:id="731"/>
      <w:r w:rsidRPr="00942C19">
        <w:t xml:space="preserve"> </w:t>
      </w:r>
      <w:bookmarkStart w:id="732" w:name="_Toc357349094"/>
      <w:bookmarkStart w:id="733" w:name="_Toc357356147"/>
      <w:r w:rsidRPr="00942C19">
        <w:t>Thus, in view of the above, Commission opines that it is inappropriate to approve the Bad &amp; Doubtful debts without a proper policy in place.</w:t>
      </w:r>
      <w:bookmarkEnd w:id="732"/>
      <w:bookmarkEnd w:id="733"/>
    </w:p>
    <w:p w:rsidR="00A44CA7" w:rsidRPr="00942C19" w:rsidRDefault="00A44CA7">
      <w:pPr>
        <w:tabs>
          <w:tab w:val="left" w:pos="360"/>
        </w:tabs>
        <w:spacing w:before="0"/>
      </w:pPr>
    </w:p>
    <w:p w:rsidR="00A44CA7" w:rsidRPr="00942C19" w:rsidRDefault="00A44CA7">
      <w:pPr>
        <w:tabs>
          <w:tab w:val="left" w:pos="360"/>
        </w:tabs>
        <w:spacing w:before="0"/>
      </w:pPr>
    </w:p>
    <w:p w:rsidR="00B13F1A" w:rsidRPr="00942C19" w:rsidRDefault="00222C32">
      <w:pPr>
        <w:pStyle w:val="Heading2"/>
        <w:keepNext/>
        <w:numPr>
          <w:ilvl w:val="1"/>
          <w:numId w:val="1"/>
        </w:numPr>
        <w:autoSpaceDE/>
        <w:autoSpaceDN/>
        <w:adjustRightInd/>
        <w:spacing w:before="0" w:line="276" w:lineRule="auto"/>
        <w:contextualSpacing w:val="0"/>
      </w:pPr>
      <w:bookmarkStart w:id="734" w:name="_Toc356322608"/>
      <w:bookmarkStart w:id="735" w:name="_Toc357714410"/>
      <w:r w:rsidRPr="00942C19">
        <w:t>OTHER INCOME</w:t>
      </w:r>
      <w:bookmarkEnd w:id="734"/>
      <w:bookmarkEnd w:id="735"/>
    </w:p>
    <w:p w:rsidR="00A44CA7" w:rsidRPr="00942C19" w:rsidRDefault="00A44CA7">
      <w:pPr>
        <w:pStyle w:val="Heading3"/>
        <w:numPr>
          <w:ilvl w:val="0"/>
          <w:numId w:val="0"/>
        </w:numPr>
        <w:spacing w:before="0"/>
        <w:ind w:left="720" w:hanging="720"/>
        <w:rPr>
          <w:b/>
        </w:rPr>
      </w:pPr>
    </w:p>
    <w:p w:rsidR="00B13F1A" w:rsidRPr="00942C19" w:rsidRDefault="00222C32">
      <w:pPr>
        <w:pStyle w:val="Heading3"/>
        <w:numPr>
          <w:ilvl w:val="2"/>
          <w:numId w:val="1"/>
        </w:numPr>
        <w:spacing w:before="0"/>
        <w:rPr>
          <w:b/>
        </w:rPr>
      </w:pPr>
      <w:bookmarkStart w:id="736" w:name="_Toc357349096"/>
      <w:bookmarkStart w:id="737" w:name="_Toc357356149"/>
      <w:r w:rsidRPr="00942C19">
        <w:t xml:space="preserve">The other income of the Distribution </w:t>
      </w:r>
      <w:r w:rsidR="009A3804" w:rsidRPr="00942C19">
        <w:t>Licensee</w:t>
      </w:r>
      <w:r w:rsidRPr="00942C19">
        <w:t xml:space="preserve"> comprises of </w:t>
      </w:r>
      <w:r w:rsidR="00111E35" w:rsidRPr="00942C19">
        <w:t>items</w:t>
      </w:r>
      <w:r w:rsidRPr="00942C19">
        <w:t xml:space="preserve"> such as Interest on Loan &amp; </w:t>
      </w:r>
      <w:r w:rsidR="00111E35" w:rsidRPr="00942C19">
        <w:t>advance</w:t>
      </w:r>
      <w:r w:rsidRPr="00942C19">
        <w:t xml:space="preserve"> to employees, income from deposits and </w:t>
      </w:r>
      <w:r w:rsidR="00111E35" w:rsidRPr="00942C19">
        <w:t>investments</w:t>
      </w:r>
      <w:r w:rsidRPr="00942C19">
        <w:t xml:space="preserve">, sale of scrap, etc. The </w:t>
      </w:r>
      <w:r w:rsidR="000F7266" w:rsidRPr="00942C19">
        <w:t>C</w:t>
      </w:r>
      <w:r w:rsidRPr="00942C19">
        <w:t>ommission has approved Non-Tariff Income to the tune of Rs 1</w:t>
      </w:r>
      <w:r w:rsidR="00373CF3" w:rsidRPr="00942C19">
        <w:t>4.40</w:t>
      </w:r>
      <w:r w:rsidR="00111E35" w:rsidRPr="00942C19">
        <w:t xml:space="preserve"> crore</w:t>
      </w:r>
      <w:r w:rsidR="00112A2A" w:rsidRPr="00942C19">
        <w:t>s</w:t>
      </w:r>
      <w:r w:rsidR="00111E35" w:rsidRPr="00942C19">
        <w:t xml:space="preserve"> </w:t>
      </w:r>
      <w:r w:rsidRPr="00942C19">
        <w:t>for FY 2013-14. Any variation on this account would be taken up at the time of True-up.</w:t>
      </w:r>
      <w:bookmarkEnd w:id="736"/>
      <w:bookmarkEnd w:id="737"/>
    </w:p>
    <w:p w:rsidR="00222C32" w:rsidRPr="00942C19" w:rsidRDefault="00222C32" w:rsidP="00222C32">
      <w:pPr>
        <w:jc w:val="center"/>
        <w:rPr>
          <w:b/>
        </w:rPr>
      </w:pPr>
      <w:bookmarkStart w:id="738" w:name="_Toc338310718"/>
      <w:bookmarkStart w:id="739" w:name="_Toc338419548"/>
      <w:bookmarkStart w:id="740" w:name="_Toc357719746"/>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52</w:t>
      </w:r>
      <w:r w:rsidR="000C642E" w:rsidRPr="00942C19">
        <w:rPr>
          <w:b/>
        </w:rPr>
        <w:fldChar w:fldCharType="end"/>
      </w:r>
      <w:r w:rsidRPr="00942C19">
        <w:rPr>
          <w:b/>
        </w:rPr>
        <w:t xml:space="preserve">: OTHER INCOME FOR FY 2013-14 (Rs. </w:t>
      </w:r>
      <w:r w:rsidR="000D3A3C" w:rsidRPr="00942C19">
        <w:rPr>
          <w:b/>
        </w:rPr>
        <w:t>Crore</w:t>
      </w:r>
      <w:r w:rsidR="00EE510D">
        <w:rPr>
          <w:b/>
        </w:rPr>
        <w:t>s</w:t>
      </w:r>
      <w:r w:rsidRPr="00942C19">
        <w:rPr>
          <w:b/>
        </w:rPr>
        <w:t>)</w:t>
      </w:r>
      <w:bookmarkEnd w:id="738"/>
      <w:bookmarkEnd w:id="739"/>
      <w:bookmarkEnd w:id="740"/>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124"/>
        <w:gridCol w:w="1944"/>
      </w:tblGrid>
      <w:tr w:rsidR="004A359A" w:rsidRPr="00942C19" w:rsidTr="000F7266">
        <w:trPr>
          <w:trHeight w:val="600"/>
          <w:tblHeader/>
          <w:jc w:val="center"/>
        </w:trPr>
        <w:tc>
          <w:tcPr>
            <w:tcW w:w="3124" w:type="dxa"/>
            <w:shd w:val="clear" w:color="000000" w:fill="DBE5F1"/>
            <w:vAlign w:val="center"/>
            <w:hideMark/>
          </w:tcPr>
          <w:p w:rsidR="004A359A" w:rsidRPr="00942C19" w:rsidRDefault="004A359A" w:rsidP="004A359A">
            <w:pPr>
              <w:spacing w:before="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1944" w:type="dxa"/>
            <w:shd w:val="clear" w:color="000000" w:fill="DBE5F1"/>
            <w:vAlign w:val="center"/>
            <w:hideMark/>
          </w:tcPr>
          <w:p w:rsidR="004A359A" w:rsidRPr="00942C19" w:rsidRDefault="004A359A" w:rsidP="004A359A">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0F7266">
        <w:trPr>
          <w:trHeight w:val="300"/>
          <w:jc w:val="center"/>
        </w:trPr>
        <w:tc>
          <w:tcPr>
            <w:tcW w:w="3124" w:type="dxa"/>
            <w:shd w:val="clear" w:color="auto" w:fill="auto"/>
            <w:noWrap/>
            <w:vAlign w:val="center"/>
            <w:hideMark/>
          </w:tcPr>
          <w:p w:rsidR="007B4E42" w:rsidRPr="00942C19" w:rsidRDefault="007B4E42" w:rsidP="004A359A">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Non Tariff Income</w:t>
            </w:r>
          </w:p>
        </w:tc>
        <w:tc>
          <w:tcPr>
            <w:tcW w:w="1944" w:type="dxa"/>
            <w:shd w:val="clear" w:color="auto" w:fill="auto"/>
            <w:noWrap/>
            <w:vAlign w:val="center"/>
            <w:hideMark/>
          </w:tcPr>
          <w:p w:rsidR="007B4E42" w:rsidRPr="00942C19" w:rsidRDefault="007B4E42" w:rsidP="004A359A">
            <w:pPr>
              <w:spacing w:before="0" w:line="240" w:lineRule="auto"/>
              <w:jc w:val="right"/>
              <w:rPr>
                <w:rFonts w:cs="Calibri"/>
                <w:color w:val="000000"/>
                <w:sz w:val="22"/>
                <w:szCs w:val="22"/>
                <w:lang w:val="en-IN" w:eastAsia="en-IN"/>
              </w:rPr>
            </w:pPr>
            <w:r w:rsidRPr="00942C19">
              <w:rPr>
                <w:rFonts w:cs="Calibri"/>
                <w:color w:val="000000"/>
                <w:sz w:val="22"/>
                <w:szCs w:val="22"/>
              </w:rPr>
              <w:t xml:space="preserve">                       14.40 </w:t>
            </w:r>
          </w:p>
        </w:tc>
      </w:tr>
      <w:tr w:rsidR="007B4E42" w:rsidRPr="00942C19" w:rsidTr="000F7266">
        <w:trPr>
          <w:trHeight w:val="300"/>
          <w:jc w:val="center"/>
        </w:trPr>
        <w:tc>
          <w:tcPr>
            <w:tcW w:w="3124" w:type="dxa"/>
            <w:shd w:val="clear" w:color="auto" w:fill="auto"/>
            <w:noWrap/>
            <w:vAlign w:val="center"/>
            <w:hideMark/>
          </w:tcPr>
          <w:p w:rsidR="007B4E42" w:rsidRPr="00942C19" w:rsidRDefault="007B4E42" w:rsidP="004A359A">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Total</w:t>
            </w:r>
          </w:p>
        </w:tc>
        <w:tc>
          <w:tcPr>
            <w:tcW w:w="1944" w:type="dxa"/>
            <w:shd w:val="clear" w:color="auto" w:fill="auto"/>
            <w:noWrap/>
            <w:vAlign w:val="center"/>
            <w:hideMark/>
          </w:tcPr>
          <w:p w:rsidR="007B4E42" w:rsidRPr="00942C19" w:rsidRDefault="007B4E42" w:rsidP="004A359A">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                       14.40 </w:t>
            </w:r>
          </w:p>
        </w:tc>
      </w:tr>
    </w:tbl>
    <w:p w:rsidR="00A44CA7" w:rsidRPr="00942C19" w:rsidRDefault="00A44CA7">
      <w:pPr>
        <w:pStyle w:val="Heading2"/>
        <w:keepNext/>
        <w:numPr>
          <w:ilvl w:val="0"/>
          <w:numId w:val="0"/>
        </w:numPr>
        <w:autoSpaceDE/>
        <w:autoSpaceDN/>
        <w:adjustRightInd/>
        <w:spacing w:before="0" w:line="276" w:lineRule="auto"/>
        <w:ind w:left="576"/>
        <w:contextualSpacing w:val="0"/>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741" w:name="_Toc357714411"/>
      <w:r w:rsidRPr="00942C19">
        <w:t xml:space="preserve">GoUP </w:t>
      </w:r>
      <w:r w:rsidR="00785E17" w:rsidRPr="00942C19">
        <w:rPr>
          <w:caps/>
        </w:rPr>
        <w:t>Subsidy</w:t>
      </w:r>
      <w:bookmarkEnd w:id="741"/>
    </w:p>
    <w:p w:rsidR="00E6343F" w:rsidRPr="00942C19" w:rsidRDefault="00E6343F" w:rsidP="00E6343F">
      <w:pPr>
        <w:pStyle w:val="Heading3"/>
        <w:numPr>
          <w:ilvl w:val="0"/>
          <w:numId w:val="0"/>
        </w:numPr>
        <w:spacing w:before="0"/>
        <w:ind w:left="720"/>
      </w:pPr>
    </w:p>
    <w:p w:rsidR="00A44CA7" w:rsidRPr="00942C19" w:rsidRDefault="00785E17">
      <w:pPr>
        <w:pStyle w:val="Heading3"/>
        <w:numPr>
          <w:ilvl w:val="2"/>
          <w:numId w:val="1"/>
        </w:numPr>
      </w:pPr>
      <w:bookmarkStart w:id="742" w:name="_Toc357356151"/>
      <w:r w:rsidRPr="00942C19">
        <w:rPr>
          <w:b/>
        </w:rPr>
        <w:t>Clause 6.10 of the Distribution Tariff Regulations provides:</w:t>
      </w:r>
      <w:bookmarkEnd w:id="742"/>
    </w:p>
    <w:p w:rsidR="00A44CA7" w:rsidRPr="00942C19" w:rsidRDefault="00E6343F">
      <w:pPr>
        <w:spacing w:before="240"/>
        <w:ind w:left="720"/>
        <w:rPr>
          <w:i/>
        </w:rPr>
      </w:pPr>
      <w:r w:rsidRPr="00942C19">
        <w:rPr>
          <w:i/>
        </w:rPr>
        <w:t>“</w:t>
      </w:r>
      <w:r w:rsidRPr="00942C19">
        <w:rPr>
          <w:b/>
          <w:i/>
        </w:rPr>
        <w:t>6.10 Provision of Subsidy</w:t>
      </w:r>
    </w:p>
    <w:p w:rsidR="00A44CA7" w:rsidRPr="00942C19" w:rsidRDefault="00E6343F">
      <w:pPr>
        <w:spacing w:before="240"/>
        <w:ind w:left="720"/>
        <w:rPr>
          <w:i/>
        </w:rPr>
      </w:pPr>
      <w:r w:rsidRPr="00942C19">
        <w:rPr>
          <w:i/>
        </w:rPr>
        <w:t>1. The Commission, while determining the tariff, shall see that the tariff progressively reflects the cost of supply of electricity and the cross subsidy is reduced or eliminated.</w:t>
      </w:r>
    </w:p>
    <w:p w:rsidR="00A44CA7" w:rsidRPr="00942C19" w:rsidRDefault="00E6343F">
      <w:pPr>
        <w:spacing w:before="240"/>
        <w:ind w:left="720"/>
        <w:rPr>
          <w:i/>
        </w:rPr>
      </w:pPr>
      <w:r w:rsidRPr="00942C19">
        <w:rPr>
          <w:i/>
        </w:rPr>
        <w:t>2. If the State Go</w:t>
      </w:r>
      <w:r w:rsidR="00785E17" w:rsidRPr="00942C19">
        <w:rPr>
          <w:i/>
        </w:rPr>
        <w:t>v</w:t>
      </w:r>
      <w:r w:rsidRPr="00942C19">
        <w:rPr>
          <w:i/>
        </w:rPr>
        <w:t xml:space="preserve">ernment decides to subsidize any consumer or class of consumers, the State Government shall pay the amount to compensate the affected </w:t>
      </w:r>
      <w:r w:rsidR="009A3804" w:rsidRPr="00942C19">
        <w:rPr>
          <w:i/>
        </w:rPr>
        <w:t>Licensee</w:t>
      </w:r>
      <w:r w:rsidRPr="00942C19">
        <w:rPr>
          <w:i/>
        </w:rPr>
        <w:t xml:space="preserve"> by grant of such subsidy in advance. </w:t>
      </w:r>
    </w:p>
    <w:p w:rsidR="00A44CA7" w:rsidRPr="00942C19" w:rsidRDefault="00E6343F">
      <w:pPr>
        <w:spacing w:before="240"/>
        <w:ind w:left="720"/>
        <w:rPr>
          <w:i/>
        </w:rPr>
      </w:pPr>
      <w:r w:rsidRPr="00942C19">
        <w:rPr>
          <w:i/>
        </w:rPr>
        <w:t>Provided that no such direction of the State Government to grant subsidy shall be operative if the payment is not made in accordance with the relevant provisions contained in these Regulations and the Act. In such a case, the tariff of the applicable categories may be revised excluding the subsidy.</w:t>
      </w:r>
    </w:p>
    <w:p w:rsidR="00A44CA7" w:rsidRPr="00942C19" w:rsidRDefault="00E6343F">
      <w:pPr>
        <w:spacing w:before="240"/>
        <w:ind w:left="720"/>
        <w:rPr>
          <w:i/>
        </w:rPr>
      </w:pPr>
      <w:r w:rsidRPr="00942C19">
        <w:rPr>
          <w:i/>
        </w:rPr>
        <w:t xml:space="preserve">3. The Government shall, by notification, declare the consumers or class of consumers to be subsidized. </w:t>
      </w:r>
    </w:p>
    <w:p w:rsidR="00A44CA7" w:rsidRPr="00942C19" w:rsidRDefault="00E6343F">
      <w:pPr>
        <w:spacing w:before="240"/>
        <w:ind w:left="720"/>
        <w:rPr>
          <w:b/>
          <w:i/>
        </w:rPr>
      </w:pPr>
      <w:r w:rsidRPr="00942C19">
        <w:rPr>
          <w:b/>
          <w:i/>
        </w:rPr>
        <w:t>4. Tariff of the subsidized category shall be designed taking into account the subsidy allocated to that category.</w:t>
      </w:r>
    </w:p>
    <w:p w:rsidR="00A44CA7" w:rsidRPr="00942C19" w:rsidRDefault="00E6343F">
      <w:pPr>
        <w:spacing w:before="240"/>
        <w:ind w:left="720"/>
        <w:rPr>
          <w:i/>
        </w:rPr>
      </w:pPr>
      <w:r w:rsidRPr="00942C19">
        <w:rPr>
          <w:b/>
          <w:i/>
        </w:rPr>
        <w:t xml:space="preserve">5. The Distribution </w:t>
      </w:r>
      <w:r w:rsidR="009A3804" w:rsidRPr="00942C19">
        <w:rPr>
          <w:b/>
          <w:i/>
        </w:rPr>
        <w:t>Licensee</w:t>
      </w:r>
      <w:r w:rsidRPr="00942C19">
        <w:rPr>
          <w:b/>
          <w:i/>
        </w:rPr>
        <w:t xml:space="preserve"> shall furnish details of power consumed by the subsidized category to the State Government and the Commission.</w:t>
      </w:r>
      <w:r w:rsidRPr="00942C19">
        <w:rPr>
          <w:i/>
        </w:rPr>
        <w:t xml:space="preserve"> The Distribution </w:t>
      </w:r>
      <w:r w:rsidR="009A3804" w:rsidRPr="00942C19">
        <w:rPr>
          <w:i/>
        </w:rPr>
        <w:t>Licensee</w:t>
      </w:r>
      <w:r w:rsidRPr="00942C19">
        <w:rPr>
          <w:i/>
        </w:rPr>
        <w:t xml:space="preserve"> shall provide meters on all rural distribution transformers and shall also furnish the power consumption details in respect of agricultural and rural domestic consumption based on readings from such meters and normative distribution losses on a monthly basis.” </w:t>
      </w:r>
      <w:r w:rsidRPr="00942C19">
        <w:rPr>
          <w:b/>
          <w:i/>
        </w:rPr>
        <w:t>(Emphasis supplied)</w:t>
      </w:r>
    </w:p>
    <w:p w:rsidR="001A48AC" w:rsidRPr="00942C19" w:rsidRDefault="001A48AC" w:rsidP="001A48AC">
      <w:pPr>
        <w:pStyle w:val="Heading2"/>
        <w:keepNext/>
        <w:numPr>
          <w:ilvl w:val="0"/>
          <w:numId w:val="0"/>
        </w:numPr>
        <w:autoSpaceDE/>
        <w:autoSpaceDN/>
        <w:adjustRightInd/>
        <w:spacing w:before="0" w:line="276" w:lineRule="auto"/>
        <w:ind w:left="720"/>
        <w:contextualSpacing w:val="0"/>
      </w:pPr>
    </w:p>
    <w:p w:rsidR="00E6343F" w:rsidRPr="00942C19" w:rsidRDefault="00E6343F" w:rsidP="00710ADC">
      <w:pPr>
        <w:pStyle w:val="Heading3"/>
        <w:numPr>
          <w:ilvl w:val="2"/>
          <w:numId w:val="1"/>
        </w:numPr>
        <w:spacing w:before="0"/>
        <w:rPr>
          <w:b/>
        </w:rPr>
      </w:pPr>
      <w:bookmarkStart w:id="743" w:name="_Toc357356152"/>
      <w:r w:rsidRPr="00942C19">
        <w:t>The Commission vide Letter No. UPERC/D(T)/2013-176 dated 06</w:t>
      </w:r>
      <w:r w:rsidRPr="00942C19">
        <w:rPr>
          <w:vertAlign w:val="superscript"/>
        </w:rPr>
        <w:t>th</w:t>
      </w:r>
      <w:r w:rsidRPr="00942C19">
        <w:t xml:space="preserve"> May, 2013 had directed the </w:t>
      </w:r>
      <w:r w:rsidR="009A3804" w:rsidRPr="00942C19">
        <w:t>Licensee</w:t>
      </w:r>
      <w:r w:rsidRPr="00942C19">
        <w:t xml:space="preserve"> to furnish the details of the subsidy commitment from the GoUP for FY 2013-14 and the basis of its allocation among Discoms. In this regard, the </w:t>
      </w:r>
      <w:r w:rsidR="009A3804" w:rsidRPr="00942C19">
        <w:t>Licensee</w:t>
      </w:r>
      <w:r w:rsidRPr="00942C19">
        <w:t xml:space="preserve"> in its response vide Letter No. 1045/RAU/ARR FY 2013-14 dated 15</w:t>
      </w:r>
      <w:r w:rsidRPr="00942C19">
        <w:rPr>
          <w:vertAlign w:val="superscript"/>
        </w:rPr>
        <w:t>th</w:t>
      </w:r>
      <w:r w:rsidRPr="00942C19">
        <w:t xml:space="preserve"> May, 2013 has submitted the details of the budgeted subsidy support of GoUP as below:</w:t>
      </w:r>
      <w:bookmarkEnd w:id="743"/>
    </w:p>
    <w:p w:rsidR="00E6343F" w:rsidRPr="00942C19" w:rsidRDefault="00E6343F" w:rsidP="00A818DC">
      <w:pPr>
        <w:pStyle w:val="ListParagraph"/>
        <w:numPr>
          <w:ilvl w:val="0"/>
          <w:numId w:val="55"/>
        </w:numPr>
        <w:spacing w:before="240"/>
        <w:contextualSpacing/>
        <w:rPr>
          <w:rFonts w:asciiTheme="minorHAnsi" w:hAnsiTheme="minorHAnsi"/>
        </w:rPr>
      </w:pPr>
      <w:r w:rsidRPr="00942C19">
        <w:rPr>
          <w:rFonts w:asciiTheme="minorHAnsi" w:hAnsiTheme="minorHAnsi"/>
        </w:rPr>
        <w:t xml:space="preserve">Revenue Subsidy - Rs. 3,800 </w:t>
      </w:r>
      <w:r w:rsidR="000D3A3C" w:rsidRPr="00942C19">
        <w:rPr>
          <w:rFonts w:asciiTheme="minorHAnsi" w:hAnsiTheme="minorHAnsi"/>
        </w:rPr>
        <w:t>Crore</w:t>
      </w:r>
      <w:r w:rsidR="00EE510D">
        <w:rPr>
          <w:rFonts w:asciiTheme="minorHAnsi" w:hAnsiTheme="minorHAnsi"/>
        </w:rPr>
        <w:t>s</w:t>
      </w:r>
    </w:p>
    <w:p w:rsidR="00E6343F" w:rsidRPr="00942C19" w:rsidRDefault="00E6343F" w:rsidP="00A818DC">
      <w:pPr>
        <w:pStyle w:val="ListParagraph"/>
        <w:numPr>
          <w:ilvl w:val="0"/>
          <w:numId w:val="55"/>
        </w:numPr>
        <w:spacing w:before="240"/>
        <w:contextualSpacing/>
        <w:rPr>
          <w:rFonts w:asciiTheme="minorHAnsi" w:hAnsiTheme="minorHAnsi"/>
        </w:rPr>
      </w:pPr>
      <w:r w:rsidRPr="00942C19">
        <w:rPr>
          <w:rFonts w:asciiTheme="minorHAnsi" w:hAnsiTheme="minorHAnsi"/>
        </w:rPr>
        <w:t xml:space="preserve">Agriculture Subsidy - Rs. 240 </w:t>
      </w:r>
      <w:r w:rsidR="000D3A3C" w:rsidRPr="00942C19">
        <w:rPr>
          <w:rFonts w:asciiTheme="minorHAnsi" w:hAnsiTheme="minorHAnsi"/>
        </w:rPr>
        <w:t>Crore</w:t>
      </w:r>
      <w:r w:rsidR="00EE510D">
        <w:rPr>
          <w:rFonts w:asciiTheme="minorHAnsi" w:hAnsiTheme="minorHAnsi"/>
        </w:rPr>
        <w:t>s</w:t>
      </w:r>
    </w:p>
    <w:p w:rsidR="00E6343F" w:rsidRPr="00942C19" w:rsidRDefault="00E6343F" w:rsidP="00A818DC">
      <w:pPr>
        <w:pStyle w:val="ListParagraph"/>
        <w:numPr>
          <w:ilvl w:val="0"/>
          <w:numId w:val="55"/>
        </w:numPr>
        <w:spacing w:before="240"/>
        <w:contextualSpacing/>
        <w:rPr>
          <w:rFonts w:asciiTheme="minorHAnsi" w:hAnsiTheme="minorHAnsi"/>
        </w:rPr>
      </w:pPr>
      <w:r w:rsidRPr="00942C19">
        <w:rPr>
          <w:rFonts w:asciiTheme="minorHAnsi" w:hAnsiTheme="minorHAnsi"/>
        </w:rPr>
        <w:t xml:space="preserve">Revenue Subsidy (against payment of Electricity Duty) - Rs. 624 </w:t>
      </w:r>
      <w:r w:rsidR="000D3A3C" w:rsidRPr="00942C19">
        <w:rPr>
          <w:rFonts w:asciiTheme="minorHAnsi" w:hAnsiTheme="minorHAnsi"/>
        </w:rPr>
        <w:t>Crore</w:t>
      </w:r>
      <w:r w:rsidR="00EE510D">
        <w:rPr>
          <w:rFonts w:asciiTheme="minorHAnsi" w:hAnsiTheme="minorHAnsi"/>
        </w:rPr>
        <w:t>s</w:t>
      </w:r>
    </w:p>
    <w:p w:rsidR="001A48AC" w:rsidRPr="00942C19" w:rsidRDefault="001A48AC" w:rsidP="001A48AC">
      <w:pPr>
        <w:pStyle w:val="Heading2"/>
        <w:keepNext/>
        <w:numPr>
          <w:ilvl w:val="0"/>
          <w:numId w:val="0"/>
        </w:numPr>
        <w:autoSpaceDE/>
        <w:autoSpaceDN/>
        <w:adjustRightInd/>
        <w:spacing w:before="0" w:line="276" w:lineRule="auto"/>
        <w:ind w:left="720"/>
        <w:contextualSpacing w:val="0"/>
      </w:pPr>
    </w:p>
    <w:p w:rsidR="00E6343F" w:rsidRPr="00942C19" w:rsidRDefault="00E6343F" w:rsidP="00710ADC">
      <w:pPr>
        <w:pStyle w:val="Heading3"/>
        <w:numPr>
          <w:ilvl w:val="2"/>
          <w:numId w:val="1"/>
        </w:numPr>
        <w:spacing w:before="0"/>
        <w:rPr>
          <w:b/>
        </w:rPr>
      </w:pPr>
      <w:bookmarkStart w:id="744" w:name="_Toc357356153"/>
      <w:r w:rsidRPr="00942C19">
        <w:t xml:space="preserve">Further, the </w:t>
      </w:r>
      <w:r w:rsidR="009A3804" w:rsidRPr="00942C19">
        <w:t>Licensee</w:t>
      </w:r>
      <w:r w:rsidRPr="00942C19">
        <w:t xml:space="preserve"> has submitted that </w:t>
      </w:r>
      <w:r w:rsidRPr="00942C19">
        <w:rPr>
          <w:i/>
        </w:rPr>
        <w:t>“the revenue subsidy is allocated to each Discom on the basis of their proportionate share of connected load of Rural Domestic and agriculture subsidy is allocated on the basis of the proportionate share of connected load of Private Tube</w:t>
      </w:r>
      <w:r w:rsidR="000F7266" w:rsidRPr="00942C19">
        <w:rPr>
          <w:i/>
        </w:rPr>
        <w:t xml:space="preserve"> </w:t>
      </w:r>
      <w:r w:rsidRPr="00942C19">
        <w:rPr>
          <w:i/>
        </w:rPr>
        <w:t>wells (Agriculture) consumers. Adjustment against electricity duty is allocated among Discoms based on actual</w:t>
      </w:r>
      <w:r w:rsidR="000F7266" w:rsidRPr="00942C19">
        <w:rPr>
          <w:i/>
        </w:rPr>
        <w:t>s</w:t>
      </w:r>
      <w:r w:rsidRPr="00942C19">
        <w:rPr>
          <w:i/>
        </w:rPr>
        <w:t xml:space="preserve">. The subsidy allocation for FY 2013-14 has been provided through state budget (copy of which is available at </w:t>
      </w:r>
      <w:hyperlink r:id="rId33" w:history="1">
        <w:r w:rsidRPr="00942C19">
          <w:rPr>
            <w:rStyle w:val="Hyperlink"/>
            <w:i/>
          </w:rPr>
          <w:t>www.budget.up.nic.in</w:t>
        </w:r>
      </w:hyperlink>
      <w:r w:rsidRPr="00942C19">
        <w:rPr>
          <w:i/>
        </w:rPr>
        <w:t>). Although currently, subsidy is being allocated to Discoms based on aforementioned philosophy, however, the rationale for allocation among Discoms may change such that all Discoms achieve operational surplus together.”</w:t>
      </w:r>
      <w:bookmarkEnd w:id="744"/>
      <w:r w:rsidRPr="00942C19">
        <w:t xml:space="preserve"> </w:t>
      </w:r>
    </w:p>
    <w:p w:rsidR="001A48AC" w:rsidRPr="00942C19" w:rsidRDefault="001A48AC" w:rsidP="001A48AC">
      <w:pPr>
        <w:pStyle w:val="Heading2"/>
        <w:keepNext/>
        <w:numPr>
          <w:ilvl w:val="0"/>
          <w:numId w:val="0"/>
        </w:numPr>
        <w:autoSpaceDE/>
        <w:autoSpaceDN/>
        <w:adjustRightInd/>
        <w:spacing w:before="0" w:line="276" w:lineRule="auto"/>
        <w:ind w:left="720"/>
        <w:contextualSpacing w:val="0"/>
        <w:rPr>
          <w:b w:val="0"/>
        </w:rPr>
      </w:pPr>
    </w:p>
    <w:p w:rsidR="00E6343F" w:rsidRPr="00942C19" w:rsidRDefault="00E6343F" w:rsidP="00710ADC">
      <w:pPr>
        <w:pStyle w:val="Heading3"/>
        <w:numPr>
          <w:ilvl w:val="2"/>
          <w:numId w:val="1"/>
        </w:numPr>
        <w:spacing w:before="0"/>
        <w:rPr>
          <w:b/>
        </w:rPr>
      </w:pPr>
      <w:bookmarkStart w:id="745" w:name="_Toc357356154"/>
      <w:r w:rsidRPr="00942C19">
        <w:t xml:space="preserve">The Commission has accepted the total subsidy allocation of Rs. 4,664 </w:t>
      </w:r>
      <w:r w:rsidR="000F7266" w:rsidRPr="00942C19">
        <w:t xml:space="preserve">crores </w:t>
      </w:r>
      <w:r w:rsidRPr="00942C19">
        <w:t xml:space="preserve">for FY 2013-14 from GoUP. The same have been allocated among Discoms </w:t>
      </w:r>
      <w:r w:rsidR="0072340F" w:rsidRPr="00942C19">
        <w:t xml:space="preserve">based on the same methodology </w:t>
      </w:r>
      <w:r w:rsidRPr="00942C19">
        <w:t xml:space="preserve">as suggested by the </w:t>
      </w:r>
      <w:r w:rsidR="009A3804" w:rsidRPr="00942C19">
        <w:t>Licensee</w:t>
      </w:r>
      <w:r w:rsidRPr="00942C19">
        <w:t xml:space="preserve">. </w:t>
      </w:r>
      <w:r w:rsidR="00785E17" w:rsidRPr="00942C19">
        <w:t xml:space="preserve">The share of the Licensee out of the total subsidy commitment for FY 2013-14 is Rs. </w:t>
      </w:r>
      <w:r w:rsidR="00373CF3" w:rsidRPr="00942C19">
        <w:t>817.40</w:t>
      </w:r>
      <w:r w:rsidR="00785E17" w:rsidRPr="00942C19">
        <w:t xml:space="preserve"> crore</w:t>
      </w:r>
      <w:r w:rsidR="00112A2A" w:rsidRPr="00942C19">
        <w:t>s</w:t>
      </w:r>
      <w:r w:rsidR="00785E17" w:rsidRPr="00942C19">
        <w:t xml:space="preserve"> based on the billing determinants approved </w:t>
      </w:r>
      <w:r w:rsidR="004D2506" w:rsidRPr="00942C19">
        <w:t xml:space="preserve">in respect of connected load, </w:t>
      </w:r>
      <w:r w:rsidR="00785E17" w:rsidRPr="00942C19">
        <w:t>by the Commission for various Licensees in the Tariff Orders for FY 2013-14 as depicted in the table below:</w:t>
      </w:r>
      <w:bookmarkEnd w:id="745"/>
    </w:p>
    <w:p w:rsidR="00E6343F" w:rsidRPr="00942C19" w:rsidRDefault="00785E17" w:rsidP="00E6343F">
      <w:pPr>
        <w:jc w:val="center"/>
        <w:rPr>
          <w:b/>
        </w:rPr>
      </w:pPr>
      <w:bookmarkStart w:id="746" w:name="_Toc357719747"/>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53</w:t>
      </w:r>
      <w:r w:rsidR="000C642E" w:rsidRPr="00942C19">
        <w:rPr>
          <w:b/>
        </w:rPr>
        <w:fldChar w:fldCharType="end"/>
      </w:r>
      <w:r w:rsidRPr="00942C19">
        <w:rPr>
          <w:b/>
        </w:rPr>
        <w:t>: APPROVED GoUP SUBSIDY FOR FY 2013-14 (Rs. Crores)</w:t>
      </w:r>
      <w:bookmarkEnd w:id="746"/>
    </w:p>
    <w:tbl>
      <w:tblPr>
        <w:tblW w:w="5433" w:type="dxa"/>
        <w:jc w:val="center"/>
        <w:tblInd w:w="103" w:type="dxa"/>
        <w:tblLook w:val="04A0"/>
      </w:tblPr>
      <w:tblGrid>
        <w:gridCol w:w="3732"/>
        <w:gridCol w:w="1701"/>
      </w:tblGrid>
      <w:tr w:rsidR="00E6343F" w:rsidRPr="00942C19" w:rsidTr="000F7266">
        <w:trPr>
          <w:trHeight w:val="300"/>
          <w:jc w:val="center"/>
        </w:trPr>
        <w:tc>
          <w:tcPr>
            <w:tcW w:w="3732" w:type="dxa"/>
            <w:tcBorders>
              <w:top w:val="dotted" w:sz="4" w:space="0" w:color="auto"/>
              <w:left w:val="dotted" w:sz="4" w:space="0" w:color="auto"/>
              <w:bottom w:val="nil"/>
              <w:right w:val="dotted" w:sz="4" w:space="0" w:color="auto"/>
            </w:tcBorders>
            <w:shd w:val="clear" w:color="000000" w:fill="DBE5F1"/>
            <w:noWrap/>
            <w:vAlign w:val="center"/>
            <w:hideMark/>
          </w:tcPr>
          <w:p w:rsidR="00E6343F" w:rsidRPr="00942C19" w:rsidRDefault="00E6343F" w:rsidP="00E6343F">
            <w:pPr>
              <w:spacing w:before="0" w:line="240" w:lineRule="auto"/>
              <w:jc w:val="center"/>
              <w:rPr>
                <w:b/>
                <w:bCs/>
                <w:color w:val="000000"/>
                <w:sz w:val="22"/>
                <w:szCs w:val="22"/>
                <w:lang w:val="en-US"/>
              </w:rPr>
            </w:pPr>
            <w:r w:rsidRPr="00942C19">
              <w:rPr>
                <w:b/>
                <w:bCs/>
                <w:color w:val="000000"/>
                <w:sz w:val="22"/>
                <w:szCs w:val="22"/>
                <w:lang w:val="en-IN" w:eastAsia="en-IN"/>
              </w:rPr>
              <w:t>Particulars</w:t>
            </w:r>
          </w:p>
        </w:tc>
        <w:tc>
          <w:tcPr>
            <w:tcW w:w="1701" w:type="dxa"/>
            <w:tcBorders>
              <w:top w:val="dotted" w:sz="4" w:space="0" w:color="auto"/>
              <w:left w:val="nil"/>
              <w:bottom w:val="nil"/>
              <w:right w:val="dotted" w:sz="4" w:space="0" w:color="auto"/>
            </w:tcBorders>
            <w:shd w:val="clear" w:color="000000" w:fill="DBE5F1"/>
            <w:vAlign w:val="center"/>
            <w:hideMark/>
          </w:tcPr>
          <w:p w:rsidR="00155FB3" w:rsidRPr="00942C19" w:rsidRDefault="00E6343F" w:rsidP="00155FB3">
            <w:pPr>
              <w:spacing w:before="0" w:line="240" w:lineRule="auto"/>
              <w:jc w:val="right"/>
              <w:rPr>
                <w:rFonts w:cs="Arial"/>
                <w:b/>
                <w:bCs/>
                <w:color w:val="000000"/>
                <w:kern w:val="32"/>
                <w:sz w:val="22"/>
                <w:szCs w:val="22"/>
                <w:lang w:val="en-US"/>
              </w:rPr>
            </w:pPr>
            <w:r w:rsidRPr="00942C19">
              <w:rPr>
                <w:b/>
                <w:bCs/>
                <w:color w:val="000000"/>
                <w:sz w:val="22"/>
                <w:szCs w:val="22"/>
                <w:lang w:val="en-US"/>
              </w:rPr>
              <w:t>2013-14</w:t>
            </w:r>
          </w:p>
        </w:tc>
      </w:tr>
      <w:tr w:rsidR="007B4E42" w:rsidRPr="00942C19" w:rsidTr="007B4E42">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E6343F">
            <w:pPr>
              <w:spacing w:before="0" w:line="240" w:lineRule="auto"/>
              <w:jc w:val="left"/>
              <w:rPr>
                <w:color w:val="000000"/>
                <w:sz w:val="22"/>
                <w:szCs w:val="22"/>
                <w:lang w:val="en-US"/>
              </w:rPr>
            </w:pPr>
            <w:r w:rsidRPr="00942C19">
              <w:rPr>
                <w:color w:val="000000"/>
                <w:sz w:val="22"/>
                <w:szCs w:val="22"/>
                <w:lang w:val="en-US"/>
              </w:rPr>
              <w:t>Revenue Subsidy</w:t>
            </w:r>
          </w:p>
        </w:tc>
        <w:tc>
          <w:tcPr>
            <w:tcW w:w="1701" w:type="dxa"/>
            <w:tcBorders>
              <w:top w:val="nil"/>
              <w:left w:val="nil"/>
              <w:bottom w:val="dotted" w:sz="4" w:space="0" w:color="auto"/>
              <w:right w:val="dotted" w:sz="4" w:space="0" w:color="auto"/>
            </w:tcBorders>
            <w:shd w:val="clear" w:color="000000" w:fill="FFFFFF"/>
            <w:vAlign w:val="bottom"/>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            625.00 </w:t>
            </w:r>
          </w:p>
        </w:tc>
      </w:tr>
      <w:tr w:rsidR="007B4E42" w:rsidRPr="00942C19" w:rsidTr="007B4E42">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E6343F">
            <w:pPr>
              <w:spacing w:before="0" w:line="240" w:lineRule="auto"/>
              <w:jc w:val="left"/>
              <w:rPr>
                <w:color w:val="000000"/>
                <w:sz w:val="22"/>
                <w:szCs w:val="22"/>
                <w:lang w:val="en-US"/>
              </w:rPr>
            </w:pPr>
            <w:r w:rsidRPr="00942C19">
              <w:rPr>
                <w:color w:val="000000"/>
                <w:sz w:val="22"/>
                <w:szCs w:val="22"/>
                <w:lang w:val="en-US"/>
              </w:rPr>
              <w:t>Agriculture Subsidy</w:t>
            </w:r>
          </w:p>
        </w:tc>
        <w:tc>
          <w:tcPr>
            <w:tcW w:w="1701" w:type="dxa"/>
            <w:tcBorders>
              <w:top w:val="nil"/>
              <w:left w:val="nil"/>
              <w:bottom w:val="dotted" w:sz="4" w:space="0" w:color="auto"/>
              <w:right w:val="dotted" w:sz="4" w:space="0" w:color="auto"/>
            </w:tcBorders>
            <w:shd w:val="clear" w:color="000000" w:fill="FFFFFF"/>
            <w:vAlign w:val="bottom"/>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              27.24 </w:t>
            </w:r>
          </w:p>
        </w:tc>
      </w:tr>
      <w:tr w:rsidR="007B4E42" w:rsidRPr="00942C19" w:rsidTr="007B4E42">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E6343F">
            <w:pPr>
              <w:spacing w:before="0" w:line="240" w:lineRule="auto"/>
              <w:jc w:val="left"/>
              <w:rPr>
                <w:color w:val="000000"/>
                <w:sz w:val="22"/>
                <w:szCs w:val="22"/>
                <w:lang w:val="en-US"/>
              </w:rPr>
            </w:pPr>
            <w:r w:rsidRPr="00942C19">
              <w:rPr>
                <w:color w:val="000000"/>
                <w:sz w:val="22"/>
                <w:szCs w:val="22"/>
                <w:lang w:val="en-US"/>
              </w:rPr>
              <w:t>Adjustment against Electricity Duty</w:t>
            </w:r>
          </w:p>
        </w:tc>
        <w:tc>
          <w:tcPr>
            <w:tcW w:w="1701" w:type="dxa"/>
            <w:tcBorders>
              <w:top w:val="nil"/>
              <w:left w:val="nil"/>
              <w:bottom w:val="dotted" w:sz="4" w:space="0" w:color="auto"/>
              <w:right w:val="dotted" w:sz="4" w:space="0" w:color="auto"/>
            </w:tcBorders>
            <w:shd w:val="clear" w:color="000000" w:fill="FFFFFF"/>
            <w:vAlign w:val="bottom"/>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            165.16 </w:t>
            </w:r>
          </w:p>
        </w:tc>
      </w:tr>
      <w:tr w:rsidR="007B4E42" w:rsidRPr="00942C19" w:rsidTr="007B4E42">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E6343F">
            <w:pPr>
              <w:spacing w:before="0" w:line="240" w:lineRule="auto"/>
              <w:jc w:val="left"/>
              <w:rPr>
                <w:b/>
                <w:bCs/>
                <w:color w:val="000000"/>
                <w:sz w:val="22"/>
                <w:szCs w:val="22"/>
                <w:lang w:val="en-US"/>
              </w:rPr>
            </w:pPr>
            <w:r w:rsidRPr="00942C19">
              <w:rPr>
                <w:b/>
                <w:bCs/>
                <w:color w:val="000000"/>
                <w:sz w:val="22"/>
                <w:szCs w:val="22"/>
                <w:lang w:val="en-US"/>
              </w:rPr>
              <w:t>Total Subsidy Approved</w:t>
            </w:r>
          </w:p>
        </w:tc>
        <w:tc>
          <w:tcPr>
            <w:tcW w:w="1701" w:type="dxa"/>
            <w:tcBorders>
              <w:top w:val="nil"/>
              <w:left w:val="nil"/>
              <w:bottom w:val="dotted" w:sz="4" w:space="0" w:color="auto"/>
              <w:right w:val="dotted" w:sz="4" w:space="0" w:color="auto"/>
            </w:tcBorders>
            <w:shd w:val="clear" w:color="000000" w:fill="FFFFFF"/>
            <w:vAlign w:val="bottom"/>
            <w:hideMark/>
          </w:tcPr>
          <w:p w:rsidR="00155FB3" w:rsidRPr="00942C19" w:rsidRDefault="007B4E42" w:rsidP="00155FB3">
            <w:pPr>
              <w:spacing w:before="0" w:line="240" w:lineRule="auto"/>
              <w:jc w:val="right"/>
              <w:rPr>
                <w:b/>
                <w:bCs/>
                <w:color w:val="000000"/>
                <w:sz w:val="22"/>
                <w:szCs w:val="22"/>
                <w:lang w:val="en-US"/>
              </w:rPr>
            </w:pPr>
            <w:r w:rsidRPr="00942C19">
              <w:rPr>
                <w:rFonts w:cs="Calibri"/>
                <w:b/>
                <w:bCs/>
                <w:color w:val="000000"/>
                <w:sz w:val="22"/>
                <w:szCs w:val="22"/>
              </w:rPr>
              <w:t xml:space="preserve">            817.40 </w:t>
            </w:r>
          </w:p>
        </w:tc>
      </w:tr>
    </w:tbl>
    <w:p w:rsidR="008B46AF" w:rsidRPr="00942C19" w:rsidRDefault="008B46AF" w:rsidP="008B46AF">
      <w:pPr>
        <w:pStyle w:val="Heading3"/>
        <w:numPr>
          <w:ilvl w:val="0"/>
          <w:numId w:val="0"/>
        </w:numPr>
        <w:spacing w:before="0"/>
        <w:ind w:left="720"/>
        <w:rPr>
          <w:b/>
          <w:lang w:val="en-IN" w:eastAsia="en-IN"/>
        </w:rPr>
      </w:pPr>
      <w:bookmarkStart w:id="747" w:name="_Toc357356155"/>
    </w:p>
    <w:p w:rsidR="000F7266" w:rsidRPr="00942C19" w:rsidRDefault="000F7266" w:rsidP="008B46AF">
      <w:pPr>
        <w:pStyle w:val="Heading3"/>
        <w:numPr>
          <w:ilvl w:val="0"/>
          <w:numId w:val="0"/>
        </w:numPr>
        <w:spacing w:before="0"/>
        <w:ind w:left="720"/>
        <w:rPr>
          <w:b/>
          <w:lang w:val="en-IN" w:eastAsia="en-IN"/>
        </w:rPr>
      </w:pPr>
    </w:p>
    <w:p w:rsidR="000F7266" w:rsidRPr="00942C19" w:rsidRDefault="000F7266" w:rsidP="000F7266">
      <w:pPr>
        <w:pStyle w:val="Heading2"/>
        <w:keepNext/>
        <w:numPr>
          <w:ilvl w:val="1"/>
          <w:numId w:val="1"/>
        </w:numPr>
        <w:autoSpaceDE/>
        <w:autoSpaceDN/>
        <w:adjustRightInd/>
        <w:spacing w:before="0" w:line="276" w:lineRule="auto"/>
        <w:contextualSpacing w:val="0"/>
      </w:pPr>
      <w:bookmarkStart w:id="748" w:name="_Toc357714412"/>
      <w:r w:rsidRPr="00942C19">
        <w:t xml:space="preserve">ADDITIONAL </w:t>
      </w:r>
      <w:r w:rsidRPr="00942C19">
        <w:rPr>
          <w:caps/>
        </w:rPr>
        <w:t>Subsidy REQUIREMENT FROM GoUP</w:t>
      </w:r>
      <w:bookmarkEnd w:id="748"/>
    </w:p>
    <w:p w:rsidR="000F7266" w:rsidRPr="00942C19" w:rsidRDefault="000F7266" w:rsidP="000F7266">
      <w:pPr>
        <w:pStyle w:val="Heading3"/>
        <w:numPr>
          <w:ilvl w:val="0"/>
          <w:numId w:val="0"/>
        </w:numPr>
        <w:spacing w:before="0"/>
        <w:ind w:left="720"/>
      </w:pPr>
    </w:p>
    <w:p w:rsidR="001505FC" w:rsidRPr="00942C19" w:rsidRDefault="001505FC" w:rsidP="00710ADC">
      <w:pPr>
        <w:pStyle w:val="Heading3"/>
        <w:numPr>
          <w:ilvl w:val="2"/>
          <w:numId w:val="1"/>
        </w:numPr>
        <w:spacing w:before="0"/>
        <w:rPr>
          <w:b/>
          <w:lang w:val="en-IN" w:eastAsia="en-IN"/>
        </w:rPr>
      </w:pPr>
      <w:r w:rsidRPr="00942C19">
        <w:t>The Commission in the true up Order dated 21</w:t>
      </w:r>
      <w:r w:rsidR="00785E17" w:rsidRPr="00942C19">
        <w:rPr>
          <w:vertAlign w:val="superscript"/>
        </w:rPr>
        <w:t>st</w:t>
      </w:r>
      <w:r w:rsidRPr="00942C19">
        <w:t xml:space="preserve"> May, 2013 had computed the additional subsidy requirement from GoUP as the difference between actual cost of sales to subsidised categories and the revenue assessment to the subsidised categories of LMV-1 (a): Consumer getting supply as per "Rural Schedule" and LMV-5: Private Tube wells (PTW). Similarly, the Commission in this Order also, has computed the additional subsidy requirement from GoUP which ensures that commensurate subsidy from GoUP is factored in the ARR being approved for FY 2013-14.</w:t>
      </w:r>
    </w:p>
    <w:bookmarkEnd w:id="747"/>
    <w:p w:rsidR="001505FC" w:rsidRPr="00942C19" w:rsidRDefault="001505FC" w:rsidP="001A48AC">
      <w:pPr>
        <w:pStyle w:val="Heading2"/>
        <w:keepNext/>
        <w:numPr>
          <w:ilvl w:val="0"/>
          <w:numId w:val="0"/>
        </w:numPr>
        <w:autoSpaceDE/>
        <w:autoSpaceDN/>
        <w:adjustRightInd/>
        <w:spacing w:before="0" w:line="276" w:lineRule="auto"/>
        <w:ind w:left="720"/>
        <w:contextualSpacing w:val="0"/>
        <w:rPr>
          <w:b w:val="0"/>
          <w:bCs w:val="0"/>
          <w:lang w:val="en-IN" w:eastAsia="en-IN"/>
        </w:rPr>
      </w:pPr>
    </w:p>
    <w:p w:rsidR="00E6343F" w:rsidRPr="00942C19" w:rsidRDefault="00785E17" w:rsidP="00710ADC">
      <w:pPr>
        <w:pStyle w:val="Heading3"/>
        <w:numPr>
          <w:ilvl w:val="2"/>
          <w:numId w:val="1"/>
        </w:numPr>
        <w:spacing w:before="0"/>
        <w:rPr>
          <w:b/>
          <w:bCs w:val="0"/>
          <w:lang w:val="en-IN" w:eastAsia="en-IN"/>
        </w:rPr>
      </w:pPr>
      <w:bookmarkStart w:id="749" w:name="_Toc357356156"/>
      <w:r w:rsidRPr="00942C19">
        <w:rPr>
          <w:lang w:val="en-IN" w:eastAsia="en-IN"/>
        </w:rPr>
        <w:t xml:space="preserve">As per the table provided below, the actual subsidy requirement has been worked out to be Rs. </w:t>
      </w:r>
      <w:r w:rsidR="00373CF3" w:rsidRPr="00942C19">
        <w:rPr>
          <w:lang w:val="en-IN" w:eastAsia="en-IN"/>
        </w:rPr>
        <w:t>883.20</w:t>
      </w:r>
      <w:r w:rsidRPr="00942C19">
        <w:rPr>
          <w:lang w:val="en-IN" w:eastAsia="en-IN"/>
        </w:rPr>
        <w:t xml:space="preserve"> crores. Out of the above, the revenue subsidy available from GoUP is only Rs. </w:t>
      </w:r>
      <w:r w:rsidR="00373CF3" w:rsidRPr="00942C19">
        <w:rPr>
          <w:lang w:val="en-IN" w:eastAsia="en-IN"/>
        </w:rPr>
        <w:t>817.40</w:t>
      </w:r>
      <w:r w:rsidRPr="00942C19">
        <w:rPr>
          <w:lang w:val="en-IN" w:eastAsia="en-IN"/>
        </w:rPr>
        <w:t xml:space="preserve"> crores. Thus the balance subsidy of Rs. </w:t>
      </w:r>
      <w:r w:rsidR="00373CF3" w:rsidRPr="00942C19">
        <w:rPr>
          <w:lang w:val="en-IN" w:eastAsia="en-IN"/>
        </w:rPr>
        <w:t>65.81</w:t>
      </w:r>
      <w:r w:rsidRPr="00942C19">
        <w:rPr>
          <w:lang w:val="en-IN" w:eastAsia="en-IN"/>
        </w:rPr>
        <w:t xml:space="preserve"> crores has been applied as a reduction from the approved ARR for FY 2013-14. The Licensee needs to realise such sums from the State Government</w:t>
      </w:r>
      <w:r w:rsidR="00BD5593" w:rsidRPr="00942C19">
        <w:rPr>
          <w:lang w:val="en-IN" w:eastAsia="en-IN"/>
        </w:rPr>
        <w:t>.</w:t>
      </w:r>
      <w:bookmarkEnd w:id="749"/>
    </w:p>
    <w:p w:rsidR="00173BC1" w:rsidRPr="00942C19" w:rsidRDefault="00785E17" w:rsidP="00173BC1">
      <w:pPr>
        <w:jc w:val="center"/>
        <w:rPr>
          <w:b/>
        </w:rPr>
      </w:pPr>
      <w:bookmarkStart w:id="750" w:name="_Toc357719748"/>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4</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54</w:t>
      </w:r>
      <w:r w:rsidR="000C642E" w:rsidRPr="00942C19">
        <w:rPr>
          <w:b/>
        </w:rPr>
        <w:fldChar w:fldCharType="end"/>
      </w:r>
      <w:r w:rsidRPr="00942C19">
        <w:rPr>
          <w:b/>
        </w:rPr>
        <w:t xml:space="preserve">: </w:t>
      </w:r>
      <w:r w:rsidR="00155FB3" w:rsidRPr="00942C19">
        <w:rPr>
          <w:b/>
          <w:caps/>
        </w:rPr>
        <w:t>Additional Subsidy Requirement from GoUP for FY 2013-14</w:t>
      </w:r>
      <w:bookmarkEnd w:id="750"/>
    </w:p>
    <w:tbl>
      <w:tblPr>
        <w:tblW w:w="5000" w:type="pct"/>
        <w:tblLayout w:type="fixed"/>
        <w:tblLook w:val="04A0"/>
      </w:tblPr>
      <w:tblGrid>
        <w:gridCol w:w="2519"/>
        <w:gridCol w:w="1277"/>
        <w:gridCol w:w="1279"/>
        <w:gridCol w:w="1279"/>
        <w:gridCol w:w="1279"/>
        <w:gridCol w:w="1324"/>
      </w:tblGrid>
      <w:tr w:rsidR="000F7266" w:rsidRPr="00942C19" w:rsidTr="00AC5CF4">
        <w:trPr>
          <w:trHeight w:val="600"/>
          <w:tblHeader/>
        </w:trPr>
        <w:tc>
          <w:tcPr>
            <w:tcW w:w="1406" w:type="pct"/>
            <w:vMerge w:val="restart"/>
            <w:tcBorders>
              <w:top w:val="dotted" w:sz="4" w:space="0" w:color="auto"/>
              <w:left w:val="dotted" w:sz="4" w:space="0" w:color="auto"/>
              <w:bottom w:val="dotted" w:sz="4" w:space="0" w:color="000000"/>
              <w:right w:val="dotted" w:sz="4" w:space="0" w:color="auto"/>
            </w:tcBorders>
            <w:shd w:val="clear" w:color="000000" w:fill="DBE5F1"/>
            <w:noWrap/>
            <w:vAlign w:val="center"/>
            <w:hideMark/>
          </w:tcPr>
          <w:p w:rsidR="00173BC1" w:rsidRPr="00942C19" w:rsidRDefault="00173BC1" w:rsidP="00173BC1">
            <w:pPr>
              <w:spacing w:before="0" w:line="240" w:lineRule="auto"/>
              <w:jc w:val="center"/>
              <w:rPr>
                <w:b/>
                <w:bCs/>
                <w:color w:val="000000"/>
                <w:sz w:val="22"/>
                <w:szCs w:val="22"/>
                <w:lang w:val="en-US"/>
              </w:rPr>
            </w:pPr>
            <w:r w:rsidRPr="00942C19">
              <w:rPr>
                <w:b/>
                <w:bCs/>
                <w:color w:val="000000"/>
                <w:sz w:val="22"/>
                <w:szCs w:val="22"/>
                <w:lang w:val="en-IN" w:eastAsia="en-IN"/>
              </w:rPr>
              <w:t>Particulars</w:t>
            </w:r>
          </w:p>
        </w:tc>
        <w:tc>
          <w:tcPr>
            <w:tcW w:w="713" w:type="pct"/>
            <w:tcBorders>
              <w:top w:val="dotted" w:sz="4" w:space="0" w:color="auto"/>
              <w:left w:val="nil"/>
              <w:bottom w:val="nil"/>
              <w:right w:val="dotted" w:sz="4" w:space="0" w:color="auto"/>
            </w:tcBorders>
            <w:shd w:val="clear" w:color="000000" w:fill="DBE5F1"/>
            <w:hideMark/>
          </w:tcPr>
          <w:p w:rsidR="00A44CA7" w:rsidRPr="00942C19" w:rsidRDefault="00173BC1">
            <w:pPr>
              <w:spacing w:before="0" w:line="240" w:lineRule="auto"/>
              <w:jc w:val="center"/>
              <w:rPr>
                <w:rFonts w:cs="Arial"/>
                <w:b/>
                <w:bCs/>
                <w:color w:val="000000"/>
                <w:kern w:val="32"/>
                <w:sz w:val="22"/>
                <w:szCs w:val="22"/>
                <w:lang w:val="en-US"/>
              </w:rPr>
            </w:pPr>
            <w:r w:rsidRPr="00942C19">
              <w:rPr>
                <w:b/>
                <w:bCs/>
                <w:color w:val="000000"/>
                <w:sz w:val="22"/>
                <w:szCs w:val="22"/>
                <w:lang w:val="en-IN" w:eastAsia="en-IN"/>
              </w:rPr>
              <w:t>Sales</w:t>
            </w:r>
          </w:p>
        </w:tc>
        <w:tc>
          <w:tcPr>
            <w:tcW w:w="714" w:type="pct"/>
            <w:tcBorders>
              <w:top w:val="dotted" w:sz="4" w:space="0" w:color="auto"/>
              <w:left w:val="nil"/>
              <w:bottom w:val="nil"/>
              <w:right w:val="dotted" w:sz="4" w:space="0" w:color="auto"/>
            </w:tcBorders>
            <w:shd w:val="clear" w:color="000000" w:fill="DBE5F1"/>
            <w:hideMark/>
          </w:tcPr>
          <w:p w:rsidR="00A44CA7" w:rsidRPr="00942C19" w:rsidRDefault="00173BC1">
            <w:pPr>
              <w:spacing w:before="0" w:line="240" w:lineRule="auto"/>
              <w:jc w:val="center"/>
              <w:rPr>
                <w:rFonts w:cs="Arial"/>
                <w:b/>
                <w:bCs/>
                <w:color w:val="000000"/>
                <w:kern w:val="32"/>
                <w:sz w:val="22"/>
                <w:szCs w:val="22"/>
                <w:lang w:val="en-US"/>
              </w:rPr>
            </w:pPr>
            <w:r w:rsidRPr="00942C19">
              <w:rPr>
                <w:b/>
                <w:bCs/>
                <w:color w:val="000000"/>
                <w:sz w:val="22"/>
                <w:szCs w:val="22"/>
                <w:lang w:val="en-IN" w:eastAsia="en-IN"/>
              </w:rPr>
              <w:t>Cost of Service</w:t>
            </w:r>
          </w:p>
        </w:tc>
        <w:tc>
          <w:tcPr>
            <w:tcW w:w="714" w:type="pct"/>
            <w:tcBorders>
              <w:top w:val="dotted" w:sz="4" w:space="0" w:color="auto"/>
              <w:left w:val="nil"/>
              <w:bottom w:val="nil"/>
              <w:right w:val="dotted" w:sz="4" w:space="0" w:color="auto"/>
            </w:tcBorders>
            <w:shd w:val="clear" w:color="000000" w:fill="DBE5F1"/>
            <w:hideMark/>
          </w:tcPr>
          <w:p w:rsidR="00A44CA7" w:rsidRPr="00942C19" w:rsidRDefault="00173BC1">
            <w:pPr>
              <w:spacing w:before="0" w:line="240" w:lineRule="auto"/>
              <w:jc w:val="center"/>
              <w:rPr>
                <w:rFonts w:cs="Arial"/>
                <w:b/>
                <w:bCs/>
                <w:color w:val="000000"/>
                <w:kern w:val="32"/>
                <w:sz w:val="22"/>
                <w:szCs w:val="22"/>
                <w:lang w:val="en-US"/>
              </w:rPr>
            </w:pPr>
            <w:r w:rsidRPr="00942C19">
              <w:rPr>
                <w:b/>
                <w:bCs/>
                <w:color w:val="000000"/>
                <w:sz w:val="22"/>
                <w:szCs w:val="22"/>
                <w:lang w:val="en-IN" w:eastAsia="en-IN"/>
              </w:rPr>
              <w:t>Thru Rate</w:t>
            </w:r>
          </w:p>
        </w:tc>
        <w:tc>
          <w:tcPr>
            <w:tcW w:w="714" w:type="pct"/>
            <w:tcBorders>
              <w:top w:val="dotted" w:sz="4" w:space="0" w:color="auto"/>
              <w:left w:val="nil"/>
              <w:bottom w:val="nil"/>
              <w:right w:val="dotted" w:sz="4" w:space="0" w:color="auto"/>
            </w:tcBorders>
            <w:shd w:val="clear" w:color="000000" w:fill="DBE5F1"/>
            <w:hideMark/>
          </w:tcPr>
          <w:p w:rsidR="00A44CA7" w:rsidRPr="00942C19" w:rsidRDefault="00173BC1">
            <w:pPr>
              <w:spacing w:before="0" w:line="240" w:lineRule="auto"/>
              <w:jc w:val="center"/>
              <w:rPr>
                <w:rFonts w:cs="Arial"/>
                <w:b/>
                <w:bCs/>
                <w:color w:val="000000"/>
                <w:kern w:val="32"/>
                <w:sz w:val="22"/>
                <w:szCs w:val="22"/>
                <w:lang w:val="en-US"/>
              </w:rPr>
            </w:pPr>
            <w:r w:rsidRPr="00942C19">
              <w:rPr>
                <w:b/>
                <w:bCs/>
                <w:color w:val="000000"/>
                <w:sz w:val="22"/>
                <w:szCs w:val="22"/>
                <w:lang w:val="en-IN" w:eastAsia="en-IN"/>
              </w:rPr>
              <w:t>Loss</w:t>
            </w:r>
          </w:p>
        </w:tc>
        <w:tc>
          <w:tcPr>
            <w:tcW w:w="739" w:type="pct"/>
            <w:tcBorders>
              <w:top w:val="dotted" w:sz="4" w:space="0" w:color="auto"/>
              <w:left w:val="nil"/>
              <w:bottom w:val="nil"/>
              <w:right w:val="dotted" w:sz="4" w:space="0" w:color="auto"/>
            </w:tcBorders>
            <w:shd w:val="clear" w:color="000000" w:fill="DBE5F1"/>
            <w:hideMark/>
          </w:tcPr>
          <w:p w:rsidR="00A44CA7" w:rsidRPr="00942C19" w:rsidRDefault="00173BC1">
            <w:pPr>
              <w:spacing w:before="0" w:line="240" w:lineRule="auto"/>
              <w:jc w:val="center"/>
              <w:rPr>
                <w:rFonts w:cs="Arial"/>
                <w:b/>
                <w:bCs/>
                <w:color w:val="000000"/>
                <w:kern w:val="32"/>
                <w:sz w:val="22"/>
                <w:szCs w:val="22"/>
                <w:lang w:val="en-US"/>
              </w:rPr>
            </w:pPr>
            <w:r w:rsidRPr="00942C19">
              <w:rPr>
                <w:b/>
                <w:bCs/>
                <w:color w:val="000000"/>
                <w:sz w:val="22"/>
                <w:szCs w:val="22"/>
                <w:lang w:val="en-IN" w:eastAsia="en-IN"/>
              </w:rPr>
              <w:t>Loss</w:t>
            </w:r>
          </w:p>
        </w:tc>
      </w:tr>
      <w:tr w:rsidR="000F7266" w:rsidRPr="00942C19" w:rsidTr="00AC5CF4">
        <w:trPr>
          <w:trHeight w:val="300"/>
          <w:tblHeader/>
        </w:trPr>
        <w:tc>
          <w:tcPr>
            <w:tcW w:w="1406" w:type="pct"/>
            <w:vMerge/>
            <w:tcBorders>
              <w:top w:val="dotted" w:sz="4" w:space="0" w:color="auto"/>
              <w:left w:val="dotted" w:sz="4" w:space="0" w:color="auto"/>
              <w:bottom w:val="dotted" w:sz="4" w:space="0" w:color="000000"/>
              <w:right w:val="dotted" w:sz="4" w:space="0" w:color="auto"/>
            </w:tcBorders>
            <w:vAlign w:val="center"/>
            <w:hideMark/>
          </w:tcPr>
          <w:p w:rsidR="00173BC1" w:rsidRPr="00942C19" w:rsidRDefault="00173BC1" w:rsidP="00173BC1">
            <w:pPr>
              <w:spacing w:before="0" w:line="240" w:lineRule="auto"/>
              <w:jc w:val="center"/>
              <w:rPr>
                <w:b/>
                <w:bCs/>
                <w:color w:val="000000"/>
                <w:sz w:val="22"/>
                <w:szCs w:val="22"/>
                <w:lang w:val="en-US"/>
              </w:rPr>
            </w:pPr>
          </w:p>
        </w:tc>
        <w:tc>
          <w:tcPr>
            <w:tcW w:w="713" w:type="pct"/>
            <w:tcBorders>
              <w:top w:val="nil"/>
              <w:left w:val="nil"/>
              <w:bottom w:val="dotted" w:sz="4" w:space="0" w:color="auto"/>
              <w:right w:val="dotted" w:sz="4" w:space="0" w:color="auto"/>
            </w:tcBorders>
            <w:shd w:val="clear" w:color="000000" w:fill="DBE5F1"/>
            <w:hideMark/>
          </w:tcPr>
          <w:p w:rsidR="00B13F1A" w:rsidRPr="00942C19" w:rsidRDefault="00173BC1">
            <w:pPr>
              <w:spacing w:before="0" w:line="240" w:lineRule="auto"/>
              <w:jc w:val="center"/>
              <w:rPr>
                <w:b/>
                <w:bCs/>
                <w:color w:val="000000"/>
                <w:sz w:val="22"/>
                <w:szCs w:val="22"/>
                <w:lang w:val="en-US"/>
              </w:rPr>
            </w:pPr>
            <w:r w:rsidRPr="00942C19">
              <w:rPr>
                <w:b/>
                <w:bCs/>
                <w:color w:val="000000"/>
                <w:sz w:val="22"/>
                <w:szCs w:val="22"/>
                <w:lang w:val="en-US"/>
              </w:rPr>
              <w:t>(MU)</w:t>
            </w:r>
          </w:p>
        </w:tc>
        <w:tc>
          <w:tcPr>
            <w:tcW w:w="714" w:type="pct"/>
            <w:tcBorders>
              <w:top w:val="nil"/>
              <w:left w:val="nil"/>
              <w:bottom w:val="dotted" w:sz="4" w:space="0" w:color="auto"/>
              <w:right w:val="dotted" w:sz="4" w:space="0" w:color="auto"/>
            </w:tcBorders>
            <w:shd w:val="clear" w:color="000000" w:fill="DBE5F1"/>
            <w:hideMark/>
          </w:tcPr>
          <w:p w:rsidR="00B13F1A" w:rsidRPr="00942C19" w:rsidRDefault="00173BC1">
            <w:pPr>
              <w:spacing w:before="0" w:line="240" w:lineRule="auto"/>
              <w:jc w:val="center"/>
              <w:rPr>
                <w:b/>
                <w:bCs/>
                <w:color w:val="000000"/>
                <w:sz w:val="22"/>
                <w:szCs w:val="22"/>
                <w:lang w:val="en-US"/>
              </w:rPr>
            </w:pPr>
            <w:r w:rsidRPr="00942C19">
              <w:rPr>
                <w:b/>
                <w:bCs/>
                <w:color w:val="000000"/>
                <w:sz w:val="22"/>
                <w:szCs w:val="22"/>
                <w:lang w:val="en-US"/>
              </w:rPr>
              <w:t>(Rs/kWh)</w:t>
            </w:r>
          </w:p>
        </w:tc>
        <w:tc>
          <w:tcPr>
            <w:tcW w:w="714" w:type="pct"/>
            <w:tcBorders>
              <w:top w:val="nil"/>
              <w:left w:val="nil"/>
              <w:bottom w:val="dotted" w:sz="4" w:space="0" w:color="auto"/>
              <w:right w:val="dotted" w:sz="4" w:space="0" w:color="auto"/>
            </w:tcBorders>
            <w:shd w:val="clear" w:color="000000" w:fill="DBE5F1"/>
            <w:hideMark/>
          </w:tcPr>
          <w:p w:rsidR="00B13F1A" w:rsidRPr="00942C19" w:rsidRDefault="00173BC1">
            <w:pPr>
              <w:spacing w:before="0" w:line="240" w:lineRule="auto"/>
              <w:jc w:val="center"/>
              <w:rPr>
                <w:b/>
                <w:bCs/>
                <w:color w:val="000000"/>
                <w:sz w:val="22"/>
                <w:szCs w:val="22"/>
                <w:lang w:val="en-US"/>
              </w:rPr>
            </w:pPr>
            <w:r w:rsidRPr="00942C19">
              <w:rPr>
                <w:b/>
                <w:bCs/>
                <w:color w:val="000000"/>
                <w:sz w:val="22"/>
                <w:szCs w:val="22"/>
                <w:lang w:val="en-US"/>
              </w:rPr>
              <w:t>(Rs/kWh)</w:t>
            </w:r>
          </w:p>
        </w:tc>
        <w:tc>
          <w:tcPr>
            <w:tcW w:w="714" w:type="pct"/>
            <w:tcBorders>
              <w:top w:val="nil"/>
              <w:left w:val="nil"/>
              <w:bottom w:val="dotted" w:sz="4" w:space="0" w:color="auto"/>
              <w:right w:val="dotted" w:sz="4" w:space="0" w:color="auto"/>
            </w:tcBorders>
            <w:shd w:val="clear" w:color="000000" w:fill="DBE5F1"/>
            <w:hideMark/>
          </w:tcPr>
          <w:p w:rsidR="00B13F1A" w:rsidRPr="00942C19" w:rsidRDefault="00173BC1">
            <w:pPr>
              <w:spacing w:before="0" w:line="240" w:lineRule="auto"/>
              <w:jc w:val="center"/>
              <w:rPr>
                <w:b/>
                <w:bCs/>
                <w:color w:val="000000"/>
                <w:sz w:val="22"/>
                <w:szCs w:val="22"/>
                <w:lang w:val="en-US"/>
              </w:rPr>
            </w:pPr>
            <w:r w:rsidRPr="00942C19">
              <w:rPr>
                <w:b/>
                <w:bCs/>
                <w:color w:val="000000"/>
                <w:sz w:val="22"/>
                <w:szCs w:val="22"/>
                <w:lang w:val="en-US"/>
              </w:rPr>
              <w:t>(Rs kWh)</w:t>
            </w:r>
          </w:p>
        </w:tc>
        <w:tc>
          <w:tcPr>
            <w:tcW w:w="739" w:type="pct"/>
            <w:tcBorders>
              <w:top w:val="nil"/>
              <w:left w:val="nil"/>
              <w:bottom w:val="dotted" w:sz="4" w:space="0" w:color="auto"/>
              <w:right w:val="dotted" w:sz="4" w:space="0" w:color="auto"/>
            </w:tcBorders>
            <w:shd w:val="clear" w:color="000000" w:fill="DBE5F1"/>
            <w:hideMark/>
          </w:tcPr>
          <w:p w:rsidR="00B13F1A" w:rsidRPr="00942C19" w:rsidRDefault="00173BC1">
            <w:pPr>
              <w:spacing w:before="0" w:line="240" w:lineRule="auto"/>
              <w:jc w:val="center"/>
              <w:rPr>
                <w:b/>
                <w:bCs/>
                <w:color w:val="000000"/>
                <w:sz w:val="22"/>
                <w:szCs w:val="22"/>
                <w:lang w:val="en-US"/>
              </w:rPr>
            </w:pPr>
            <w:r w:rsidRPr="00942C19">
              <w:rPr>
                <w:b/>
                <w:bCs/>
                <w:color w:val="000000"/>
                <w:sz w:val="22"/>
                <w:szCs w:val="22"/>
                <w:lang w:val="en-US"/>
              </w:rPr>
              <w:t>(Rs Crore</w:t>
            </w:r>
            <w:r w:rsidR="000F7266" w:rsidRPr="00942C19">
              <w:rPr>
                <w:b/>
                <w:bCs/>
                <w:color w:val="000000"/>
                <w:sz w:val="22"/>
                <w:szCs w:val="22"/>
                <w:lang w:val="en-US"/>
              </w:rPr>
              <w:t>s</w:t>
            </w:r>
            <w:r w:rsidRPr="00942C19">
              <w:rPr>
                <w:b/>
                <w:bCs/>
                <w:color w:val="000000"/>
                <w:sz w:val="22"/>
                <w:szCs w:val="22"/>
                <w:lang w:val="en-US"/>
              </w:rPr>
              <w:t>)</w:t>
            </w:r>
          </w:p>
        </w:tc>
      </w:tr>
      <w:tr w:rsidR="007B4E42" w:rsidRPr="00942C19" w:rsidTr="007B4E42">
        <w:trPr>
          <w:trHeight w:val="6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173BC1">
            <w:pPr>
              <w:spacing w:before="0" w:line="240" w:lineRule="auto"/>
              <w:jc w:val="left"/>
              <w:rPr>
                <w:color w:val="000000"/>
                <w:sz w:val="22"/>
                <w:szCs w:val="22"/>
                <w:lang w:val="en-US"/>
              </w:rPr>
            </w:pPr>
            <w:r w:rsidRPr="00942C19">
              <w:rPr>
                <w:color w:val="000000"/>
                <w:sz w:val="22"/>
                <w:szCs w:val="22"/>
                <w:lang w:val="en-IN" w:eastAsia="en-IN"/>
              </w:rPr>
              <w:t>LMV-1: (a) Consumer getting supply as per "Rural Schedule"</w:t>
            </w:r>
          </w:p>
        </w:tc>
        <w:tc>
          <w:tcPr>
            <w:tcW w:w="713"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1,346.54 </w:t>
            </w: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6.12 </w:t>
            </w: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2.03 </w:t>
            </w: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4.10 </w:t>
            </w:r>
          </w:p>
        </w:tc>
        <w:tc>
          <w:tcPr>
            <w:tcW w:w="739"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551.43 </w:t>
            </w:r>
          </w:p>
        </w:tc>
      </w:tr>
      <w:tr w:rsidR="007B4E42" w:rsidRPr="00942C19" w:rsidTr="007B4E4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173BC1">
            <w:pPr>
              <w:spacing w:before="0" w:line="240" w:lineRule="auto"/>
              <w:jc w:val="left"/>
              <w:rPr>
                <w:color w:val="000000"/>
                <w:sz w:val="22"/>
                <w:szCs w:val="22"/>
                <w:lang w:val="en-US"/>
              </w:rPr>
            </w:pPr>
            <w:r w:rsidRPr="00942C19">
              <w:rPr>
                <w:color w:val="000000"/>
                <w:sz w:val="22"/>
                <w:szCs w:val="22"/>
                <w:lang w:val="en-IN" w:eastAsia="en-IN"/>
              </w:rPr>
              <w:t>LMV-5: PTW</w:t>
            </w:r>
          </w:p>
        </w:tc>
        <w:tc>
          <w:tcPr>
            <w:tcW w:w="713"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761.40 </w:t>
            </w: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6.12 </w:t>
            </w: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1.76 </w:t>
            </w: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4.36 </w:t>
            </w:r>
          </w:p>
        </w:tc>
        <w:tc>
          <w:tcPr>
            <w:tcW w:w="739"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331.77 </w:t>
            </w:r>
          </w:p>
        </w:tc>
      </w:tr>
      <w:tr w:rsidR="007B4E42" w:rsidRPr="00942C19" w:rsidTr="007B4E4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173BC1">
            <w:pPr>
              <w:spacing w:before="0" w:line="240" w:lineRule="auto"/>
              <w:jc w:val="left"/>
              <w:rPr>
                <w:b/>
                <w:bCs/>
                <w:color w:val="000000"/>
                <w:sz w:val="22"/>
                <w:szCs w:val="22"/>
                <w:lang w:val="en-US"/>
              </w:rPr>
            </w:pPr>
            <w:r w:rsidRPr="00942C19">
              <w:rPr>
                <w:b/>
                <w:bCs/>
                <w:color w:val="000000"/>
                <w:sz w:val="22"/>
                <w:szCs w:val="22"/>
                <w:lang w:val="en-IN" w:eastAsia="en-IN"/>
              </w:rPr>
              <w:t>Total Loss</w:t>
            </w:r>
          </w:p>
        </w:tc>
        <w:tc>
          <w:tcPr>
            <w:tcW w:w="713"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b/>
                <w:bCs/>
                <w:color w:val="000000"/>
                <w:sz w:val="22"/>
                <w:szCs w:val="22"/>
                <w:lang w:val="en-US"/>
              </w:rPr>
            </w:pPr>
            <w:r w:rsidRPr="00942C19">
              <w:rPr>
                <w:rFonts w:cs="Calibri"/>
                <w:b/>
                <w:bCs/>
                <w:color w:val="000000"/>
                <w:sz w:val="22"/>
                <w:szCs w:val="22"/>
              </w:rPr>
              <w:t xml:space="preserve">2,107.94 </w:t>
            </w: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b/>
                <w:bCs/>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b/>
                <w:bCs/>
                <w:color w:val="000000"/>
                <w:sz w:val="22"/>
                <w:szCs w:val="22"/>
                <w:lang w:val="en-US"/>
              </w:rPr>
            </w:pPr>
            <w:r w:rsidRPr="00942C19">
              <w:rPr>
                <w:rFonts w:cs="Calibri"/>
                <w:b/>
                <w:bCs/>
                <w:color w:val="000000"/>
                <w:sz w:val="22"/>
                <w:szCs w:val="22"/>
              </w:rPr>
              <w:t xml:space="preserve">883.20 </w:t>
            </w:r>
          </w:p>
        </w:tc>
      </w:tr>
      <w:tr w:rsidR="007B4E42" w:rsidRPr="00942C19" w:rsidTr="007B4E4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rsidP="00173BC1">
            <w:pPr>
              <w:spacing w:before="0" w:line="240" w:lineRule="auto"/>
              <w:jc w:val="left"/>
              <w:rPr>
                <w:color w:val="000000"/>
                <w:sz w:val="22"/>
                <w:szCs w:val="22"/>
                <w:lang w:val="en-US"/>
              </w:rPr>
            </w:pPr>
            <w:r w:rsidRPr="00942C19">
              <w:rPr>
                <w:color w:val="000000"/>
                <w:sz w:val="22"/>
                <w:szCs w:val="22"/>
                <w:lang w:val="en-IN" w:eastAsia="en-IN"/>
              </w:rPr>
              <w:t>Subsidy Available</w:t>
            </w:r>
          </w:p>
        </w:tc>
        <w:tc>
          <w:tcPr>
            <w:tcW w:w="713"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color w:val="000000"/>
                <w:sz w:val="22"/>
                <w:szCs w:val="22"/>
                <w:lang w:val="en-US"/>
              </w:rPr>
            </w:pPr>
            <w:r w:rsidRPr="00942C19">
              <w:rPr>
                <w:rFonts w:cs="Calibri"/>
                <w:color w:val="000000"/>
                <w:sz w:val="22"/>
                <w:szCs w:val="22"/>
              </w:rPr>
              <w:t xml:space="preserve">817.40 </w:t>
            </w:r>
          </w:p>
        </w:tc>
      </w:tr>
      <w:tr w:rsidR="007B4E42" w:rsidRPr="00942C19" w:rsidTr="007B4E4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B4E42" w:rsidRPr="00942C19" w:rsidRDefault="007B4E42">
            <w:pPr>
              <w:spacing w:before="0" w:line="240" w:lineRule="auto"/>
              <w:jc w:val="left"/>
              <w:rPr>
                <w:b/>
                <w:bCs/>
                <w:color w:val="000000"/>
                <w:sz w:val="22"/>
                <w:szCs w:val="22"/>
                <w:lang w:val="en-US"/>
              </w:rPr>
            </w:pPr>
            <w:r w:rsidRPr="00942C19">
              <w:rPr>
                <w:b/>
                <w:bCs/>
                <w:color w:val="000000"/>
                <w:sz w:val="22"/>
                <w:szCs w:val="22"/>
                <w:lang w:val="en-IN" w:eastAsia="en-IN"/>
              </w:rPr>
              <w:t>Additional Subsidy Requirement from GoUP</w:t>
            </w:r>
          </w:p>
        </w:tc>
        <w:tc>
          <w:tcPr>
            <w:tcW w:w="713"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155FB3" w:rsidRPr="00942C19" w:rsidRDefault="00155FB3" w:rsidP="00155FB3">
            <w:pPr>
              <w:spacing w:before="0" w:line="240" w:lineRule="auto"/>
              <w:jc w:val="right"/>
              <w:rPr>
                <w:b/>
                <w:bCs/>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155FB3" w:rsidRPr="00942C19" w:rsidRDefault="007B4E42" w:rsidP="00155FB3">
            <w:pPr>
              <w:spacing w:before="0" w:line="240" w:lineRule="auto"/>
              <w:jc w:val="right"/>
              <w:rPr>
                <w:b/>
                <w:bCs/>
                <w:color w:val="000000"/>
                <w:sz w:val="22"/>
                <w:szCs w:val="22"/>
                <w:lang w:val="en-US"/>
              </w:rPr>
            </w:pPr>
            <w:r w:rsidRPr="00942C19">
              <w:rPr>
                <w:rFonts w:cs="Calibri"/>
                <w:b/>
                <w:bCs/>
                <w:color w:val="000000"/>
                <w:sz w:val="22"/>
                <w:szCs w:val="22"/>
              </w:rPr>
              <w:t xml:space="preserve">65.81 </w:t>
            </w:r>
          </w:p>
        </w:tc>
      </w:tr>
    </w:tbl>
    <w:p w:rsidR="00A44CA7" w:rsidRPr="00942C19" w:rsidRDefault="00A44CA7">
      <w:pPr>
        <w:spacing w:before="0"/>
        <w:rPr>
          <w:rFonts w:asciiTheme="minorHAnsi" w:hAnsiTheme="minorHAnsi"/>
        </w:rPr>
      </w:pPr>
    </w:p>
    <w:p w:rsidR="00A44CA7" w:rsidRPr="00942C19" w:rsidRDefault="00A44CA7">
      <w:pPr>
        <w:spacing w:before="0"/>
        <w:rPr>
          <w:rFonts w:asciiTheme="minorHAnsi" w:hAnsiTheme="minorHAnsi"/>
        </w:rPr>
      </w:pPr>
    </w:p>
    <w:p w:rsidR="00B13F1A" w:rsidRPr="00942C19" w:rsidRDefault="00222C32">
      <w:pPr>
        <w:pStyle w:val="Heading2"/>
        <w:keepNext/>
        <w:numPr>
          <w:ilvl w:val="1"/>
          <w:numId w:val="1"/>
        </w:numPr>
        <w:autoSpaceDE/>
        <w:autoSpaceDN/>
        <w:adjustRightInd/>
        <w:spacing w:before="0" w:line="276" w:lineRule="auto"/>
        <w:contextualSpacing w:val="0"/>
      </w:pPr>
      <w:bookmarkStart w:id="751" w:name="_Toc356322609"/>
      <w:bookmarkStart w:id="752" w:name="_Toc357714413"/>
      <w:r w:rsidRPr="00942C19">
        <w:t>RETURN ON EQUITY</w:t>
      </w:r>
      <w:bookmarkEnd w:id="751"/>
      <w:bookmarkEnd w:id="752"/>
    </w:p>
    <w:p w:rsidR="00B13F1A" w:rsidRPr="00942C19" w:rsidRDefault="00B13F1A">
      <w:pPr>
        <w:pStyle w:val="Heading2"/>
        <w:keepNext/>
        <w:numPr>
          <w:ilvl w:val="0"/>
          <w:numId w:val="0"/>
        </w:numPr>
        <w:autoSpaceDE/>
        <w:autoSpaceDN/>
        <w:adjustRightInd/>
        <w:spacing w:before="0" w:line="276" w:lineRule="auto"/>
        <w:ind w:left="720"/>
        <w:contextualSpacing w:val="0"/>
        <w:rPr>
          <w:b w:val="0"/>
        </w:rPr>
      </w:pPr>
    </w:p>
    <w:p w:rsidR="00222C32" w:rsidRPr="00942C19" w:rsidRDefault="00222C32" w:rsidP="00710ADC">
      <w:pPr>
        <w:pStyle w:val="Heading3"/>
        <w:numPr>
          <w:ilvl w:val="2"/>
          <w:numId w:val="1"/>
        </w:numPr>
        <w:spacing w:before="0"/>
        <w:rPr>
          <w:b/>
        </w:rPr>
      </w:pPr>
      <w:bookmarkStart w:id="753" w:name="_Toc357349099"/>
      <w:bookmarkStart w:id="754" w:name="_Toc357356158"/>
      <w:r w:rsidRPr="00942C19">
        <w:t xml:space="preserve">The </w:t>
      </w:r>
      <w:r w:rsidR="009A3804" w:rsidRPr="00942C19">
        <w:t>Licensee</w:t>
      </w:r>
      <w:r w:rsidRPr="00942C19">
        <w:t xml:space="preserve"> has not claimed any return on equity for the year under review. The </w:t>
      </w:r>
      <w:r w:rsidR="009A3804" w:rsidRPr="00942C19">
        <w:t>Licensee</w:t>
      </w:r>
      <w:r w:rsidRPr="00942C19">
        <w:t xml:space="preserve"> has stated that they do not want to burden the consumers by proposing return on equity as it will further increase the gap. Hence the Commission has not approved </w:t>
      </w:r>
      <w:r w:rsidR="00BD5593" w:rsidRPr="00942C19">
        <w:t xml:space="preserve">any amounts towards </w:t>
      </w:r>
      <w:r w:rsidRPr="00942C19">
        <w:t>return on equity for FY 2013-14.</w:t>
      </w:r>
      <w:bookmarkEnd w:id="753"/>
      <w:bookmarkEnd w:id="754"/>
    </w:p>
    <w:p w:rsidR="00222C32" w:rsidRPr="00942C19" w:rsidRDefault="0095636B" w:rsidP="0095636B">
      <w:pPr>
        <w:tabs>
          <w:tab w:val="left" w:pos="5707"/>
        </w:tabs>
      </w:pPr>
      <w:r w:rsidRPr="00942C19">
        <w:tab/>
      </w: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755" w:name="_Toc356322610"/>
      <w:bookmarkStart w:id="756" w:name="_Toc357714414"/>
      <w:r w:rsidRPr="00942C19">
        <w:t>CONTRIBUTION TO CONTINGENCY RESERVE</w:t>
      </w:r>
      <w:bookmarkEnd w:id="755"/>
      <w:bookmarkEnd w:id="756"/>
    </w:p>
    <w:p w:rsidR="00A44CA7" w:rsidRPr="00942C19" w:rsidRDefault="00A44CA7">
      <w:pPr>
        <w:tabs>
          <w:tab w:val="left" w:pos="360"/>
        </w:tabs>
        <w:spacing w:before="0"/>
      </w:pPr>
    </w:p>
    <w:p w:rsidR="00B13F1A" w:rsidRPr="00942C19" w:rsidRDefault="00222C32">
      <w:pPr>
        <w:pStyle w:val="Heading3"/>
        <w:numPr>
          <w:ilvl w:val="2"/>
          <w:numId w:val="1"/>
        </w:numPr>
        <w:spacing w:before="0"/>
        <w:rPr>
          <w:b/>
        </w:rPr>
      </w:pPr>
      <w:bookmarkStart w:id="757" w:name="_Toc357349101"/>
      <w:bookmarkStart w:id="758" w:name="_Toc357356160"/>
      <w:r w:rsidRPr="00942C19">
        <w:t xml:space="preserve">The Distribution Tariff Regulations provides for </w:t>
      </w:r>
      <w:r w:rsidR="00BD5593" w:rsidRPr="00942C19">
        <w:t xml:space="preserve">the </w:t>
      </w:r>
      <w:r w:rsidRPr="00942C19">
        <w:t>contribution to the contingency reserves up</w:t>
      </w:r>
      <w:r w:rsidR="00BD5593" w:rsidRPr="00942C19">
        <w:t xml:space="preserve"> </w:t>
      </w:r>
      <w:r w:rsidRPr="00942C19">
        <w:t>to 0.5</w:t>
      </w:r>
      <w:r w:rsidR="00BD5593" w:rsidRPr="00942C19">
        <w:t>0</w:t>
      </w:r>
      <w:r w:rsidRPr="00942C19">
        <w:t xml:space="preserve">% of opening GFA to be included in the ARR of </w:t>
      </w:r>
      <w:r w:rsidR="009A3804" w:rsidRPr="00942C19">
        <w:t>Licensee</w:t>
      </w:r>
      <w:r w:rsidRPr="00942C19">
        <w:t xml:space="preserve">s. The contingency reserve so created shall be utilized to meet cost of replacement of equipment damaged due to force majeure situations. The </w:t>
      </w:r>
      <w:r w:rsidR="009A3804" w:rsidRPr="00942C19">
        <w:t>Licensee</w:t>
      </w:r>
      <w:r w:rsidRPr="00942C19">
        <w:t xml:space="preserve"> shall invest </w:t>
      </w:r>
      <w:r w:rsidR="00AC5CF4" w:rsidRPr="00942C19">
        <w:t xml:space="preserve">in </w:t>
      </w:r>
      <w:r w:rsidRPr="00942C19">
        <w:t>Contingency Reserve as allowed by the Commission in Government securities. However, the use of such reserve is only with the prior permission of the Commission.</w:t>
      </w:r>
      <w:bookmarkEnd w:id="757"/>
      <w:bookmarkEnd w:id="758"/>
    </w:p>
    <w:p w:rsidR="00222C32" w:rsidRPr="00942C19" w:rsidRDefault="00222C32" w:rsidP="00222C32">
      <w:pPr>
        <w:tabs>
          <w:tab w:val="left" w:pos="360"/>
        </w:tabs>
      </w:pPr>
    </w:p>
    <w:p w:rsidR="00B13F1A" w:rsidRPr="00942C19" w:rsidRDefault="00BD5593">
      <w:pPr>
        <w:pStyle w:val="Heading3"/>
        <w:numPr>
          <w:ilvl w:val="2"/>
          <w:numId w:val="1"/>
        </w:numPr>
        <w:spacing w:before="0"/>
        <w:rPr>
          <w:b/>
        </w:rPr>
      </w:pPr>
      <w:bookmarkStart w:id="759" w:name="_Toc357349102"/>
      <w:bookmarkStart w:id="760" w:name="_Toc357356161"/>
      <w:r w:rsidRPr="00942C19">
        <w:t>A</w:t>
      </w:r>
      <w:r w:rsidR="00222C32" w:rsidRPr="00942C19">
        <w:t xml:space="preserve">s there is a substantial revenue gap between ARR and revenue forecast, any </w:t>
      </w:r>
      <w:r w:rsidR="00AC5CF4" w:rsidRPr="00942C19">
        <w:t xml:space="preserve">amounts allowed on this account </w:t>
      </w:r>
      <w:r w:rsidR="00222C32" w:rsidRPr="00942C19">
        <w:t xml:space="preserve">will only go to enhance the already large gap and create extra burden on the consumers. In view of the same, the </w:t>
      </w:r>
      <w:r w:rsidRPr="00942C19">
        <w:t xml:space="preserve">Commission has not approved </w:t>
      </w:r>
      <w:r w:rsidR="00222C32" w:rsidRPr="00942C19">
        <w:t>any amount</w:t>
      </w:r>
      <w:r w:rsidRPr="00942C19">
        <w:t>s</w:t>
      </w:r>
      <w:r w:rsidR="00222C32" w:rsidRPr="00942C19">
        <w:t xml:space="preserve"> under the said component in the present </w:t>
      </w:r>
      <w:r w:rsidRPr="00942C19">
        <w:t>Order</w:t>
      </w:r>
      <w:r w:rsidR="00222C32" w:rsidRPr="00942C19">
        <w:t>.</w:t>
      </w:r>
      <w:bookmarkEnd w:id="759"/>
      <w:bookmarkEnd w:id="760"/>
    </w:p>
    <w:p w:rsidR="00A44CA7" w:rsidRPr="00942C19" w:rsidRDefault="00A44CA7">
      <w:pPr>
        <w:tabs>
          <w:tab w:val="left" w:pos="360"/>
        </w:tabs>
        <w:spacing w:before="0"/>
        <w:rPr>
          <w:sz w:val="23"/>
          <w:szCs w:val="23"/>
        </w:rPr>
      </w:pPr>
    </w:p>
    <w:p w:rsidR="00B13F1A" w:rsidRPr="00942C19" w:rsidRDefault="00BD5593">
      <w:pPr>
        <w:pStyle w:val="Heading3"/>
        <w:numPr>
          <w:ilvl w:val="2"/>
          <w:numId w:val="1"/>
        </w:numPr>
        <w:spacing w:before="0"/>
        <w:rPr>
          <w:b/>
        </w:rPr>
      </w:pPr>
      <w:bookmarkStart w:id="761" w:name="_Toc357349103"/>
      <w:bookmarkStart w:id="762" w:name="_Toc357356162"/>
      <w:r w:rsidRPr="00942C19">
        <w:t xml:space="preserve">The </w:t>
      </w:r>
      <w:r w:rsidR="00222C32" w:rsidRPr="00942C19">
        <w:t>Commission’s estimated amount on account of Contribution to Contingency Reserve for represen</w:t>
      </w:r>
      <w:r w:rsidR="0072340F" w:rsidRPr="00942C19">
        <w:t xml:space="preserve">tation purpose only </w:t>
      </w:r>
      <w:r w:rsidR="00785E17" w:rsidRPr="00942C19">
        <w:t>is Rs. 2</w:t>
      </w:r>
      <w:r w:rsidR="00373CF3" w:rsidRPr="00942C19">
        <w:t>1.62</w:t>
      </w:r>
      <w:r w:rsidR="00785E17" w:rsidRPr="00942C19">
        <w:t xml:space="preserve"> </w:t>
      </w:r>
      <w:r w:rsidRPr="00942C19">
        <w:t xml:space="preserve">crores </w:t>
      </w:r>
      <w:r w:rsidR="00785E17" w:rsidRPr="00942C19">
        <w:t>for FY 2013-</w:t>
      </w:r>
      <w:r w:rsidR="00222C32" w:rsidRPr="00942C19">
        <w:t xml:space="preserve">14, the calculation </w:t>
      </w:r>
      <w:r w:rsidRPr="00942C19">
        <w:t xml:space="preserve">of which </w:t>
      </w:r>
      <w:r w:rsidR="00222C32" w:rsidRPr="00942C19">
        <w:t>are given in the table below:</w:t>
      </w:r>
      <w:bookmarkEnd w:id="761"/>
      <w:bookmarkEnd w:id="762"/>
    </w:p>
    <w:p w:rsidR="00A44CA7" w:rsidRPr="00942C19" w:rsidRDefault="00785E17">
      <w:pPr>
        <w:pStyle w:val="Caption"/>
        <w:keepNext/>
        <w:spacing w:before="240"/>
        <w:jc w:val="center"/>
      </w:pPr>
      <w:bookmarkStart w:id="763" w:name="_Toc338310720"/>
      <w:bookmarkStart w:id="764" w:name="_Toc338419550"/>
      <w:bookmarkStart w:id="765" w:name="_Toc357719749"/>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55</w:t>
      </w:r>
      <w:r w:rsidR="000C642E" w:rsidRPr="00942C19">
        <w:fldChar w:fldCharType="end"/>
      </w:r>
      <w:r w:rsidRPr="00942C19">
        <w:t>:</w:t>
      </w:r>
      <w:r w:rsidRPr="00942C19">
        <w:rPr>
          <w:b w:val="0"/>
        </w:rPr>
        <w:t xml:space="preserve"> </w:t>
      </w:r>
      <w:r w:rsidRPr="00942C19">
        <w:t>CONTRIBUTION TO CONTINGENCY RESERVE FOR 2013-14 (Rs. Crores)</w:t>
      </w:r>
      <w:bookmarkEnd w:id="763"/>
      <w:bookmarkEnd w:id="764"/>
      <w:bookmarkEnd w:id="765"/>
      <w:r w:rsidR="00222C32" w:rsidRPr="00942C19">
        <w:rPr>
          <w:bCs w:val="0"/>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57"/>
        <w:gridCol w:w="1389"/>
      </w:tblGrid>
      <w:tr w:rsidR="000F3819" w:rsidRPr="00942C19" w:rsidTr="000F3819">
        <w:trPr>
          <w:trHeight w:val="600"/>
          <w:jc w:val="center"/>
        </w:trPr>
        <w:tc>
          <w:tcPr>
            <w:tcW w:w="4057" w:type="dxa"/>
            <w:shd w:val="clear" w:color="000000" w:fill="DBE5F1"/>
            <w:vAlign w:val="center"/>
            <w:hideMark/>
          </w:tcPr>
          <w:p w:rsidR="000F3819" w:rsidRPr="00942C19" w:rsidRDefault="000F3819" w:rsidP="000F3819">
            <w:pPr>
              <w:spacing w:before="0" w:line="240" w:lineRule="auto"/>
              <w:jc w:val="center"/>
              <w:rPr>
                <w:rFonts w:cs="Calibri"/>
                <w:b/>
                <w:bCs/>
                <w:sz w:val="22"/>
                <w:szCs w:val="22"/>
                <w:lang w:val="en-IN" w:eastAsia="en-IN"/>
              </w:rPr>
            </w:pPr>
            <w:r w:rsidRPr="00942C19">
              <w:rPr>
                <w:rFonts w:cs="Calibri"/>
                <w:b/>
                <w:bCs/>
                <w:sz w:val="22"/>
                <w:szCs w:val="22"/>
                <w:lang w:val="en-IN" w:eastAsia="en-IN"/>
              </w:rPr>
              <w:t>Particulars</w:t>
            </w:r>
          </w:p>
        </w:tc>
        <w:tc>
          <w:tcPr>
            <w:tcW w:w="1389" w:type="dxa"/>
            <w:shd w:val="clear" w:color="000000" w:fill="DBE5F1"/>
            <w:vAlign w:val="center"/>
            <w:hideMark/>
          </w:tcPr>
          <w:p w:rsidR="000F3819" w:rsidRPr="00942C19" w:rsidRDefault="000F3819" w:rsidP="000F3819">
            <w:pPr>
              <w:spacing w:before="0" w:line="240" w:lineRule="auto"/>
              <w:jc w:val="right"/>
              <w:rPr>
                <w:rFonts w:cs="Calibri"/>
                <w:b/>
                <w:bCs/>
                <w:color w:val="000000"/>
                <w:sz w:val="22"/>
                <w:szCs w:val="22"/>
                <w:lang w:val="en-IN" w:eastAsia="en-IN"/>
              </w:rPr>
            </w:pPr>
            <w:r w:rsidRPr="00942C19">
              <w:rPr>
                <w:rFonts w:cs="Calibri"/>
                <w:b/>
                <w:bCs/>
                <w:color w:val="000000"/>
                <w:sz w:val="22"/>
                <w:szCs w:val="22"/>
                <w:lang w:val="en-IN" w:eastAsia="en-IN"/>
              </w:rPr>
              <w:t>FY 2013-14</w:t>
            </w:r>
            <w:r w:rsidRPr="00942C19">
              <w:rPr>
                <w:rFonts w:cs="Calibri"/>
                <w:b/>
                <w:bCs/>
                <w:color w:val="000000"/>
                <w:sz w:val="22"/>
                <w:szCs w:val="22"/>
                <w:lang w:val="en-IN" w:eastAsia="en-IN"/>
              </w:rPr>
              <w:br/>
              <w:t>(Approved)</w:t>
            </w:r>
          </w:p>
        </w:tc>
      </w:tr>
      <w:tr w:rsidR="007B4E42" w:rsidRPr="00942C19" w:rsidTr="007B4E42">
        <w:trPr>
          <w:trHeight w:val="300"/>
          <w:jc w:val="center"/>
        </w:trPr>
        <w:tc>
          <w:tcPr>
            <w:tcW w:w="4057" w:type="dxa"/>
            <w:shd w:val="clear" w:color="auto" w:fill="auto"/>
            <w:noWrap/>
            <w:vAlign w:val="center"/>
            <w:hideMark/>
          </w:tcPr>
          <w:p w:rsidR="007B4E42" w:rsidRPr="00942C19" w:rsidRDefault="007B4E42" w:rsidP="000F3819">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Opening Balance of GFA</w:t>
            </w:r>
          </w:p>
        </w:tc>
        <w:tc>
          <w:tcPr>
            <w:tcW w:w="138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 xml:space="preserve">4,323.96 </w:t>
            </w:r>
          </w:p>
        </w:tc>
      </w:tr>
      <w:tr w:rsidR="007B4E42" w:rsidRPr="00942C19" w:rsidTr="007B4E42">
        <w:trPr>
          <w:trHeight w:val="300"/>
          <w:jc w:val="center"/>
        </w:trPr>
        <w:tc>
          <w:tcPr>
            <w:tcW w:w="4057" w:type="dxa"/>
            <w:shd w:val="clear" w:color="auto" w:fill="auto"/>
            <w:noWrap/>
            <w:vAlign w:val="center"/>
            <w:hideMark/>
          </w:tcPr>
          <w:p w:rsidR="007B4E42" w:rsidRPr="00942C19" w:rsidRDefault="007B4E42" w:rsidP="000F3819">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Contribution</w:t>
            </w:r>
          </w:p>
        </w:tc>
        <w:tc>
          <w:tcPr>
            <w:tcW w:w="1389" w:type="dxa"/>
            <w:shd w:val="clear" w:color="auto" w:fill="auto"/>
            <w:noWrap/>
            <w:vAlign w:val="center"/>
            <w:hideMark/>
          </w:tcPr>
          <w:p w:rsidR="0084795B" w:rsidRPr="00942C19" w:rsidRDefault="007B4E42">
            <w:pPr>
              <w:spacing w:before="0" w:line="240" w:lineRule="auto"/>
              <w:jc w:val="right"/>
              <w:rPr>
                <w:rFonts w:cs="Calibri"/>
                <w:color w:val="000000"/>
                <w:sz w:val="22"/>
                <w:szCs w:val="22"/>
                <w:lang w:val="en-IN" w:eastAsia="en-IN"/>
              </w:rPr>
            </w:pPr>
            <w:r w:rsidRPr="00942C19">
              <w:rPr>
                <w:rFonts w:cs="Calibri"/>
                <w:color w:val="000000"/>
                <w:sz w:val="22"/>
                <w:szCs w:val="22"/>
              </w:rPr>
              <w:t>0.50%</w:t>
            </w:r>
          </w:p>
        </w:tc>
      </w:tr>
      <w:tr w:rsidR="007B4E42" w:rsidRPr="00942C19" w:rsidTr="007B4E42">
        <w:trPr>
          <w:trHeight w:val="300"/>
          <w:jc w:val="center"/>
        </w:trPr>
        <w:tc>
          <w:tcPr>
            <w:tcW w:w="4057" w:type="dxa"/>
            <w:shd w:val="clear" w:color="auto" w:fill="auto"/>
            <w:noWrap/>
            <w:vAlign w:val="center"/>
            <w:hideMark/>
          </w:tcPr>
          <w:p w:rsidR="007B4E42" w:rsidRPr="00942C19" w:rsidRDefault="007B4E42" w:rsidP="000F3819">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Contribution to Contingency Reserve</w:t>
            </w:r>
          </w:p>
        </w:tc>
        <w:tc>
          <w:tcPr>
            <w:tcW w:w="1389" w:type="dxa"/>
            <w:shd w:val="clear" w:color="auto" w:fill="auto"/>
            <w:noWrap/>
            <w:vAlign w:val="center"/>
            <w:hideMark/>
          </w:tcPr>
          <w:p w:rsidR="0084795B" w:rsidRPr="00942C19" w:rsidRDefault="007B4E42">
            <w:pPr>
              <w:spacing w:before="0" w:line="240" w:lineRule="auto"/>
              <w:jc w:val="right"/>
              <w:rPr>
                <w:rFonts w:cs="Calibri"/>
                <w:b/>
                <w:bCs/>
                <w:color w:val="000000"/>
                <w:sz w:val="22"/>
                <w:szCs w:val="22"/>
                <w:lang w:val="en-IN" w:eastAsia="en-IN"/>
              </w:rPr>
            </w:pPr>
            <w:r w:rsidRPr="00942C19">
              <w:rPr>
                <w:rFonts w:cs="Calibri"/>
                <w:b/>
                <w:bCs/>
                <w:color w:val="000000"/>
                <w:sz w:val="22"/>
                <w:szCs w:val="22"/>
              </w:rPr>
              <w:t xml:space="preserve">21.62 </w:t>
            </w:r>
          </w:p>
        </w:tc>
      </w:tr>
    </w:tbl>
    <w:p w:rsidR="00A44CA7" w:rsidRPr="00942C19" w:rsidRDefault="00A44CA7">
      <w:pPr>
        <w:pStyle w:val="Heading2"/>
        <w:keepNext/>
        <w:numPr>
          <w:ilvl w:val="0"/>
          <w:numId w:val="0"/>
        </w:numPr>
        <w:autoSpaceDE/>
        <w:autoSpaceDN/>
        <w:adjustRightInd/>
        <w:spacing w:before="0" w:line="276" w:lineRule="auto"/>
        <w:ind w:left="576"/>
        <w:contextualSpacing w:val="0"/>
      </w:pPr>
      <w:bookmarkStart w:id="766" w:name="_Toc356322611"/>
    </w:p>
    <w:p w:rsidR="00A44CA7" w:rsidRPr="00942C19" w:rsidRDefault="00A44CA7">
      <w:pPr>
        <w:pStyle w:val="Heading2"/>
        <w:keepNext/>
        <w:numPr>
          <w:ilvl w:val="0"/>
          <w:numId w:val="0"/>
        </w:numPr>
        <w:autoSpaceDE/>
        <w:autoSpaceDN/>
        <w:adjustRightInd/>
        <w:spacing w:before="0" w:line="276" w:lineRule="auto"/>
        <w:ind w:left="576"/>
        <w:contextualSpacing w:val="0"/>
      </w:pPr>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767" w:name="_Toc357714415"/>
      <w:r w:rsidRPr="00942C19">
        <w:t>REVENUE FROM SALE OF ELECTRICITY</w:t>
      </w:r>
      <w:bookmarkEnd w:id="766"/>
      <w:bookmarkEnd w:id="767"/>
    </w:p>
    <w:p w:rsidR="000F3819" w:rsidRPr="00942C19" w:rsidRDefault="000F3819" w:rsidP="000F3819">
      <w:pPr>
        <w:pStyle w:val="Heading2"/>
        <w:keepNext/>
        <w:numPr>
          <w:ilvl w:val="0"/>
          <w:numId w:val="0"/>
        </w:numPr>
        <w:autoSpaceDE/>
        <w:autoSpaceDN/>
        <w:adjustRightInd/>
        <w:spacing w:before="0" w:line="276" w:lineRule="auto"/>
        <w:ind w:left="720"/>
        <w:contextualSpacing w:val="0"/>
        <w:rPr>
          <w:b w:val="0"/>
        </w:rPr>
      </w:pPr>
      <w:bookmarkStart w:id="768" w:name="_Toc357349105"/>
    </w:p>
    <w:p w:rsidR="00222C32" w:rsidRPr="00942C19" w:rsidRDefault="00222C32" w:rsidP="00710ADC">
      <w:pPr>
        <w:pStyle w:val="Heading3"/>
        <w:numPr>
          <w:ilvl w:val="2"/>
          <w:numId w:val="1"/>
        </w:numPr>
        <w:spacing w:before="0"/>
        <w:rPr>
          <w:b/>
        </w:rPr>
      </w:pPr>
      <w:bookmarkStart w:id="769" w:name="_Toc357356164"/>
      <w:r w:rsidRPr="00942C19">
        <w:t>The Commission has computed the revenue at existing tariffs by applying the tariff rates as per Tariff Order dated 19</w:t>
      </w:r>
      <w:r w:rsidRPr="00942C19">
        <w:rPr>
          <w:vertAlign w:val="superscript"/>
        </w:rPr>
        <w:t>th</w:t>
      </w:r>
      <w:r w:rsidRPr="00942C19">
        <w:t xml:space="preserve"> October, 2012 to </w:t>
      </w:r>
      <w:r w:rsidR="006A2A9F" w:rsidRPr="00942C19">
        <w:t xml:space="preserve">the </w:t>
      </w:r>
      <w:r w:rsidRPr="00942C19">
        <w:t>approve</w:t>
      </w:r>
      <w:r w:rsidR="006A2A9F" w:rsidRPr="00942C19">
        <w:t>d</w:t>
      </w:r>
      <w:r w:rsidRPr="00942C19">
        <w:t xml:space="preserve"> consumption parameters for FY 2013-14. Further, the Commission has also approved tariffs and computed resultant revenue by applying the approved tariff rates to </w:t>
      </w:r>
      <w:r w:rsidR="006A2A9F" w:rsidRPr="00942C19">
        <w:t xml:space="preserve">the </w:t>
      </w:r>
      <w:r w:rsidRPr="00942C19">
        <w:t>approved consumption parameters for FY 2013-14. The following table summarizes the revenue approved by Commission for FY 2013-14 at both existing as well as approved tariffs.</w:t>
      </w:r>
      <w:bookmarkEnd w:id="768"/>
      <w:bookmarkEnd w:id="769"/>
    </w:p>
    <w:p w:rsidR="00222C32" w:rsidRPr="00942C19" w:rsidRDefault="00785E17" w:rsidP="00222C32">
      <w:pPr>
        <w:pStyle w:val="Caption"/>
        <w:keepNext/>
        <w:jc w:val="center"/>
      </w:pPr>
      <w:bookmarkStart w:id="770" w:name="_Ref338222545"/>
      <w:bookmarkStart w:id="771" w:name="_Ref338230159"/>
      <w:bookmarkStart w:id="772" w:name="_Toc338310721"/>
      <w:bookmarkStart w:id="773" w:name="_Toc338419551"/>
      <w:bookmarkStart w:id="774" w:name="_Toc357719750"/>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56</w:t>
      </w:r>
      <w:r w:rsidR="000C642E" w:rsidRPr="00942C19">
        <w:fldChar w:fldCharType="end"/>
      </w:r>
      <w:bookmarkEnd w:id="770"/>
      <w:r w:rsidRPr="00942C19">
        <w:t xml:space="preserve">: </w:t>
      </w:r>
      <w:bookmarkEnd w:id="771"/>
      <w:r w:rsidRPr="00942C19">
        <w:rPr>
          <w:rFonts w:asciiTheme="minorHAnsi" w:hAnsiTheme="minorHAnsi" w:cstheme="minorHAnsi"/>
          <w:szCs w:val="24"/>
        </w:rPr>
        <w:t xml:space="preserve">EXISTING &amp; APPROVED TARIFF REVENUES: FY 2013-14 </w:t>
      </w:r>
      <w:r w:rsidRPr="00942C19">
        <w:t>(Rs. Crore</w:t>
      </w:r>
      <w:r w:rsidR="00A35D55" w:rsidRPr="00942C19">
        <w:t>s</w:t>
      </w:r>
      <w:r w:rsidRPr="00942C19">
        <w:t>)</w:t>
      </w:r>
      <w:bookmarkEnd w:id="772"/>
      <w:bookmarkEnd w:id="773"/>
      <w:bookmarkEnd w:id="774"/>
    </w:p>
    <w:tbl>
      <w:tblPr>
        <w:tblW w:w="7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1360"/>
        <w:gridCol w:w="1360"/>
      </w:tblGrid>
      <w:tr w:rsidR="00124223" w:rsidRPr="00942C19" w:rsidTr="00177964">
        <w:trPr>
          <w:trHeight w:val="245"/>
          <w:tblHeader/>
          <w:jc w:val="center"/>
        </w:trPr>
        <w:tc>
          <w:tcPr>
            <w:tcW w:w="4340" w:type="dxa"/>
            <w:shd w:val="clear" w:color="000000" w:fill="DCE6F1"/>
            <w:noWrap/>
            <w:vAlign w:val="center"/>
            <w:hideMark/>
          </w:tcPr>
          <w:p w:rsidR="00A44CA7" w:rsidRPr="00942C19" w:rsidRDefault="00124223">
            <w:pPr>
              <w:spacing w:before="0" w:line="240" w:lineRule="auto"/>
              <w:contextualSpacing/>
              <w:jc w:val="left"/>
              <w:rPr>
                <w:rFonts w:cs="Calibri"/>
                <w:b/>
                <w:bCs/>
                <w:color w:val="000000"/>
                <w:kern w:val="32"/>
                <w:sz w:val="22"/>
                <w:szCs w:val="22"/>
                <w:lang w:val="en-IN" w:eastAsia="en-IN"/>
              </w:rPr>
            </w:pPr>
            <w:r w:rsidRPr="00942C19">
              <w:rPr>
                <w:rFonts w:cs="Calibri"/>
                <w:b/>
                <w:bCs/>
                <w:color w:val="000000"/>
                <w:sz w:val="22"/>
                <w:szCs w:val="22"/>
                <w:lang w:val="en-IN" w:eastAsia="en-IN"/>
              </w:rPr>
              <w:t xml:space="preserve">Consumer </w:t>
            </w:r>
            <w:r w:rsidR="006A2A9F" w:rsidRPr="00942C19">
              <w:rPr>
                <w:rFonts w:cs="Calibri"/>
                <w:b/>
                <w:bCs/>
                <w:color w:val="000000"/>
                <w:sz w:val="22"/>
                <w:szCs w:val="22"/>
                <w:lang w:val="en-IN" w:eastAsia="en-IN"/>
              </w:rPr>
              <w:t>C</w:t>
            </w:r>
            <w:r w:rsidRPr="00942C19">
              <w:rPr>
                <w:rFonts w:cs="Calibri"/>
                <w:b/>
                <w:bCs/>
                <w:color w:val="000000"/>
                <w:sz w:val="22"/>
                <w:szCs w:val="22"/>
                <w:lang w:val="en-IN" w:eastAsia="en-IN"/>
              </w:rPr>
              <w:t>ategories</w:t>
            </w:r>
          </w:p>
        </w:tc>
        <w:tc>
          <w:tcPr>
            <w:tcW w:w="1360" w:type="dxa"/>
            <w:shd w:val="clear" w:color="000000" w:fill="DCE6F1"/>
            <w:hideMark/>
          </w:tcPr>
          <w:p w:rsidR="00B13F1A" w:rsidRPr="00942C19" w:rsidRDefault="006A2A9F">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 xml:space="preserve">Revenue at </w:t>
            </w:r>
            <w:r w:rsidR="00124223" w:rsidRPr="00942C19">
              <w:rPr>
                <w:rFonts w:cs="Calibri"/>
                <w:b/>
                <w:bCs/>
                <w:color w:val="000000"/>
                <w:sz w:val="22"/>
                <w:szCs w:val="22"/>
                <w:lang w:val="en-IN" w:eastAsia="en-IN"/>
              </w:rPr>
              <w:t xml:space="preserve">Existing </w:t>
            </w:r>
            <w:r w:rsidRPr="00942C19">
              <w:rPr>
                <w:rFonts w:cs="Calibri"/>
                <w:b/>
                <w:bCs/>
                <w:color w:val="000000"/>
                <w:sz w:val="22"/>
                <w:szCs w:val="22"/>
                <w:lang w:val="en-IN" w:eastAsia="en-IN"/>
              </w:rPr>
              <w:t>T</w:t>
            </w:r>
            <w:r w:rsidR="00124223" w:rsidRPr="00942C19">
              <w:rPr>
                <w:rFonts w:cs="Calibri"/>
                <w:b/>
                <w:bCs/>
                <w:color w:val="000000"/>
                <w:sz w:val="22"/>
                <w:szCs w:val="22"/>
                <w:lang w:val="en-IN" w:eastAsia="en-IN"/>
              </w:rPr>
              <w:t xml:space="preserve">ariffs </w:t>
            </w:r>
          </w:p>
        </w:tc>
        <w:tc>
          <w:tcPr>
            <w:tcW w:w="1360" w:type="dxa"/>
            <w:shd w:val="clear" w:color="000000" w:fill="DCE6F1"/>
            <w:hideMark/>
          </w:tcPr>
          <w:p w:rsidR="00B13F1A" w:rsidRPr="00942C19" w:rsidRDefault="006A2A9F">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 xml:space="preserve">Revenue at </w:t>
            </w:r>
            <w:r w:rsidR="00124223" w:rsidRPr="00942C19">
              <w:rPr>
                <w:rFonts w:cs="Calibri"/>
                <w:b/>
                <w:bCs/>
                <w:color w:val="000000"/>
                <w:sz w:val="22"/>
                <w:szCs w:val="22"/>
                <w:lang w:val="en-IN" w:eastAsia="en-IN"/>
              </w:rPr>
              <w:t xml:space="preserve">Approved </w:t>
            </w:r>
            <w:r w:rsidRPr="00942C19">
              <w:rPr>
                <w:rFonts w:cs="Calibri"/>
                <w:b/>
                <w:bCs/>
                <w:color w:val="000000"/>
                <w:sz w:val="22"/>
                <w:szCs w:val="22"/>
                <w:lang w:val="en-IN" w:eastAsia="en-IN"/>
              </w:rPr>
              <w:t>T</w:t>
            </w:r>
            <w:r w:rsidR="00124223" w:rsidRPr="00942C19">
              <w:rPr>
                <w:rFonts w:cs="Calibri"/>
                <w:b/>
                <w:bCs/>
                <w:color w:val="000000"/>
                <w:sz w:val="22"/>
                <w:szCs w:val="22"/>
                <w:lang w:val="en-IN" w:eastAsia="en-IN"/>
              </w:rPr>
              <w:t xml:space="preserve">ariffs </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 Domestic</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1424</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1704</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LMV-2:Non-Domestic</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743</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694</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LMV-3: Public Lamps </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288</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293</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LMV-4: Institutions</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335</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354</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LMV-5: Private Tube Wells</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91</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127</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 6: Small and Medium Power</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528</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472</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LMV-7: Public Water Works </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325</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331</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LMV-8: State Tube Wells</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307</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319</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xml:space="preserve">LMV-9: Temporary Supply </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16</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LMV-10: Departmental Employees</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34</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37</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HV-1: Non-Industrial Bulk Loads</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386</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391</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HV-2: Large and Heavy Power</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1203</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1203</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HV-3: Railway Traction</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23</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HV-4: Lift Irrigation</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103</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107</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b/>
                <w:bCs/>
                <w:color w:val="000000"/>
                <w:sz w:val="22"/>
                <w:szCs w:val="22"/>
                <w:lang w:val="en-IN" w:eastAsia="en-IN"/>
              </w:rPr>
            </w:pPr>
            <w:r w:rsidRPr="00942C19">
              <w:rPr>
                <w:rFonts w:cs="Calibri"/>
                <w:b/>
                <w:bCs/>
                <w:color w:val="000000"/>
                <w:sz w:val="22"/>
                <w:szCs w:val="22"/>
              </w:rPr>
              <w:t>5804</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b/>
                <w:bCs/>
                <w:color w:val="000000"/>
                <w:sz w:val="22"/>
                <w:szCs w:val="22"/>
                <w:lang w:val="en-IN" w:eastAsia="en-IN"/>
              </w:rPr>
            </w:pPr>
            <w:r w:rsidRPr="00942C19">
              <w:rPr>
                <w:rFonts w:cs="Calibri"/>
                <w:b/>
                <w:bCs/>
                <w:color w:val="000000"/>
                <w:sz w:val="22"/>
                <w:szCs w:val="22"/>
              </w:rPr>
              <w:t>6070</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Extra state &amp; Bulk</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20</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color w:val="000000"/>
                <w:sz w:val="22"/>
                <w:szCs w:val="22"/>
                <w:lang w:val="en-IN" w:eastAsia="en-IN"/>
              </w:rPr>
            </w:pPr>
            <w:r w:rsidRPr="00942C19">
              <w:rPr>
                <w:rFonts w:cs="Calibri"/>
                <w:color w:val="000000"/>
                <w:sz w:val="22"/>
                <w:szCs w:val="22"/>
              </w:rPr>
              <w:t>23</w:t>
            </w:r>
          </w:p>
        </w:tc>
      </w:tr>
      <w:tr w:rsidR="00856226" w:rsidRPr="00942C19" w:rsidTr="00177964">
        <w:trPr>
          <w:trHeight w:val="300"/>
          <w:jc w:val="center"/>
        </w:trPr>
        <w:tc>
          <w:tcPr>
            <w:tcW w:w="4340" w:type="dxa"/>
            <w:shd w:val="clear" w:color="auto" w:fill="auto"/>
            <w:noWrap/>
            <w:hideMark/>
          </w:tcPr>
          <w:p w:rsidR="00856226" w:rsidRPr="00942C19" w:rsidRDefault="00856226" w:rsidP="00124223">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Total</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b/>
                <w:bCs/>
                <w:color w:val="000000"/>
                <w:sz w:val="22"/>
                <w:szCs w:val="22"/>
                <w:lang w:val="en-IN" w:eastAsia="en-IN"/>
              </w:rPr>
            </w:pPr>
            <w:r w:rsidRPr="00942C19">
              <w:rPr>
                <w:rFonts w:cs="Calibri"/>
                <w:b/>
                <w:bCs/>
                <w:color w:val="000000"/>
                <w:sz w:val="22"/>
                <w:szCs w:val="22"/>
              </w:rPr>
              <w:t>5824</w:t>
            </w:r>
          </w:p>
        </w:tc>
        <w:tc>
          <w:tcPr>
            <w:tcW w:w="1360" w:type="dxa"/>
            <w:shd w:val="clear" w:color="auto" w:fill="auto"/>
            <w:noWrap/>
            <w:vAlign w:val="center"/>
            <w:hideMark/>
          </w:tcPr>
          <w:p w:rsidR="00856226" w:rsidRPr="00942C19" w:rsidRDefault="00856226" w:rsidP="00124223">
            <w:pPr>
              <w:spacing w:before="0" w:line="240" w:lineRule="auto"/>
              <w:jc w:val="center"/>
              <w:rPr>
                <w:rFonts w:cs="Calibri"/>
                <w:b/>
                <w:bCs/>
                <w:color w:val="000000"/>
                <w:sz w:val="22"/>
                <w:szCs w:val="22"/>
                <w:lang w:val="en-IN" w:eastAsia="en-IN"/>
              </w:rPr>
            </w:pPr>
            <w:r w:rsidRPr="00942C19">
              <w:rPr>
                <w:rFonts w:cs="Calibri"/>
                <w:b/>
                <w:bCs/>
                <w:color w:val="000000"/>
                <w:sz w:val="22"/>
                <w:szCs w:val="22"/>
              </w:rPr>
              <w:t>6092</w:t>
            </w:r>
          </w:p>
        </w:tc>
      </w:tr>
    </w:tbl>
    <w:p w:rsidR="00A44CA7" w:rsidRPr="00942C19" w:rsidRDefault="00785E17">
      <w:pPr>
        <w:pStyle w:val="Heading3"/>
        <w:numPr>
          <w:ilvl w:val="0"/>
          <w:numId w:val="0"/>
        </w:numPr>
        <w:tabs>
          <w:tab w:val="clear" w:pos="720"/>
          <w:tab w:val="left" w:pos="864"/>
        </w:tabs>
        <w:jc w:val="left"/>
        <w:rPr>
          <w:i/>
        </w:rPr>
      </w:pPr>
      <w:r w:rsidRPr="00942C19">
        <w:rPr>
          <w:i/>
        </w:rPr>
        <w:t xml:space="preserve">Note: Revenue at approved tariffs </w:t>
      </w:r>
      <w:r w:rsidR="00AC5CF4" w:rsidRPr="00942C19">
        <w:rPr>
          <w:i/>
        </w:rPr>
        <w:t xml:space="preserve">depicted in the table above </w:t>
      </w:r>
      <w:r w:rsidRPr="00942C19">
        <w:rPr>
          <w:i/>
        </w:rPr>
        <w:t>have been considered effective for 10 months in FY 2013-14</w:t>
      </w:r>
    </w:p>
    <w:p w:rsidR="00AC5CF4" w:rsidRPr="00942C19" w:rsidRDefault="00AC5CF4" w:rsidP="00222C32">
      <w:pPr>
        <w:pStyle w:val="Heading3"/>
        <w:numPr>
          <w:ilvl w:val="0"/>
          <w:numId w:val="0"/>
        </w:numPr>
        <w:tabs>
          <w:tab w:val="clear" w:pos="720"/>
          <w:tab w:val="left" w:pos="864"/>
        </w:tabs>
      </w:pPr>
    </w:p>
    <w:p w:rsidR="00777CFB" w:rsidRPr="00942C19" w:rsidRDefault="00777CFB">
      <w:pPr>
        <w:spacing w:before="0" w:line="240" w:lineRule="auto"/>
        <w:jc w:val="left"/>
        <w:rPr>
          <w:rFonts w:asciiTheme="minorHAnsi" w:hAnsiTheme="minorHAnsi" w:cstheme="minorHAnsi"/>
          <w:b/>
          <w:bCs/>
          <w:color w:val="000000"/>
        </w:rPr>
      </w:pPr>
      <w:bookmarkStart w:id="775" w:name="_Toc356322612"/>
    </w:p>
    <w:p w:rsidR="00222C32" w:rsidRPr="00942C19" w:rsidRDefault="00222C32" w:rsidP="00222C32">
      <w:pPr>
        <w:pStyle w:val="Heading2"/>
        <w:keepNext/>
        <w:numPr>
          <w:ilvl w:val="1"/>
          <w:numId w:val="1"/>
        </w:numPr>
        <w:autoSpaceDE/>
        <w:autoSpaceDN/>
        <w:adjustRightInd/>
        <w:spacing w:before="0" w:line="276" w:lineRule="auto"/>
        <w:contextualSpacing w:val="0"/>
      </w:pPr>
      <w:bookmarkStart w:id="776" w:name="_Toc357714416"/>
      <w:r w:rsidRPr="00942C19">
        <w:t>APPROVED ARR SUMMARY, REVENUE FROM TARIFFS AND RESULTANT GAP</w:t>
      </w:r>
      <w:bookmarkEnd w:id="775"/>
      <w:bookmarkEnd w:id="776"/>
    </w:p>
    <w:p w:rsidR="00825862" w:rsidRPr="00942C19" w:rsidRDefault="00825862" w:rsidP="00825862">
      <w:pPr>
        <w:pStyle w:val="Heading4"/>
        <w:numPr>
          <w:ilvl w:val="0"/>
          <w:numId w:val="0"/>
        </w:numPr>
        <w:spacing w:before="0"/>
        <w:ind w:left="864"/>
      </w:pPr>
    </w:p>
    <w:p w:rsidR="00407C2C" w:rsidRPr="00942C19" w:rsidRDefault="00407C2C" w:rsidP="00407C2C">
      <w:pPr>
        <w:pStyle w:val="Heading3"/>
        <w:numPr>
          <w:ilvl w:val="2"/>
          <w:numId w:val="1"/>
        </w:numPr>
        <w:spacing w:before="0"/>
        <w:rPr>
          <w:b/>
        </w:rPr>
      </w:pPr>
      <w:bookmarkStart w:id="777" w:name="_Toc357349107"/>
      <w:bookmarkStart w:id="778" w:name="_Toc357356166"/>
      <w:r w:rsidRPr="00942C19">
        <w:t xml:space="preserve">In the preceding sections, the Commission has detailed out the expenses approved by the Commission under various heads for FY 2013-14. The Commission has also approved the revenue from existing tariffs and revenue from proposed tariffs. </w:t>
      </w:r>
    </w:p>
    <w:p w:rsidR="00407C2C" w:rsidRPr="00942C19" w:rsidRDefault="00407C2C" w:rsidP="00407C2C">
      <w:pPr>
        <w:pStyle w:val="Heading3"/>
        <w:numPr>
          <w:ilvl w:val="0"/>
          <w:numId w:val="0"/>
        </w:numPr>
        <w:spacing w:before="0"/>
        <w:ind w:left="720"/>
        <w:rPr>
          <w:b/>
        </w:rPr>
      </w:pPr>
    </w:p>
    <w:p w:rsidR="00407C2C" w:rsidRPr="00942C19" w:rsidRDefault="00407C2C" w:rsidP="00407C2C">
      <w:pPr>
        <w:pStyle w:val="Heading3"/>
        <w:numPr>
          <w:ilvl w:val="2"/>
          <w:numId w:val="1"/>
        </w:numPr>
        <w:spacing w:before="0"/>
        <w:rPr>
          <w:b/>
        </w:rPr>
      </w:pPr>
      <w:r w:rsidRPr="00942C19">
        <w:t>The Commission has assessed the ARR for FY 2013-14 on a standalone basis and has also considered partial recovery towards the revenue gap approved in Order dated 21</w:t>
      </w:r>
      <w:r w:rsidRPr="00942C19">
        <w:rPr>
          <w:vertAlign w:val="superscript"/>
        </w:rPr>
        <w:t>st</w:t>
      </w:r>
      <w:r w:rsidRPr="00942C19">
        <w:t xml:space="preserve"> May, 2013 in respect of final truing up for FY 2000-01 to 2007-08. The impact of truing for FY 2008-09, 2009-10 and 2010-11 would be considered in the ARR for FY 2014-15 or any other subsequent year as approved by the Commission.</w:t>
      </w:r>
    </w:p>
    <w:p w:rsidR="00407C2C" w:rsidRPr="00942C19" w:rsidRDefault="00407C2C" w:rsidP="00407C2C">
      <w:pPr>
        <w:pStyle w:val="Heading3"/>
        <w:numPr>
          <w:ilvl w:val="0"/>
          <w:numId w:val="0"/>
        </w:numPr>
        <w:spacing w:before="0"/>
        <w:ind w:left="720"/>
        <w:rPr>
          <w:b/>
        </w:rPr>
      </w:pPr>
    </w:p>
    <w:p w:rsidR="00222C32" w:rsidRPr="00942C19" w:rsidRDefault="00407C2C" w:rsidP="00407C2C">
      <w:pPr>
        <w:pStyle w:val="Heading3"/>
        <w:numPr>
          <w:ilvl w:val="2"/>
          <w:numId w:val="1"/>
        </w:numPr>
        <w:spacing w:before="0"/>
        <w:rPr>
          <w:b/>
        </w:rPr>
      </w:pPr>
      <w:r w:rsidRPr="00942C19">
        <w:t xml:space="preserve">Based on the above, the approved ARR, revenue from tariffs and resultant gap for FY 2013-14 is summarized in the </w:t>
      </w:r>
      <w:fldSimple w:instr=" REF _Ref325536697 \h  \* MERGEFORMAT ">
        <w:r w:rsidRPr="00942C19">
          <w:t xml:space="preserve">Table </w:t>
        </w:r>
        <w:r w:rsidRPr="00942C19">
          <w:rPr>
            <w:noProof/>
          </w:rPr>
          <w:t>4</w:t>
        </w:r>
        <w:r w:rsidRPr="00942C19">
          <w:rPr>
            <w:noProof/>
          </w:rPr>
          <w:noBreakHyphen/>
          <w:t>57</w:t>
        </w:r>
      </w:fldSimple>
      <w:r w:rsidRPr="00942C19">
        <w:t xml:space="preserve"> below:</w:t>
      </w:r>
      <w:bookmarkEnd w:id="777"/>
      <w:bookmarkEnd w:id="778"/>
    </w:p>
    <w:p w:rsidR="00222C32" w:rsidRPr="00942C19" w:rsidRDefault="00785E17" w:rsidP="00222C32">
      <w:pPr>
        <w:pStyle w:val="Caption"/>
        <w:keepNext/>
        <w:jc w:val="center"/>
      </w:pPr>
      <w:bookmarkStart w:id="779" w:name="_Ref325536697"/>
      <w:bookmarkStart w:id="780" w:name="_Toc338310722"/>
      <w:bookmarkStart w:id="781" w:name="_Toc338419552"/>
      <w:bookmarkStart w:id="782" w:name="_Toc357719751"/>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4</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57</w:t>
      </w:r>
      <w:r w:rsidR="000C642E" w:rsidRPr="00942C19">
        <w:fldChar w:fldCharType="end"/>
      </w:r>
      <w:bookmarkEnd w:id="779"/>
      <w:r w:rsidRPr="00942C19">
        <w:t>: ARR, REVENUE AND GAP SUMMARY FOR FY 2013-14 (Rs. Crore</w:t>
      </w:r>
      <w:r w:rsidR="00EE510D">
        <w:t>s</w:t>
      </w:r>
      <w:r w:rsidRPr="00942C19">
        <w:t>)</w:t>
      </w:r>
      <w:bookmarkEnd w:id="780"/>
      <w:bookmarkEnd w:id="781"/>
      <w:bookmarkEnd w:id="78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328"/>
        <w:gridCol w:w="1872"/>
        <w:gridCol w:w="1757"/>
      </w:tblGrid>
      <w:tr w:rsidR="003A7BF1" w:rsidRPr="00942C19" w:rsidTr="00E95A68">
        <w:trPr>
          <w:trHeight w:val="600"/>
          <w:tblHeader/>
        </w:trPr>
        <w:tc>
          <w:tcPr>
            <w:tcW w:w="2974" w:type="pct"/>
            <w:shd w:val="clear" w:color="000000" w:fill="DBE5F1"/>
            <w:vAlign w:val="center"/>
            <w:hideMark/>
          </w:tcPr>
          <w:p w:rsidR="00155FB3" w:rsidRPr="00942C19" w:rsidRDefault="00155FB3" w:rsidP="00155FB3">
            <w:pPr>
              <w:spacing w:before="0"/>
              <w:rPr>
                <w:b/>
                <w:sz w:val="22"/>
                <w:szCs w:val="22"/>
              </w:rPr>
            </w:pPr>
            <w:r w:rsidRPr="00942C19">
              <w:rPr>
                <w:b/>
                <w:sz w:val="22"/>
                <w:szCs w:val="22"/>
              </w:rPr>
              <w:t>Particulars</w:t>
            </w:r>
          </w:p>
        </w:tc>
        <w:tc>
          <w:tcPr>
            <w:tcW w:w="1045" w:type="pct"/>
            <w:shd w:val="clear" w:color="000000" w:fill="DBE5F1"/>
            <w:vAlign w:val="center"/>
            <w:hideMark/>
          </w:tcPr>
          <w:p w:rsidR="00155FB3" w:rsidRPr="00942C19" w:rsidRDefault="00155FB3" w:rsidP="00155FB3">
            <w:pPr>
              <w:spacing w:before="0"/>
              <w:jc w:val="center"/>
              <w:rPr>
                <w:b/>
                <w:sz w:val="22"/>
                <w:szCs w:val="22"/>
              </w:rPr>
            </w:pPr>
            <w:r w:rsidRPr="00942C19">
              <w:rPr>
                <w:b/>
                <w:sz w:val="22"/>
                <w:szCs w:val="22"/>
              </w:rPr>
              <w:t>FY 2013-14</w:t>
            </w:r>
            <w:r w:rsidRPr="00942C19">
              <w:rPr>
                <w:b/>
                <w:sz w:val="22"/>
                <w:szCs w:val="22"/>
              </w:rPr>
              <w:br/>
              <w:t>(Approved)</w:t>
            </w:r>
          </w:p>
        </w:tc>
        <w:tc>
          <w:tcPr>
            <w:tcW w:w="981" w:type="pct"/>
            <w:shd w:val="clear" w:color="000000" w:fill="DBE5F1"/>
            <w:vAlign w:val="center"/>
            <w:hideMark/>
          </w:tcPr>
          <w:p w:rsidR="00155FB3" w:rsidRPr="00942C19" w:rsidRDefault="00155FB3" w:rsidP="00155FB3">
            <w:pPr>
              <w:spacing w:before="0"/>
              <w:jc w:val="center"/>
              <w:rPr>
                <w:b/>
                <w:sz w:val="22"/>
                <w:szCs w:val="22"/>
              </w:rPr>
            </w:pPr>
            <w:r w:rsidRPr="00942C19">
              <w:rPr>
                <w:b/>
                <w:sz w:val="22"/>
                <w:szCs w:val="22"/>
              </w:rPr>
              <w:t>% ARR</w:t>
            </w:r>
          </w:p>
        </w:tc>
      </w:tr>
      <w:tr w:rsidR="001341A4" w:rsidRPr="00942C19" w:rsidTr="00E95A68">
        <w:trPr>
          <w:trHeight w:val="300"/>
        </w:trPr>
        <w:tc>
          <w:tcPr>
            <w:tcW w:w="2974" w:type="pct"/>
            <w:shd w:val="clear" w:color="auto" w:fill="auto"/>
            <w:vAlign w:val="center"/>
            <w:hideMark/>
          </w:tcPr>
          <w:p w:rsidR="00B736BC" w:rsidRPr="00942C19" w:rsidRDefault="001341A4">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Power Purchase Expenses (including PGCIL charges)</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5,830.95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92.57%</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 xml:space="preserve">Transmission Charges - Intra state </w:t>
            </w:r>
          </w:p>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(including SLDC Charges)</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200.50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3.18%</w:t>
            </w:r>
          </w:p>
        </w:tc>
      </w:tr>
      <w:tr w:rsidR="001341A4" w:rsidRPr="00942C19" w:rsidTr="00E95A68">
        <w:trPr>
          <w:trHeight w:val="300"/>
        </w:trPr>
        <w:tc>
          <w:tcPr>
            <w:tcW w:w="2974" w:type="pct"/>
            <w:shd w:val="clear" w:color="auto" w:fill="auto"/>
            <w:vAlign w:val="center"/>
            <w:hideMark/>
          </w:tcPr>
          <w:p w:rsidR="001341A4" w:rsidRPr="00942C19" w:rsidRDefault="001341A4">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Gross Employee Expenses</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469.55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7.45%</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Gross A&amp;G expenses</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87.52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1.39%</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R&amp;M expenses</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153.03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2.43%</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Gross Interest &amp; Finance charges</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242.22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3.85%</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Depreciation</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258.23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4.10%</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Total Expenditure</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b/>
                <w:bCs/>
                <w:color w:val="000000"/>
                <w:sz w:val="22"/>
                <w:szCs w:val="22"/>
                <w:lang w:val="en-US"/>
              </w:rPr>
            </w:pPr>
            <w:r w:rsidRPr="00942C19">
              <w:rPr>
                <w:rFonts w:cs="Calibri"/>
                <w:b/>
                <w:bCs/>
                <w:color w:val="000000"/>
                <w:sz w:val="22"/>
                <w:szCs w:val="22"/>
              </w:rPr>
              <w:t xml:space="preserve">7,242.01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114.97%</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Expense capitalization</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b/>
                <w:bCs/>
                <w:color w:val="000000"/>
                <w:sz w:val="22"/>
                <w:szCs w:val="22"/>
                <w:lang w:val="en-US"/>
              </w:rPr>
            </w:pPr>
            <w:r w:rsidRPr="00942C19">
              <w:rPr>
                <w:rFonts w:cs="Calibri"/>
                <w:b/>
                <w:bCs/>
                <w:color w:val="000000"/>
                <w:sz w:val="22"/>
                <w:szCs w:val="22"/>
              </w:rPr>
              <w:t xml:space="preserve">111.09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1.76%</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i/>
                <w:iCs/>
                <w:sz w:val="22"/>
                <w:szCs w:val="22"/>
                <w:lang w:val="en-US"/>
              </w:rPr>
            </w:pPr>
            <w:r w:rsidRPr="00942C19">
              <w:rPr>
                <w:rFonts w:asciiTheme="minorHAnsi" w:hAnsiTheme="minorHAnsi"/>
                <w:i/>
                <w:iCs/>
                <w:sz w:val="22"/>
                <w:szCs w:val="22"/>
                <w:lang w:val="en-US"/>
              </w:rPr>
              <w:t>Employee cost capitalized</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70.43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1.12%</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i/>
                <w:iCs/>
                <w:sz w:val="22"/>
                <w:szCs w:val="22"/>
                <w:lang w:val="en-US"/>
              </w:rPr>
            </w:pPr>
            <w:r w:rsidRPr="00942C19">
              <w:rPr>
                <w:rFonts w:asciiTheme="minorHAnsi" w:hAnsiTheme="minorHAnsi"/>
                <w:i/>
                <w:iCs/>
                <w:sz w:val="22"/>
                <w:szCs w:val="22"/>
                <w:lang w:val="en-US"/>
              </w:rPr>
              <w:t>Interest capitalized</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27.53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0.44%</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i/>
                <w:iCs/>
                <w:sz w:val="22"/>
                <w:szCs w:val="22"/>
                <w:lang w:val="en-US"/>
              </w:rPr>
            </w:pPr>
            <w:r w:rsidRPr="00942C19">
              <w:rPr>
                <w:rFonts w:asciiTheme="minorHAnsi" w:hAnsiTheme="minorHAnsi"/>
                <w:i/>
                <w:iCs/>
                <w:sz w:val="22"/>
                <w:szCs w:val="22"/>
                <w:lang w:val="en-US"/>
              </w:rPr>
              <w:t>A&amp;G expenses capitalized</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13.13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0.21%</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Net Expenditure</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b/>
                <w:bCs/>
                <w:color w:val="000000"/>
                <w:sz w:val="22"/>
                <w:szCs w:val="22"/>
                <w:lang w:val="en-US"/>
              </w:rPr>
            </w:pPr>
            <w:r w:rsidRPr="00942C19">
              <w:rPr>
                <w:rFonts w:cs="Calibri"/>
                <w:b/>
                <w:bCs/>
                <w:color w:val="000000"/>
                <w:sz w:val="22"/>
                <w:szCs w:val="22"/>
              </w:rPr>
              <w:t xml:space="preserve">7,130.92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113.20%</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Special Appropriations</w:t>
            </w:r>
          </w:p>
        </w:tc>
        <w:tc>
          <w:tcPr>
            <w:tcW w:w="1045"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0.00%</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i/>
                <w:iCs/>
                <w:sz w:val="22"/>
                <w:szCs w:val="22"/>
                <w:lang w:val="en-US"/>
              </w:rPr>
            </w:pPr>
            <w:r w:rsidRPr="00942C19">
              <w:rPr>
                <w:rFonts w:asciiTheme="minorHAnsi" w:hAnsiTheme="minorHAnsi"/>
                <w:i/>
                <w:iCs/>
                <w:sz w:val="22"/>
                <w:szCs w:val="22"/>
                <w:lang w:val="en-US"/>
              </w:rPr>
              <w:t>Provision for Bad &amp; Doubtful debts</w:t>
            </w:r>
          </w:p>
        </w:tc>
        <w:tc>
          <w:tcPr>
            <w:tcW w:w="1045"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0.00%</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i/>
                <w:iCs/>
                <w:sz w:val="22"/>
                <w:szCs w:val="22"/>
                <w:lang w:val="en-US"/>
              </w:rPr>
            </w:pPr>
            <w:r w:rsidRPr="00942C19">
              <w:rPr>
                <w:rFonts w:asciiTheme="minorHAnsi" w:hAnsiTheme="minorHAnsi"/>
                <w:i/>
                <w:iCs/>
                <w:sz w:val="22"/>
                <w:szCs w:val="22"/>
                <w:lang w:val="en-US"/>
              </w:rPr>
              <w:t>Provision for Contingency Reserve</w:t>
            </w:r>
          </w:p>
        </w:tc>
        <w:tc>
          <w:tcPr>
            <w:tcW w:w="1045"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0.00%</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Total net expenditure with provisions</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b/>
                <w:bCs/>
                <w:color w:val="000000"/>
                <w:sz w:val="22"/>
                <w:szCs w:val="22"/>
                <w:lang w:val="en-US"/>
              </w:rPr>
            </w:pPr>
            <w:r w:rsidRPr="00942C19">
              <w:rPr>
                <w:rFonts w:cs="Calibri"/>
                <w:b/>
                <w:bCs/>
                <w:color w:val="000000"/>
                <w:sz w:val="22"/>
                <w:szCs w:val="22"/>
              </w:rPr>
              <w:t xml:space="preserve">7,130.92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113.20%</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Add: Return on Equity</w:t>
            </w:r>
          </w:p>
        </w:tc>
        <w:tc>
          <w:tcPr>
            <w:tcW w:w="1045"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0.00%</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Less: Non Tariff Income</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14.40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0.23%</w:t>
            </w:r>
          </w:p>
        </w:tc>
      </w:tr>
      <w:tr w:rsidR="00407C2C" w:rsidRPr="00942C19" w:rsidTr="00407C2C">
        <w:trPr>
          <w:trHeight w:val="300"/>
        </w:trPr>
        <w:tc>
          <w:tcPr>
            <w:tcW w:w="2974" w:type="pct"/>
            <w:shd w:val="clear" w:color="auto" w:fill="auto"/>
            <w:vAlign w:val="center"/>
            <w:hideMark/>
          </w:tcPr>
          <w:p w:rsidR="00155FB3" w:rsidRPr="00942C19" w:rsidRDefault="00155FB3">
            <w:pPr>
              <w:spacing w:before="0" w:line="240" w:lineRule="auto"/>
              <w:jc w:val="left"/>
              <w:rPr>
                <w:rFonts w:asciiTheme="minorHAnsi" w:hAnsiTheme="minorHAnsi"/>
                <w:sz w:val="22"/>
                <w:szCs w:val="22"/>
                <w:lang w:val="en-US"/>
              </w:rPr>
            </w:pPr>
            <w:r w:rsidRPr="00942C19">
              <w:rPr>
                <w:b/>
                <w:bCs/>
                <w:sz w:val="22"/>
                <w:szCs w:val="22"/>
              </w:rPr>
              <w:t>Annual Revenue Requirement (ARR)</w:t>
            </w:r>
          </w:p>
        </w:tc>
        <w:tc>
          <w:tcPr>
            <w:tcW w:w="1045" w:type="pct"/>
            <w:shd w:val="clear" w:color="auto" w:fill="auto"/>
            <w:noWrap/>
            <w:vAlign w:val="center"/>
            <w:hideMark/>
          </w:tcPr>
          <w:p w:rsidR="00155FB3" w:rsidRPr="00942C19" w:rsidRDefault="00155FB3">
            <w:pPr>
              <w:spacing w:before="0" w:line="240" w:lineRule="auto"/>
              <w:jc w:val="center"/>
              <w:rPr>
                <w:rFonts w:cs="Calibri"/>
                <w:color w:val="000000"/>
                <w:sz w:val="22"/>
                <w:szCs w:val="22"/>
              </w:rPr>
            </w:pPr>
            <w:r w:rsidRPr="00942C19">
              <w:rPr>
                <w:b/>
                <w:bCs/>
                <w:color w:val="000000"/>
                <w:sz w:val="22"/>
                <w:szCs w:val="22"/>
              </w:rPr>
              <w:t>7,116.52</w:t>
            </w:r>
          </w:p>
        </w:tc>
        <w:tc>
          <w:tcPr>
            <w:tcW w:w="981" w:type="pct"/>
            <w:shd w:val="clear" w:color="auto" w:fill="auto"/>
            <w:noWrap/>
            <w:vAlign w:val="center"/>
            <w:hideMark/>
          </w:tcPr>
          <w:p w:rsidR="00407C2C" w:rsidRPr="00942C19" w:rsidRDefault="00407C2C">
            <w:pPr>
              <w:spacing w:before="0" w:line="240" w:lineRule="auto"/>
              <w:jc w:val="center"/>
              <w:rPr>
                <w:rFonts w:cs="Calibri"/>
                <w:color w:val="000000"/>
                <w:sz w:val="22"/>
                <w:szCs w:val="22"/>
              </w:rPr>
            </w:pP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Less: Subsidy from Govt.</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 xml:space="preserve">817.40 </w:t>
            </w:r>
          </w:p>
        </w:tc>
        <w:tc>
          <w:tcPr>
            <w:tcW w:w="981" w:type="pct"/>
            <w:shd w:val="clear" w:color="auto" w:fill="auto"/>
            <w:noWrap/>
            <w:vAlign w:val="center"/>
            <w:hideMark/>
          </w:tcPr>
          <w:p w:rsidR="00B736BC" w:rsidRPr="00942C19" w:rsidRDefault="001341A4">
            <w:pPr>
              <w:spacing w:before="0" w:line="240" w:lineRule="auto"/>
              <w:jc w:val="center"/>
              <w:rPr>
                <w:rFonts w:asciiTheme="minorHAnsi" w:hAnsiTheme="minorHAnsi"/>
                <w:color w:val="000000"/>
                <w:sz w:val="22"/>
                <w:szCs w:val="22"/>
                <w:lang w:val="en-US"/>
              </w:rPr>
            </w:pPr>
            <w:r w:rsidRPr="00942C19">
              <w:rPr>
                <w:rFonts w:cs="Calibri"/>
                <w:color w:val="000000"/>
                <w:sz w:val="22"/>
                <w:szCs w:val="22"/>
              </w:rPr>
              <w:t>12.98%</w:t>
            </w:r>
          </w:p>
        </w:tc>
      </w:tr>
      <w:tr w:rsidR="001341A4" w:rsidRPr="00942C19" w:rsidTr="00E95A68">
        <w:trPr>
          <w:trHeight w:val="300"/>
        </w:trPr>
        <w:tc>
          <w:tcPr>
            <w:tcW w:w="2974" w:type="pct"/>
            <w:shd w:val="clear" w:color="auto" w:fill="auto"/>
            <w:vAlign w:val="center"/>
            <w:hideMark/>
          </w:tcPr>
          <w:p w:rsidR="001341A4" w:rsidRPr="00942C19" w:rsidRDefault="001341A4"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 xml:space="preserve">Revenue Requirement </w:t>
            </w:r>
            <w:r w:rsidR="006F6AF4" w:rsidRPr="00942C19">
              <w:rPr>
                <w:rFonts w:asciiTheme="minorHAnsi" w:hAnsiTheme="minorHAnsi"/>
                <w:b/>
                <w:bCs/>
                <w:sz w:val="22"/>
                <w:szCs w:val="22"/>
                <w:lang w:val="en-US"/>
              </w:rPr>
              <w:t xml:space="preserve">after GoUP subsidy </w:t>
            </w:r>
            <w:r w:rsidRPr="00942C19">
              <w:rPr>
                <w:rFonts w:asciiTheme="minorHAnsi" w:hAnsiTheme="minorHAnsi"/>
                <w:b/>
                <w:bCs/>
                <w:sz w:val="22"/>
                <w:szCs w:val="22"/>
                <w:lang w:val="en-US"/>
              </w:rPr>
              <w:t>(ARR)</w:t>
            </w:r>
          </w:p>
        </w:tc>
        <w:tc>
          <w:tcPr>
            <w:tcW w:w="1045" w:type="pct"/>
            <w:shd w:val="clear" w:color="auto" w:fill="auto"/>
            <w:noWrap/>
            <w:vAlign w:val="center"/>
            <w:hideMark/>
          </w:tcPr>
          <w:p w:rsidR="00B736BC" w:rsidRPr="00942C19" w:rsidRDefault="001341A4">
            <w:pPr>
              <w:spacing w:before="0" w:line="240" w:lineRule="auto"/>
              <w:jc w:val="center"/>
              <w:rPr>
                <w:rFonts w:asciiTheme="minorHAnsi" w:hAnsiTheme="minorHAnsi"/>
                <w:b/>
                <w:bCs/>
                <w:color w:val="000000"/>
                <w:sz w:val="22"/>
                <w:szCs w:val="22"/>
                <w:lang w:val="en-US"/>
              </w:rPr>
            </w:pPr>
            <w:r w:rsidRPr="00942C19">
              <w:rPr>
                <w:rFonts w:cs="Calibri"/>
                <w:b/>
                <w:bCs/>
                <w:color w:val="000000"/>
                <w:sz w:val="22"/>
                <w:szCs w:val="22"/>
              </w:rPr>
              <w:t xml:space="preserve">6,299.12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r w:rsidR="00E95A68" w:rsidRPr="00942C19" w:rsidTr="00E95A68">
        <w:trPr>
          <w:trHeight w:val="300"/>
        </w:trPr>
        <w:tc>
          <w:tcPr>
            <w:tcW w:w="2974" w:type="pct"/>
            <w:shd w:val="clear" w:color="auto" w:fill="auto"/>
            <w:vAlign w:val="center"/>
            <w:hideMark/>
          </w:tcPr>
          <w:p w:rsidR="00B736BC" w:rsidRPr="00942C19" w:rsidRDefault="00A35D55">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 xml:space="preserve">Add: 50% of the </w:t>
            </w:r>
            <w:r w:rsidR="00E95A68" w:rsidRPr="00942C19">
              <w:rPr>
                <w:rFonts w:asciiTheme="minorHAnsi" w:hAnsiTheme="minorHAnsi"/>
                <w:sz w:val="22"/>
                <w:szCs w:val="22"/>
                <w:lang w:val="en-US"/>
              </w:rPr>
              <w:t xml:space="preserve">Revenue Gap carried forward </w:t>
            </w:r>
            <w:r w:rsidRPr="00942C19">
              <w:rPr>
                <w:rFonts w:asciiTheme="minorHAnsi" w:hAnsiTheme="minorHAnsi"/>
                <w:sz w:val="22"/>
                <w:szCs w:val="22"/>
                <w:lang w:val="en-US"/>
              </w:rPr>
              <w:t>approved in Order dated 21</w:t>
            </w:r>
            <w:r w:rsidR="00155FB3" w:rsidRPr="00942C19">
              <w:rPr>
                <w:rFonts w:asciiTheme="minorHAnsi" w:hAnsiTheme="minorHAnsi"/>
                <w:sz w:val="22"/>
                <w:szCs w:val="22"/>
                <w:vertAlign w:val="superscript"/>
                <w:lang w:val="en-US"/>
              </w:rPr>
              <w:t>st</w:t>
            </w:r>
            <w:r w:rsidRPr="00942C19">
              <w:rPr>
                <w:rFonts w:asciiTheme="minorHAnsi" w:hAnsiTheme="minorHAnsi"/>
                <w:sz w:val="22"/>
                <w:szCs w:val="22"/>
                <w:lang w:val="en-US"/>
              </w:rPr>
              <w:t xml:space="preserve"> May, 2013 consequent to final truing up </w:t>
            </w:r>
            <w:r w:rsidR="00E95A68" w:rsidRPr="00942C19">
              <w:rPr>
                <w:rFonts w:asciiTheme="minorHAnsi" w:hAnsiTheme="minorHAnsi"/>
                <w:sz w:val="22"/>
                <w:szCs w:val="22"/>
                <w:lang w:val="en-US"/>
              </w:rPr>
              <w:t>from FY 2000-01 to 2007-08</w:t>
            </w:r>
            <w:r w:rsidRPr="00942C19">
              <w:rPr>
                <w:rFonts w:asciiTheme="minorHAnsi" w:hAnsiTheme="minorHAnsi"/>
                <w:sz w:val="22"/>
                <w:szCs w:val="22"/>
                <w:lang w:val="en-US"/>
              </w:rPr>
              <w:t>.</w:t>
            </w:r>
          </w:p>
        </w:tc>
        <w:tc>
          <w:tcPr>
            <w:tcW w:w="1045" w:type="pct"/>
            <w:shd w:val="clear" w:color="auto" w:fill="auto"/>
            <w:noWrap/>
            <w:vAlign w:val="center"/>
            <w:hideMark/>
          </w:tcPr>
          <w:p w:rsidR="00B736BC" w:rsidRPr="00942C19" w:rsidRDefault="00E95A68">
            <w:pPr>
              <w:spacing w:before="0" w:line="240" w:lineRule="auto"/>
              <w:jc w:val="center"/>
              <w:rPr>
                <w:rFonts w:asciiTheme="minorHAnsi" w:hAnsiTheme="minorHAnsi"/>
                <w:color w:val="000000"/>
                <w:sz w:val="22"/>
                <w:szCs w:val="22"/>
                <w:lang w:val="en-US"/>
              </w:rPr>
            </w:pPr>
            <w:r w:rsidRPr="00942C19">
              <w:rPr>
                <w:color w:val="000000"/>
                <w:sz w:val="22"/>
                <w:szCs w:val="22"/>
              </w:rPr>
              <w:t xml:space="preserve">88.92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r w:rsidR="00E95A68" w:rsidRPr="00942C19" w:rsidTr="00E95A68">
        <w:trPr>
          <w:trHeight w:val="300"/>
        </w:trPr>
        <w:tc>
          <w:tcPr>
            <w:tcW w:w="2974" w:type="pct"/>
            <w:shd w:val="clear" w:color="auto" w:fill="auto"/>
            <w:vAlign w:val="center"/>
            <w:hideMark/>
          </w:tcPr>
          <w:p w:rsidR="00E95A68" w:rsidRPr="00942C19" w:rsidRDefault="00E95A68"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Total Revenue Requirement</w:t>
            </w:r>
          </w:p>
        </w:tc>
        <w:tc>
          <w:tcPr>
            <w:tcW w:w="1045" w:type="pct"/>
            <w:shd w:val="clear" w:color="auto" w:fill="auto"/>
            <w:noWrap/>
            <w:vAlign w:val="center"/>
            <w:hideMark/>
          </w:tcPr>
          <w:p w:rsidR="00B736BC" w:rsidRPr="00942C19" w:rsidRDefault="00E95A68">
            <w:pPr>
              <w:spacing w:before="0" w:line="240" w:lineRule="auto"/>
              <w:jc w:val="center"/>
              <w:rPr>
                <w:rFonts w:asciiTheme="minorHAnsi" w:hAnsiTheme="minorHAnsi"/>
                <w:b/>
                <w:bCs/>
                <w:color w:val="000000"/>
                <w:sz w:val="22"/>
                <w:szCs w:val="22"/>
                <w:lang w:val="en-US"/>
              </w:rPr>
            </w:pPr>
            <w:r w:rsidRPr="00942C19">
              <w:rPr>
                <w:b/>
                <w:bCs/>
                <w:color w:val="000000"/>
                <w:sz w:val="22"/>
                <w:szCs w:val="22"/>
              </w:rPr>
              <w:t xml:space="preserve">6,388.05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r w:rsidR="00E95A68" w:rsidRPr="00942C19" w:rsidTr="00E95A68">
        <w:trPr>
          <w:trHeight w:val="300"/>
        </w:trPr>
        <w:tc>
          <w:tcPr>
            <w:tcW w:w="2974" w:type="pct"/>
            <w:shd w:val="clear" w:color="auto" w:fill="auto"/>
            <w:vAlign w:val="center"/>
            <w:hideMark/>
          </w:tcPr>
          <w:p w:rsidR="00E95A68" w:rsidRPr="00942C19" w:rsidRDefault="00E95A68" w:rsidP="003A7BF1">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Revenue from existing tariffs</w:t>
            </w:r>
          </w:p>
        </w:tc>
        <w:tc>
          <w:tcPr>
            <w:tcW w:w="1045" w:type="pct"/>
            <w:shd w:val="clear" w:color="auto" w:fill="auto"/>
            <w:noWrap/>
            <w:vAlign w:val="center"/>
            <w:hideMark/>
          </w:tcPr>
          <w:p w:rsidR="00B736BC" w:rsidRPr="00942C19" w:rsidRDefault="00E95A68">
            <w:pPr>
              <w:spacing w:before="0" w:line="240" w:lineRule="auto"/>
              <w:jc w:val="center"/>
              <w:rPr>
                <w:rFonts w:asciiTheme="minorHAnsi" w:hAnsiTheme="minorHAnsi"/>
                <w:color w:val="000000"/>
                <w:sz w:val="22"/>
                <w:szCs w:val="22"/>
                <w:lang w:val="en-US"/>
              </w:rPr>
            </w:pPr>
            <w:r w:rsidRPr="00942C19">
              <w:rPr>
                <w:color w:val="000000"/>
                <w:sz w:val="22"/>
                <w:szCs w:val="22"/>
              </w:rPr>
              <w:t xml:space="preserve">5,823.77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r w:rsidR="00E95A68" w:rsidRPr="00942C19" w:rsidTr="00E95A68">
        <w:trPr>
          <w:trHeight w:val="300"/>
        </w:trPr>
        <w:tc>
          <w:tcPr>
            <w:tcW w:w="2974" w:type="pct"/>
            <w:shd w:val="clear" w:color="auto" w:fill="auto"/>
            <w:vAlign w:val="center"/>
            <w:hideMark/>
          </w:tcPr>
          <w:p w:rsidR="00E95A68" w:rsidRPr="00942C19" w:rsidRDefault="00E95A68">
            <w:pPr>
              <w:spacing w:before="0" w:line="240" w:lineRule="auto"/>
              <w:jc w:val="left"/>
              <w:rPr>
                <w:rFonts w:asciiTheme="minorHAnsi" w:hAnsiTheme="minorHAnsi"/>
                <w:sz w:val="22"/>
                <w:szCs w:val="22"/>
                <w:lang w:val="en-US"/>
              </w:rPr>
            </w:pPr>
            <w:r w:rsidRPr="00942C19">
              <w:rPr>
                <w:rFonts w:asciiTheme="minorHAnsi" w:hAnsiTheme="minorHAnsi"/>
                <w:sz w:val="22"/>
                <w:szCs w:val="22"/>
                <w:lang w:val="en-US"/>
              </w:rPr>
              <w:t>Revenue due to Tariff Revision (Effective for 10 months)</w:t>
            </w:r>
          </w:p>
        </w:tc>
        <w:tc>
          <w:tcPr>
            <w:tcW w:w="1045" w:type="pct"/>
            <w:shd w:val="clear" w:color="auto" w:fill="auto"/>
            <w:noWrap/>
            <w:vAlign w:val="center"/>
            <w:hideMark/>
          </w:tcPr>
          <w:p w:rsidR="00B736BC" w:rsidRPr="00942C19" w:rsidRDefault="00E95A68">
            <w:pPr>
              <w:spacing w:before="0" w:line="240" w:lineRule="auto"/>
              <w:jc w:val="center"/>
              <w:rPr>
                <w:rFonts w:asciiTheme="minorHAnsi" w:hAnsiTheme="minorHAnsi"/>
                <w:color w:val="000000"/>
                <w:sz w:val="22"/>
                <w:szCs w:val="22"/>
                <w:lang w:val="en-US"/>
              </w:rPr>
            </w:pPr>
            <w:r w:rsidRPr="00942C19">
              <w:rPr>
                <w:color w:val="000000"/>
                <w:sz w:val="22"/>
                <w:szCs w:val="22"/>
              </w:rPr>
              <w:t xml:space="preserve">268.71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r w:rsidR="00E95A68" w:rsidRPr="00942C19" w:rsidTr="00E95A68">
        <w:trPr>
          <w:trHeight w:val="300"/>
        </w:trPr>
        <w:tc>
          <w:tcPr>
            <w:tcW w:w="2974" w:type="pct"/>
            <w:shd w:val="clear" w:color="auto" w:fill="auto"/>
            <w:vAlign w:val="center"/>
            <w:hideMark/>
          </w:tcPr>
          <w:p w:rsidR="00E95A68" w:rsidRPr="00942C19" w:rsidRDefault="00E95A68" w:rsidP="003A7BF1">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Net Gap after Tariff Hike</w:t>
            </w:r>
          </w:p>
        </w:tc>
        <w:tc>
          <w:tcPr>
            <w:tcW w:w="1045" w:type="pct"/>
            <w:shd w:val="clear" w:color="auto" w:fill="auto"/>
            <w:noWrap/>
            <w:vAlign w:val="center"/>
            <w:hideMark/>
          </w:tcPr>
          <w:p w:rsidR="00B736BC" w:rsidRPr="00942C19" w:rsidRDefault="00E95A68">
            <w:pPr>
              <w:spacing w:before="0" w:line="240" w:lineRule="auto"/>
              <w:jc w:val="center"/>
              <w:rPr>
                <w:rFonts w:asciiTheme="minorHAnsi" w:hAnsiTheme="minorHAnsi"/>
                <w:b/>
                <w:bCs/>
                <w:color w:val="000000"/>
                <w:sz w:val="22"/>
                <w:szCs w:val="22"/>
                <w:lang w:val="en-US"/>
              </w:rPr>
            </w:pPr>
            <w:r w:rsidRPr="00942C19">
              <w:rPr>
                <w:b/>
                <w:bCs/>
                <w:color w:val="000000"/>
                <w:sz w:val="22"/>
                <w:szCs w:val="22"/>
              </w:rPr>
              <w:t xml:space="preserve">295.57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r w:rsidR="00E95A68" w:rsidRPr="00942C19" w:rsidTr="00E95A68">
        <w:trPr>
          <w:trHeight w:val="300"/>
        </w:trPr>
        <w:tc>
          <w:tcPr>
            <w:tcW w:w="2974" w:type="pct"/>
            <w:shd w:val="clear" w:color="auto" w:fill="auto"/>
            <w:vAlign w:val="center"/>
            <w:hideMark/>
          </w:tcPr>
          <w:p w:rsidR="00E95A68" w:rsidRPr="00942C19" w:rsidRDefault="00E95A68">
            <w:pPr>
              <w:spacing w:before="0" w:line="240" w:lineRule="auto"/>
              <w:jc w:val="left"/>
              <w:rPr>
                <w:rFonts w:asciiTheme="minorHAnsi" w:hAnsiTheme="minorHAnsi"/>
                <w:bCs/>
                <w:sz w:val="22"/>
                <w:szCs w:val="22"/>
                <w:lang w:val="en-US"/>
              </w:rPr>
            </w:pPr>
            <w:r w:rsidRPr="00942C19">
              <w:rPr>
                <w:rFonts w:asciiTheme="minorHAnsi" w:hAnsiTheme="minorHAnsi"/>
                <w:bCs/>
                <w:sz w:val="22"/>
                <w:szCs w:val="22"/>
                <w:lang w:val="en-US"/>
              </w:rPr>
              <w:t>Less: Additional Subsidy Requirement from GoUP</w:t>
            </w:r>
          </w:p>
        </w:tc>
        <w:tc>
          <w:tcPr>
            <w:tcW w:w="1045" w:type="pct"/>
            <w:shd w:val="clear" w:color="auto" w:fill="auto"/>
            <w:noWrap/>
            <w:vAlign w:val="center"/>
            <w:hideMark/>
          </w:tcPr>
          <w:p w:rsidR="00B736BC" w:rsidRPr="00942C19" w:rsidRDefault="00E95A68">
            <w:pPr>
              <w:spacing w:before="0" w:line="240" w:lineRule="auto"/>
              <w:jc w:val="center"/>
              <w:rPr>
                <w:rFonts w:asciiTheme="minorHAnsi" w:hAnsiTheme="minorHAnsi"/>
                <w:color w:val="000000"/>
                <w:sz w:val="22"/>
                <w:szCs w:val="22"/>
                <w:lang w:val="en-US"/>
              </w:rPr>
            </w:pPr>
            <w:r w:rsidRPr="00942C19">
              <w:rPr>
                <w:color w:val="000000"/>
                <w:sz w:val="22"/>
                <w:szCs w:val="22"/>
              </w:rPr>
              <w:t xml:space="preserve">65.81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r w:rsidR="00E95A68" w:rsidRPr="00942C19" w:rsidTr="00E95A68">
        <w:trPr>
          <w:trHeight w:val="300"/>
        </w:trPr>
        <w:tc>
          <w:tcPr>
            <w:tcW w:w="2974" w:type="pct"/>
            <w:shd w:val="clear" w:color="auto" w:fill="auto"/>
            <w:vAlign w:val="center"/>
            <w:hideMark/>
          </w:tcPr>
          <w:p w:rsidR="00B736BC" w:rsidRPr="00942C19" w:rsidRDefault="00E95A68">
            <w:pPr>
              <w:spacing w:before="0" w:line="240" w:lineRule="auto"/>
              <w:jc w:val="left"/>
              <w:rPr>
                <w:rFonts w:asciiTheme="minorHAnsi" w:hAnsiTheme="minorHAnsi"/>
                <w:b/>
                <w:bCs/>
                <w:sz w:val="22"/>
                <w:szCs w:val="22"/>
                <w:lang w:val="en-US"/>
              </w:rPr>
            </w:pPr>
            <w:r w:rsidRPr="00942C19">
              <w:rPr>
                <w:rFonts w:asciiTheme="minorHAnsi" w:hAnsiTheme="minorHAnsi"/>
                <w:b/>
                <w:bCs/>
                <w:sz w:val="22"/>
                <w:szCs w:val="22"/>
                <w:lang w:val="en-US"/>
              </w:rPr>
              <w:t xml:space="preserve">Net Gap after reducing </w:t>
            </w:r>
            <w:r w:rsidR="00A35D55" w:rsidRPr="00942C19">
              <w:rPr>
                <w:rFonts w:asciiTheme="minorHAnsi" w:hAnsiTheme="minorHAnsi"/>
                <w:b/>
                <w:bCs/>
                <w:sz w:val="22"/>
                <w:szCs w:val="22"/>
                <w:lang w:val="en-US"/>
              </w:rPr>
              <w:t xml:space="preserve">Additional Subsidy Requirement from </w:t>
            </w:r>
            <w:r w:rsidRPr="00942C19">
              <w:rPr>
                <w:rFonts w:asciiTheme="minorHAnsi" w:hAnsiTheme="minorHAnsi"/>
                <w:b/>
                <w:bCs/>
                <w:sz w:val="22"/>
                <w:szCs w:val="22"/>
                <w:lang w:val="en-US"/>
              </w:rPr>
              <w:t>GoUP</w:t>
            </w:r>
            <w:r w:rsidR="00A35D55" w:rsidRPr="00942C19">
              <w:rPr>
                <w:rFonts w:asciiTheme="minorHAnsi" w:hAnsiTheme="minorHAnsi"/>
                <w:b/>
                <w:bCs/>
                <w:sz w:val="22"/>
                <w:szCs w:val="22"/>
                <w:lang w:val="en-US"/>
              </w:rPr>
              <w:t>.</w:t>
            </w:r>
          </w:p>
        </w:tc>
        <w:tc>
          <w:tcPr>
            <w:tcW w:w="1045" w:type="pct"/>
            <w:shd w:val="clear" w:color="auto" w:fill="auto"/>
            <w:noWrap/>
            <w:vAlign w:val="center"/>
            <w:hideMark/>
          </w:tcPr>
          <w:p w:rsidR="00B736BC" w:rsidRPr="00942C19" w:rsidRDefault="00E95A68">
            <w:pPr>
              <w:spacing w:before="0" w:line="240" w:lineRule="auto"/>
              <w:jc w:val="center"/>
              <w:rPr>
                <w:rFonts w:asciiTheme="minorHAnsi" w:hAnsiTheme="minorHAnsi"/>
                <w:b/>
                <w:bCs/>
                <w:color w:val="000000"/>
                <w:sz w:val="22"/>
                <w:szCs w:val="22"/>
                <w:lang w:val="en-US"/>
              </w:rPr>
            </w:pPr>
            <w:r w:rsidRPr="00942C19">
              <w:rPr>
                <w:b/>
                <w:bCs/>
                <w:color w:val="000000"/>
                <w:sz w:val="22"/>
                <w:szCs w:val="22"/>
              </w:rPr>
              <w:t xml:space="preserve">229.77 </w:t>
            </w:r>
          </w:p>
        </w:tc>
        <w:tc>
          <w:tcPr>
            <w:tcW w:w="981" w:type="pct"/>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US"/>
              </w:rPr>
            </w:pPr>
          </w:p>
        </w:tc>
      </w:tr>
    </w:tbl>
    <w:p w:rsidR="000F3819" w:rsidRPr="00942C19" w:rsidRDefault="00C8001E">
      <w:pPr>
        <w:spacing w:before="0" w:line="240" w:lineRule="auto"/>
        <w:jc w:val="left"/>
        <w:rPr>
          <w:rFonts w:cs="Arial"/>
          <w:bCs/>
          <w:szCs w:val="26"/>
        </w:rPr>
      </w:pPr>
      <w:r w:rsidRPr="00942C19">
        <w:br w:type="page"/>
      </w:r>
      <w:bookmarkEnd w:id="316"/>
      <w:bookmarkEnd w:id="317"/>
      <w:bookmarkEnd w:id="318"/>
    </w:p>
    <w:p w:rsidR="00A72BF3" w:rsidRPr="00942C19" w:rsidRDefault="00A72BF3" w:rsidP="00A72BF3">
      <w:pPr>
        <w:pStyle w:val="Heading1"/>
        <w:numPr>
          <w:ilvl w:val="0"/>
          <w:numId w:val="1"/>
        </w:numPr>
      </w:pPr>
      <w:bookmarkStart w:id="783" w:name="_Toc357714417"/>
      <w:r w:rsidRPr="00942C19">
        <w:t>OPEN ACCESS CHARGES</w:t>
      </w:r>
      <w:bookmarkEnd w:id="783"/>
    </w:p>
    <w:p w:rsidR="00A72BF3" w:rsidRPr="00942C19" w:rsidRDefault="00A72BF3" w:rsidP="00A72BF3"/>
    <w:p w:rsidR="00A72BF3" w:rsidRPr="00942C19" w:rsidRDefault="00A72BF3" w:rsidP="00A72BF3">
      <w:pPr>
        <w:pStyle w:val="Heading2"/>
        <w:keepNext/>
        <w:numPr>
          <w:ilvl w:val="1"/>
          <w:numId w:val="1"/>
        </w:numPr>
        <w:autoSpaceDE/>
        <w:autoSpaceDN/>
        <w:adjustRightInd/>
        <w:spacing w:before="0" w:line="276" w:lineRule="auto"/>
        <w:contextualSpacing w:val="0"/>
      </w:pPr>
      <w:bookmarkStart w:id="784" w:name="_Toc337201440"/>
      <w:bookmarkStart w:id="785" w:name="_Toc357345041"/>
      <w:bookmarkStart w:id="786" w:name="_Toc357714418"/>
      <w:r w:rsidRPr="00942C19">
        <w:t>BACKGROUND:</w:t>
      </w:r>
      <w:bookmarkEnd w:id="784"/>
      <w:bookmarkEnd w:id="785"/>
      <w:bookmarkEnd w:id="786"/>
      <w:r w:rsidRPr="00942C19">
        <w:t xml:space="preserve"> </w:t>
      </w:r>
    </w:p>
    <w:p w:rsidR="00A72BF3" w:rsidRPr="00942C19" w:rsidRDefault="00A72BF3" w:rsidP="00A72BF3">
      <w:pPr>
        <w:pStyle w:val="Default"/>
        <w:spacing w:line="276" w:lineRule="auto"/>
        <w:jc w:val="both"/>
        <w:rPr>
          <w:rFonts w:asciiTheme="minorHAnsi" w:hAnsiTheme="minorHAnsi" w:cstheme="minorHAnsi"/>
        </w:rPr>
      </w:pPr>
    </w:p>
    <w:p w:rsidR="00A72BF3" w:rsidRPr="00942C19" w:rsidRDefault="00A72BF3" w:rsidP="00A72BF3">
      <w:pPr>
        <w:pStyle w:val="Heading3"/>
        <w:numPr>
          <w:ilvl w:val="2"/>
          <w:numId w:val="1"/>
        </w:numPr>
        <w:spacing w:before="0"/>
      </w:pPr>
      <w:r w:rsidRPr="00942C19">
        <w:t xml:space="preserve">The Commission has issued Uttar Pradesh Electricity Regulatory Commission (Terms and Conditions for Open Access) Regulations, 2004 (in short ‘UPERC Open Access Regulations’) vide notification no. UPERC/Secy./Regulations/05-249 dated </w:t>
      </w:r>
      <w:r w:rsidR="00343DB9" w:rsidRPr="00942C19">
        <w:t>7</w:t>
      </w:r>
      <w:r w:rsidR="00785E17" w:rsidRPr="00942C19">
        <w:rPr>
          <w:vertAlign w:val="superscript"/>
        </w:rPr>
        <w:t>th</w:t>
      </w:r>
      <w:r w:rsidR="00343DB9" w:rsidRPr="00942C19">
        <w:t xml:space="preserve"> June, 2005</w:t>
      </w:r>
      <w:r w:rsidRPr="00942C19">
        <w:t xml:space="preserve"> to operationalize long term and short term open access in the state. The Regulations also provides that effective from 1</w:t>
      </w:r>
      <w:r w:rsidR="00785E17" w:rsidRPr="00942C19">
        <w:rPr>
          <w:vertAlign w:val="superscript"/>
        </w:rPr>
        <w:t>st</w:t>
      </w:r>
      <w:r w:rsidR="00343DB9" w:rsidRPr="00942C19">
        <w:t xml:space="preserve"> </w:t>
      </w:r>
      <w:r w:rsidRPr="00942C19">
        <w:t>April, 2008 any consumer with demand of above 1 MW can avail open access of transmission and distribution systems.</w:t>
      </w:r>
    </w:p>
    <w:p w:rsidR="00A44CA7" w:rsidRPr="00942C19" w:rsidRDefault="00A44CA7">
      <w:pPr>
        <w:pStyle w:val="Heading3"/>
        <w:numPr>
          <w:ilvl w:val="0"/>
          <w:numId w:val="0"/>
        </w:numPr>
        <w:spacing w:before="0"/>
        <w:ind w:left="936"/>
      </w:pPr>
    </w:p>
    <w:p w:rsidR="00B13F1A" w:rsidRPr="00942C19" w:rsidRDefault="00A72BF3">
      <w:pPr>
        <w:pStyle w:val="Heading3"/>
        <w:numPr>
          <w:ilvl w:val="2"/>
          <w:numId w:val="1"/>
        </w:numPr>
        <w:spacing w:before="0"/>
      </w:pPr>
      <w:r w:rsidRPr="00942C19">
        <w:t>Subsequently, the Commission has also made / finalized the necessary regulatory framework as below:</w:t>
      </w:r>
    </w:p>
    <w:p w:rsidR="00A72BF3" w:rsidRPr="00942C19" w:rsidRDefault="00A72BF3" w:rsidP="00A818DC">
      <w:pPr>
        <w:pStyle w:val="ListParagraph"/>
        <w:numPr>
          <w:ilvl w:val="1"/>
          <w:numId w:val="56"/>
        </w:numPr>
        <w:spacing w:before="0"/>
      </w:pPr>
      <w:r w:rsidRPr="00942C19">
        <w:t>UPERC (Terms and Conditions for Open Access) (First Amendment) Regulations, 2009 that includes among others detailed procedure(s) for Long-Term Open Access and Short-Term Open Access for use of distribution system, with or without transmission system;</w:t>
      </w:r>
    </w:p>
    <w:p w:rsidR="00A72BF3" w:rsidRPr="00942C19" w:rsidRDefault="00A72BF3" w:rsidP="00A818DC">
      <w:pPr>
        <w:pStyle w:val="ListParagraph"/>
        <w:numPr>
          <w:ilvl w:val="1"/>
          <w:numId w:val="56"/>
        </w:numPr>
        <w:spacing w:before="0"/>
      </w:pPr>
      <w:r w:rsidRPr="00942C19">
        <w:t xml:space="preserve">Model Bulk Power Wheeling Agreement (BPWA) for availing wheeling services of Distribution </w:t>
      </w:r>
      <w:r w:rsidR="009A3804" w:rsidRPr="00942C19">
        <w:t>Licensee</w:t>
      </w:r>
      <w:r w:rsidRPr="00942C19">
        <w:t xml:space="preserve">(s); </w:t>
      </w:r>
    </w:p>
    <w:p w:rsidR="00A72BF3" w:rsidRPr="00942C19" w:rsidRDefault="00A72BF3" w:rsidP="00A818DC">
      <w:pPr>
        <w:pStyle w:val="ListParagraph"/>
        <w:numPr>
          <w:ilvl w:val="1"/>
          <w:numId w:val="56"/>
        </w:numPr>
        <w:spacing w:before="0"/>
      </w:pPr>
      <w:r w:rsidRPr="00942C19">
        <w:t xml:space="preserve">Procedures for Scheduling, </w:t>
      </w:r>
      <w:r w:rsidR="00C8350E" w:rsidRPr="00942C19">
        <w:t>Dispatch</w:t>
      </w:r>
      <w:r w:rsidRPr="00942C19">
        <w:t xml:space="preserve">, Energy Accounting, UI Accounting and Settlement System of electricity transmitted through the State grid for the electricity drawn by Distribution </w:t>
      </w:r>
      <w:r w:rsidR="009A3804" w:rsidRPr="00942C19">
        <w:t>Licensee</w:t>
      </w:r>
      <w:r w:rsidRPr="00942C19">
        <w:t>(s) from outside and</w:t>
      </w:r>
      <w:r w:rsidR="00343DB9" w:rsidRPr="00942C19">
        <w:t xml:space="preserve"> </w:t>
      </w:r>
      <w:r w:rsidRPr="00942C19">
        <w:t>/</w:t>
      </w:r>
      <w:r w:rsidR="00343DB9" w:rsidRPr="00942C19">
        <w:t xml:space="preserve"> </w:t>
      </w:r>
      <w:r w:rsidRPr="00942C19">
        <w:t>or within the State.</w:t>
      </w:r>
    </w:p>
    <w:p w:rsidR="00A72BF3" w:rsidRPr="00942C19" w:rsidRDefault="00A72BF3" w:rsidP="00A72BF3">
      <w:pPr>
        <w:ind w:left="720"/>
      </w:pPr>
      <w:r w:rsidRPr="00942C19">
        <w:t xml:space="preserve">Further, the Commission has also </w:t>
      </w:r>
      <w:r w:rsidR="00AC5CF4" w:rsidRPr="00942C19">
        <w:t xml:space="preserve">advised the </w:t>
      </w:r>
      <w:r w:rsidRPr="00942C19">
        <w:t xml:space="preserve">SLDC to develop procedure for energy accounting of electricity drawn from the grid by an open access consumer who is connected with the distribution system or electricity injected into the grid by a generating station embedded in the distribution system. </w:t>
      </w:r>
    </w:p>
    <w:p w:rsidR="00A44CA7" w:rsidRPr="00942C19" w:rsidRDefault="00A44CA7">
      <w:pPr>
        <w:pStyle w:val="Heading3"/>
        <w:numPr>
          <w:ilvl w:val="0"/>
          <w:numId w:val="0"/>
        </w:numPr>
        <w:spacing w:before="0"/>
        <w:ind w:left="936"/>
      </w:pPr>
    </w:p>
    <w:p w:rsidR="00A44CA7" w:rsidRPr="00942C19" w:rsidRDefault="00A44CA7">
      <w:pPr>
        <w:pStyle w:val="Heading3"/>
        <w:numPr>
          <w:ilvl w:val="0"/>
          <w:numId w:val="0"/>
        </w:numPr>
        <w:spacing w:before="0"/>
        <w:ind w:left="936"/>
      </w:pPr>
    </w:p>
    <w:p w:rsidR="00B13F1A" w:rsidRPr="00942C19" w:rsidRDefault="00A72BF3">
      <w:pPr>
        <w:pStyle w:val="Heading2"/>
        <w:keepNext/>
        <w:numPr>
          <w:ilvl w:val="1"/>
          <w:numId w:val="1"/>
        </w:numPr>
        <w:autoSpaceDE/>
        <w:autoSpaceDN/>
        <w:adjustRightInd/>
        <w:spacing w:before="0" w:line="276" w:lineRule="auto"/>
        <w:contextualSpacing w:val="0"/>
      </w:pPr>
      <w:bookmarkStart w:id="787" w:name="_Toc337201441"/>
      <w:bookmarkStart w:id="788" w:name="_Toc357345042"/>
      <w:bookmarkStart w:id="789" w:name="_Toc357714419"/>
      <w:r w:rsidRPr="00942C19">
        <w:t>WHEELING CHARGES</w:t>
      </w:r>
      <w:bookmarkEnd w:id="787"/>
      <w:bookmarkEnd w:id="788"/>
      <w:bookmarkEnd w:id="789"/>
    </w:p>
    <w:p w:rsidR="00A72BF3" w:rsidRPr="00942C19" w:rsidRDefault="00A72BF3" w:rsidP="00A72BF3">
      <w:pPr>
        <w:pStyle w:val="Default"/>
        <w:spacing w:line="276" w:lineRule="auto"/>
        <w:jc w:val="both"/>
        <w:rPr>
          <w:rFonts w:asciiTheme="minorHAnsi" w:hAnsiTheme="minorHAnsi" w:cstheme="minorHAnsi"/>
        </w:rPr>
      </w:pPr>
    </w:p>
    <w:p w:rsidR="00A72BF3" w:rsidRPr="00942C19" w:rsidRDefault="00A72BF3" w:rsidP="00A72BF3">
      <w:pPr>
        <w:pStyle w:val="Heading3"/>
        <w:numPr>
          <w:ilvl w:val="2"/>
          <w:numId w:val="1"/>
        </w:numPr>
        <w:spacing w:before="0"/>
      </w:pPr>
      <w:r w:rsidRPr="00942C19">
        <w:t xml:space="preserve">Clause 2.1 (2) &amp; (3) of the Distribution Tariff Regulations provide that ARR / Tariff filing by the Distribution </w:t>
      </w:r>
      <w:r w:rsidR="009A3804" w:rsidRPr="00942C19">
        <w:t>Licensee</w:t>
      </w:r>
      <w:r w:rsidRPr="00942C19">
        <w:t xml:space="preserve"> shall separately indicate Aggregate Revenue Requirement (ARR) for Wheeling function and Retail Supply function embedded in the distribution function and that till such time complete segregation of accounts between Wheeling and Retail Supply function takes place, ARR proposals for Wheeling and Retail Supply function shall be submitted on the basis of an allocation statement left to be prepared by the Distribution </w:t>
      </w:r>
      <w:r w:rsidR="009A3804" w:rsidRPr="00942C19">
        <w:t>Licensee</w:t>
      </w:r>
      <w:r w:rsidRPr="00942C19">
        <w:t xml:space="preserve"> to the best of their judgment.</w:t>
      </w:r>
    </w:p>
    <w:p w:rsidR="00A44CA7" w:rsidRPr="00942C19" w:rsidRDefault="00A44CA7">
      <w:pPr>
        <w:pStyle w:val="Heading3"/>
        <w:numPr>
          <w:ilvl w:val="0"/>
          <w:numId w:val="0"/>
        </w:numPr>
        <w:spacing w:before="0"/>
        <w:ind w:left="936"/>
      </w:pPr>
    </w:p>
    <w:p w:rsidR="00B13F1A" w:rsidRPr="00942C19" w:rsidRDefault="00A72BF3">
      <w:pPr>
        <w:pStyle w:val="Heading3"/>
        <w:numPr>
          <w:ilvl w:val="2"/>
          <w:numId w:val="1"/>
        </w:numPr>
        <w:spacing w:before="0"/>
      </w:pPr>
      <w:r w:rsidRPr="00942C19">
        <w:t xml:space="preserve">The </w:t>
      </w:r>
      <w:r w:rsidR="009A3804" w:rsidRPr="00942C19">
        <w:t>Licensee</w:t>
      </w:r>
      <w:r w:rsidRPr="00942C19">
        <w:t xml:space="preserve"> in its petition has followed the segregation in accordance with the approach followed by the Commission in the previous </w:t>
      </w:r>
      <w:r w:rsidR="00F06BEC" w:rsidRPr="00942C19">
        <w:t>O</w:t>
      </w:r>
      <w:r w:rsidRPr="00942C19">
        <w:t xml:space="preserve">rder. As there is no basis submitted by the </w:t>
      </w:r>
      <w:r w:rsidR="009A3804" w:rsidRPr="00942C19">
        <w:t>Licensee</w:t>
      </w:r>
      <w:r w:rsidRPr="00942C19">
        <w:t xml:space="preserve"> </w:t>
      </w:r>
      <w:r w:rsidR="00E95A68" w:rsidRPr="00942C19">
        <w:t>in its filing</w:t>
      </w:r>
      <w:r w:rsidR="00F06BEC" w:rsidRPr="00942C19">
        <w:t>,</w:t>
      </w:r>
      <w:r w:rsidR="00E95A68" w:rsidRPr="00942C19">
        <w:t xml:space="preserve"> the Commission finds merit to consider the segregation into Retail Supply and Wheeling Function as per the methodology adopted in previous Tariff Order. The approved ARR for DVVNL, MVVNL, PVVNL and PuVVNL into wheeling function and retail function is Rs. 3,601.49 crores and Rs. 31,940.13 crores respectively as detailed below. The retail sales approved by Commission for DVVNL, MVVNL, PVVNL and PuVVNL are 58,058 MUs</w:t>
      </w:r>
      <w:r w:rsidRPr="00942C19">
        <w:t>.</w:t>
      </w:r>
    </w:p>
    <w:p w:rsidR="00A72BF3" w:rsidRPr="00942C19" w:rsidRDefault="00A72BF3" w:rsidP="00A72BF3">
      <w:pPr>
        <w:pStyle w:val="Caption"/>
        <w:keepNext/>
        <w:spacing w:line="276" w:lineRule="auto"/>
        <w:jc w:val="center"/>
        <w:rPr>
          <w:rFonts w:asciiTheme="minorHAnsi" w:hAnsiTheme="minorHAnsi" w:cstheme="minorHAnsi"/>
          <w:szCs w:val="24"/>
        </w:rPr>
      </w:pPr>
      <w:bookmarkStart w:id="790" w:name="_Toc337201616"/>
      <w:bookmarkStart w:id="791" w:name="_Toc338310723"/>
      <w:bookmarkStart w:id="792" w:name="_Toc338419553"/>
      <w:bookmarkStart w:id="793" w:name="_Toc357719752"/>
      <w:r w:rsidRPr="00942C19">
        <w:rPr>
          <w:rFonts w:asciiTheme="minorHAnsi" w:hAnsiTheme="minorHAnsi" w:cstheme="minorHAnsi"/>
          <w:szCs w:val="24"/>
        </w:rPr>
        <w:t xml:space="preserve">Table </w:t>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STYLEREF 1 \s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5</w:t>
      </w:r>
      <w:r w:rsidR="000C642E" w:rsidRPr="00942C19">
        <w:rPr>
          <w:rFonts w:asciiTheme="minorHAnsi" w:hAnsiTheme="minorHAnsi" w:cstheme="minorHAnsi"/>
          <w:szCs w:val="24"/>
        </w:rPr>
        <w:fldChar w:fldCharType="end"/>
      </w:r>
      <w:r w:rsidRPr="00942C19">
        <w:rPr>
          <w:rFonts w:asciiTheme="minorHAnsi" w:hAnsiTheme="minorHAnsi" w:cstheme="minorHAnsi"/>
          <w:szCs w:val="24"/>
        </w:rPr>
        <w:noBreakHyphen/>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SEQ Table \* ARABIC \s 1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1</w:t>
      </w:r>
      <w:r w:rsidR="000C642E" w:rsidRPr="00942C19">
        <w:rPr>
          <w:rFonts w:asciiTheme="minorHAnsi" w:hAnsiTheme="minorHAnsi" w:cstheme="minorHAnsi"/>
          <w:szCs w:val="24"/>
        </w:rPr>
        <w:fldChar w:fldCharType="end"/>
      </w:r>
      <w:r w:rsidRPr="00942C19">
        <w:rPr>
          <w:rFonts w:asciiTheme="minorHAnsi" w:hAnsiTheme="minorHAnsi" w:cstheme="minorHAnsi"/>
          <w:szCs w:val="24"/>
        </w:rPr>
        <w:t xml:space="preserve">: WHEELING &amp; RETAIL SUPPLY ARR FOR FY </w:t>
      </w:r>
      <w:bookmarkEnd w:id="790"/>
      <w:bookmarkEnd w:id="791"/>
      <w:bookmarkEnd w:id="792"/>
      <w:r w:rsidRPr="00942C19">
        <w:rPr>
          <w:rFonts w:asciiTheme="minorHAnsi" w:hAnsiTheme="minorHAnsi" w:cstheme="minorHAnsi"/>
          <w:szCs w:val="24"/>
        </w:rPr>
        <w:t>2013-14</w:t>
      </w:r>
      <w:bookmarkEnd w:id="793"/>
    </w:p>
    <w:tbl>
      <w:tblPr>
        <w:tblW w:w="5182" w:type="pct"/>
        <w:tblLayout w:type="fixed"/>
        <w:tblLook w:val="04A0"/>
      </w:tblPr>
      <w:tblGrid>
        <w:gridCol w:w="817"/>
        <w:gridCol w:w="2514"/>
        <w:gridCol w:w="1456"/>
        <w:gridCol w:w="1123"/>
        <w:gridCol w:w="1125"/>
        <w:gridCol w:w="1123"/>
        <w:gridCol w:w="1125"/>
      </w:tblGrid>
      <w:tr w:rsidR="009D6056" w:rsidRPr="00942C19" w:rsidTr="00525905">
        <w:trPr>
          <w:trHeight w:val="302"/>
          <w:tblHeader/>
        </w:trPr>
        <w:tc>
          <w:tcPr>
            <w:tcW w:w="440"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155FB3" w:rsidRPr="00942C19" w:rsidRDefault="00155FB3" w:rsidP="00155FB3">
            <w:pPr>
              <w:spacing w:before="0"/>
              <w:rPr>
                <w:b/>
                <w:sz w:val="22"/>
                <w:szCs w:val="22"/>
              </w:rPr>
            </w:pPr>
            <w:r w:rsidRPr="00942C19">
              <w:rPr>
                <w:b/>
                <w:sz w:val="22"/>
                <w:szCs w:val="22"/>
              </w:rPr>
              <w:t>S. No</w:t>
            </w:r>
          </w:p>
        </w:tc>
        <w:tc>
          <w:tcPr>
            <w:tcW w:w="1354"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155FB3" w:rsidRPr="00942C19" w:rsidRDefault="00155FB3" w:rsidP="00155FB3">
            <w:pPr>
              <w:spacing w:before="0"/>
              <w:rPr>
                <w:b/>
                <w:sz w:val="22"/>
                <w:szCs w:val="22"/>
              </w:rPr>
            </w:pPr>
            <w:r w:rsidRPr="00942C19">
              <w:rPr>
                <w:b/>
                <w:sz w:val="22"/>
                <w:szCs w:val="22"/>
              </w:rPr>
              <w:t>Particulars</w:t>
            </w:r>
          </w:p>
        </w:tc>
        <w:tc>
          <w:tcPr>
            <w:tcW w:w="784" w:type="pct"/>
            <w:vMerge w:val="restart"/>
            <w:tcBorders>
              <w:top w:val="dotted" w:sz="4" w:space="0" w:color="auto"/>
              <w:left w:val="dotted" w:sz="4" w:space="0" w:color="auto"/>
              <w:bottom w:val="dotted" w:sz="4" w:space="0" w:color="000000"/>
              <w:right w:val="dotted" w:sz="4" w:space="0" w:color="auto"/>
            </w:tcBorders>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Approved</w:t>
            </w:r>
          </w:p>
          <w:p w:rsidR="00155FB3" w:rsidRPr="00942C19" w:rsidRDefault="00155FB3" w:rsidP="00155FB3">
            <w:pPr>
              <w:spacing w:before="0"/>
              <w:jc w:val="center"/>
              <w:rPr>
                <w:b/>
                <w:sz w:val="22"/>
                <w:szCs w:val="22"/>
              </w:rPr>
            </w:pPr>
            <w:r w:rsidRPr="00942C19">
              <w:rPr>
                <w:b/>
                <w:sz w:val="22"/>
                <w:szCs w:val="22"/>
              </w:rPr>
              <w:t>FY 2013-14</w:t>
            </w:r>
          </w:p>
          <w:p w:rsidR="00155FB3" w:rsidRPr="00942C19" w:rsidRDefault="00155FB3" w:rsidP="00155FB3">
            <w:pPr>
              <w:spacing w:before="0"/>
              <w:jc w:val="center"/>
              <w:rPr>
                <w:b/>
                <w:sz w:val="22"/>
                <w:szCs w:val="22"/>
              </w:rPr>
            </w:pPr>
            <w:r w:rsidRPr="00942C19">
              <w:rPr>
                <w:b/>
                <w:sz w:val="22"/>
                <w:szCs w:val="22"/>
              </w:rPr>
              <w:t>(Rs. Crores)</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Allocation ratios</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Allocation FY 2013-14 (Rs. Crores)</w:t>
            </w:r>
          </w:p>
        </w:tc>
      </w:tr>
      <w:tr w:rsidR="009D6056" w:rsidRPr="00942C19" w:rsidTr="00525905">
        <w:trPr>
          <w:trHeight w:val="300"/>
          <w:tblHeader/>
        </w:trPr>
        <w:tc>
          <w:tcPr>
            <w:tcW w:w="440" w:type="pct"/>
            <w:vMerge/>
            <w:tcBorders>
              <w:top w:val="dotted" w:sz="4" w:space="0" w:color="auto"/>
              <w:left w:val="dotted" w:sz="4" w:space="0" w:color="auto"/>
              <w:bottom w:val="dotted" w:sz="4" w:space="0" w:color="000000"/>
              <w:right w:val="dotted" w:sz="4" w:space="0" w:color="auto"/>
            </w:tcBorders>
            <w:vAlign w:val="center"/>
            <w:hideMark/>
          </w:tcPr>
          <w:p w:rsidR="00155FB3" w:rsidRPr="00942C19" w:rsidRDefault="00155FB3" w:rsidP="00155FB3">
            <w:pPr>
              <w:spacing w:before="0"/>
              <w:rPr>
                <w:b/>
                <w:sz w:val="22"/>
                <w:szCs w:val="22"/>
              </w:rPr>
            </w:pPr>
          </w:p>
        </w:tc>
        <w:tc>
          <w:tcPr>
            <w:tcW w:w="1354" w:type="pct"/>
            <w:vMerge/>
            <w:tcBorders>
              <w:top w:val="dotted" w:sz="4" w:space="0" w:color="auto"/>
              <w:left w:val="dotted" w:sz="4" w:space="0" w:color="auto"/>
              <w:bottom w:val="dotted" w:sz="4" w:space="0" w:color="000000"/>
              <w:right w:val="dotted" w:sz="4" w:space="0" w:color="auto"/>
            </w:tcBorders>
            <w:vAlign w:val="center"/>
            <w:hideMark/>
          </w:tcPr>
          <w:p w:rsidR="00155FB3" w:rsidRPr="00942C19" w:rsidRDefault="00155FB3" w:rsidP="00155FB3">
            <w:pPr>
              <w:spacing w:before="0"/>
              <w:rPr>
                <w:b/>
                <w:sz w:val="22"/>
                <w:szCs w:val="22"/>
              </w:rPr>
            </w:pPr>
          </w:p>
        </w:tc>
        <w:tc>
          <w:tcPr>
            <w:tcW w:w="784" w:type="pct"/>
            <w:vMerge/>
            <w:tcBorders>
              <w:top w:val="dotted" w:sz="4" w:space="0" w:color="auto"/>
              <w:left w:val="dotted" w:sz="4" w:space="0" w:color="auto"/>
              <w:bottom w:val="dotted" w:sz="4" w:space="0" w:color="000000"/>
              <w:right w:val="dotted" w:sz="4" w:space="0" w:color="auto"/>
            </w:tcBorders>
            <w:vAlign w:val="center"/>
            <w:hideMark/>
          </w:tcPr>
          <w:p w:rsidR="00155FB3" w:rsidRPr="00942C19" w:rsidRDefault="00155FB3" w:rsidP="00155FB3">
            <w:pPr>
              <w:spacing w:before="0"/>
              <w:jc w:val="center"/>
              <w:rPr>
                <w:b/>
                <w:sz w:val="22"/>
                <w:szCs w:val="22"/>
              </w:rPr>
            </w:pPr>
          </w:p>
        </w:tc>
        <w:tc>
          <w:tcPr>
            <w:tcW w:w="605" w:type="pct"/>
            <w:tcBorders>
              <w:top w:val="nil"/>
              <w:left w:val="nil"/>
              <w:bottom w:val="dotted" w:sz="4" w:space="0" w:color="auto"/>
              <w:right w:val="dotted" w:sz="4" w:space="0" w:color="auto"/>
            </w:tcBorders>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Wheeling</w:t>
            </w:r>
          </w:p>
        </w:tc>
        <w:tc>
          <w:tcPr>
            <w:tcW w:w="605" w:type="pct"/>
            <w:tcBorders>
              <w:top w:val="nil"/>
              <w:left w:val="nil"/>
              <w:bottom w:val="dotted" w:sz="4" w:space="0" w:color="auto"/>
              <w:right w:val="dotted" w:sz="4" w:space="0" w:color="auto"/>
            </w:tcBorders>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Supply</w:t>
            </w:r>
          </w:p>
        </w:tc>
        <w:tc>
          <w:tcPr>
            <w:tcW w:w="605" w:type="pct"/>
            <w:tcBorders>
              <w:top w:val="nil"/>
              <w:left w:val="nil"/>
              <w:bottom w:val="dotted" w:sz="4" w:space="0" w:color="auto"/>
              <w:right w:val="dotted" w:sz="4" w:space="0" w:color="auto"/>
            </w:tcBorders>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Wheeling</w:t>
            </w:r>
          </w:p>
        </w:tc>
        <w:tc>
          <w:tcPr>
            <w:tcW w:w="605" w:type="pct"/>
            <w:tcBorders>
              <w:top w:val="nil"/>
              <w:left w:val="nil"/>
              <w:bottom w:val="dotted" w:sz="4" w:space="0" w:color="auto"/>
              <w:right w:val="dotted" w:sz="4" w:space="0" w:color="auto"/>
            </w:tcBorders>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Supply</w:t>
            </w:r>
          </w:p>
        </w:tc>
      </w:tr>
      <w:tr w:rsidR="00E95A68" w:rsidRPr="00942C19" w:rsidTr="00525905">
        <w:trPr>
          <w:cantSplit/>
          <w:trHeight w:val="34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1</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Power Purchase Expense (including PGCIL charges)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29,953.16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29,953.16 </w:t>
            </w:r>
          </w:p>
        </w:tc>
      </w:tr>
      <w:tr w:rsidR="00E95A68" w:rsidRPr="00942C19" w:rsidTr="00525905">
        <w:trPr>
          <w:cantSplit/>
          <w:trHeight w:val="12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2</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pPr>
              <w:spacing w:before="0" w:line="240" w:lineRule="auto"/>
              <w:jc w:val="left"/>
              <w:rPr>
                <w:rFonts w:asciiTheme="minorHAnsi" w:hAnsiTheme="minorHAnsi" w:cs="Calibri"/>
                <w:color w:val="000000"/>
                <w:sz w:val="22"/>
                <w:szCs w:val="22"/>
                <w:lang w:val="en-US" w:eastAsia="en-IN"/>
              </w:rPr>
            </w:pPr>
            <w:r w:rsidRPr="00942C19">
              <w:rPr>
                <w:rFonts w:asciiTheme="minorHAnsi" w:hAnsiTheme="minorHAnsi" w:cs="Calibri"/>
                <w:color w:val="000000"/>
                <w:sz w:val="22"/>
                <w:szCs w:val="22"/>
                <w:lang w:val="en-US" w:eastAsia="en-IN"/>
              </w:rPr>
              <w:t xml:space="preserve">Transmission Charges: Intra state </w:t>
            </w:r>
          </w:p>
          <w:p w:rsidR="00E95A68" w:rsidRPr="00942C19" w:rsidRDefault="00E95A68">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(including SLDC)</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1,029.95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1,029.95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3</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Employee cost</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1,880.83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1,128.50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752.33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4</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A&amp;G expenses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251.96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100.78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151.18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5</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R&amp;M expenses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692.28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90%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623.05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69.23 </w:t>
            </w:r>
          </w:p>
        </w:tc>
      </w:tr>
      <w:tr w:rsidR="00E95A68" w:rsidRPr="00942C19" w:rsidTr="00525905">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6</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Interest &amp; Finance charges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1,064.30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90%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957.87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106.43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7</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Depreciation</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1,157.17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90%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1,041.45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115.72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8</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Total Expenditure</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36,029.65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3,851.65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32,177.99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Less</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Expense capitalization</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r>
      <w:tr w:rsidR="00E95A68" w:rsidRPr="00942C19" w:rsidTr="00525905">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9</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Employee cost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282.13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169.28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112.85 </w:t>
            </w:r>
          </w:p>
        </w:tc>
      </w:tr>
      <w:tr w:rsidR="00E95A68" w:rsidRPr="00942C19" w:rsidTr="00525905">
        <w:trPr>
          <w:cantSplit/>
          <w:trHeight w:val="9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10</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Interest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37.79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90%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34.01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3.78 </w:t>
            </w:r>
          </w:p>
        </w:tc>
      </w:tr>
      <w:tr w:rsidR="00E95A68" w:rsidRPr="00942C19" w:rsidTr="00525905">
        <w:trPr>
          <w:cantSplit/>
          <w:trHeight w:val="25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11</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A&amp;G expenses capitalized</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117.19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46.87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70.31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12</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Net Expenditure</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35,592.54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3,601.49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31,991.05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Add</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Special Appropriations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r>
      <w:tr w:rsidR="00E95A68" w:rsidRPr="00942C19" w:rsidTr="00525905">
        <w:trPr>
          <w:cantSplit/>
          <w:trHeight w:val="23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13</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Provision for Bad &amp; Doubtful debts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r>
      <w:tr w:rsidR="00E95A68" w:rsidRPr="00942C19" w:rsidTr="00525905">
        <w:trPr>
          <w:cantSplit/>
          <w:trHeight w:val="158"/>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14</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Provision for Contingency Reserve</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r>
      <w:tr w:rsidR="00E95A68" w:rsidRPr="00942C19" w:rsidTr="00525905">
        <w:trPr>
          <w:cantSplit/>
          <w:trHeight w:val="8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15</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Other (Misc.) - Net Prior Period Credit</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r>
      <w:tr w:rsidR="00E95A68" w:rsidRPr="00942C19" w:rsidTr="00525905">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16</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i/>
                <w:iCs/>
                <w:color w:val="000000"/>
                <w:sz w:val="22"/>
                <w:szCs w:val="22"/>
                <w:lang w:val="en-IN" w:eastAsia="en-IN"/>
              </w:rPr>
            </w:pPr>
            <w:r w:rsidRPr="00942C19">
              <w:rPr>
                <w:rFonts w:asciiTheme="minorHAnsi" w:hAnsiTheme="minorHAnsi" w:cs="Calibri"/>
                <w:i/>
                <w:iCs/>
                <w:color w:val="000000"/>
                <w:sz w:val="22"/>
                <w:szCs w:val="22"/>
                <w:lang w:val="en-US" w:eastAsia="en-IN"/>
              </w:rPr>
              <w:t>OTS Waivers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r>
      <w:tr w:rsidR="00E95A68" w:rsidRPr="00942C19" w:rsidTr="00525905">
        <w:trPr>
          <w:cantSplit/>
          <w:trHeight w:val="311"/>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17</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Total net expenditure with provisions</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35,592.54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3,601.49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31,991.05 </w:t>
            </w:r>
          </w:p>
        </w:tc>
      </w:tr>
      <w:tr w:rsidR="00E95A68" w:rsidRPr="00942C19" w:rsidTr="00525905">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18</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Add: Return on Equity</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90%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r>
      <w:tr w:rsidR="00E95A68" w:rsidRPr="00942C19" w:rsidTr="00525905">
        <w:trPr>
          <w:cantSplit/>
          <w:trHeight w:val="125"/>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19</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color w:val="000000"/>
                <w:sz w:val="22"/>
                <w:szCs w:val="22"/>
                <w:lang w:val="en-IN" w:eastAsia="en-IN"/>
              </w:rPr>
            </w:pPr>
            <w:r w:rsidRPr="00942C19">
              <w:rPr>
                <w:rFonts w:asciiTheme="minorHAnsi" w:hAnsiTheme="minorHAnsi" w:cs="Calibri"/>
                <w:color w:val="000000"/>
                <w:sz w:val="22"/>
                <w:szCs w:val="22"/>
                <w:lang w:val="en-US" w:eastAsia="en-IN"/>
              </w:rPr>
              <w:t>Less: Non Tariff Income</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50.93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color w:val="000000"/>
                <w:sz w:val="22"/>
                <w:szCs w:val="22"/>
                <w:lang w:val="en-IN" w:eastAsia="en-IN"/>
              </w:rPr>
            </w:pPr>
            <w:r w:rsidRPr="00942C19">
              <w:rPr>
                <w:color w:val="000000"/>
                <w:sz w:val="20"/>
                <w:szCs w:val="20"/>
              </w:rPr>
              <w:t xml:space="preserve">50.93 </w:t>
            </w:r>
          </w:p>
        </w:tc>
      </w:tr>
      <w:tr w:rsidR="00E95A68" w:rsidRPr="00942C19" w:rsidTr="00525905">
        <w:trPr>
          <w:cantSplit/>
          <w:trHeight w:val="15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95A68"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20</w:t>
            </w:r>
          </w:p>
        </w:tc>
        <w:tc>
          <w:tcPr>
            <w:tcW w:w="1354" w:type="pct"/>
            <w:tcBorders>
              <w:top w:val="nil"/>
              <w:left w:val="nil"/>
              <w:bottom w:val="dotted" w:sz="4" w:space="0" w:color="auto"/>
              <w:right w:val="dotted" w:sz="4" w:space="0" w:color="auto"/>
            </w:tcBorders>
            <w:shd w:val="clear" w:color="auto" w:fill="auto"/>
            <w:vAlign w:val="center"/>
            <w:hideMark/>
          </w:tcPr>
          <w:p w:rsidR="00E95A68" w:rsidRPr="00942C19" w:rsidRDefault="00E95A68" w:rsidP="00710020">
            <w:pPr>
              <w:spacing w:before="0" w:line="240" w:lineRule="auto"/>
              <w:jc w:val="left"/>
              <w:rPr>
                <w:rFonts w:asciiTheme="minorHAnsi" w:hAnsiTheme="minorHAnsi" w:cs="Calibri"/>
                <w:b/>
                <w:bCs/>
                <w:color w:val="000000"/>
                <w:sz w:val="22"/>
                <w:szCs w:val="22"/>
                <w:lang w:val="en-IN" w:eastAsia="en-IN"/>
              </w:rPr>
            </w:pPr>
            <w:r w:rsidRPr="00942C19">
              <w:rPr>
                <w:rFonts w:asciiTheme="minorHAnsi" w:hAnsiTheme="minorHAnsi" w:cs="Calibri"/>
                <w:b/>
                <w:bCs/>
                <w:color w:val="000000"/>
                <w:sz w:val="22"/>
                <w:szCs w:val="22"/>
                <w:lang w:val="en-US" w:eastAsia="en-IN"/>
              </w:rPr>
              <w:t>Annual Revenue Requirement (ARR)</w:t>
            </w:r>
          </w:p>
        </w:tc>
        <w:tc>
          <w:tcPr>
            <w:tcW w:w="784"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35,541.62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B736BC">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3,601.49 </w:t>
            </w:r>
          </w:p>
        </w:tc>
        <w:tc>
          <w:tcPr>
            <w:tcW w:w="605" w:type="pct"/>
            <w:tcBorders>
              <w:top w:val="nil"/>
              <w:left w:val="nil"/>
              <w:bottom w:val="dotted" w:sz="4" w:space="0" w:color="auto"/>
              <w:right w:val="dotted" w:sz="4" w:space="0" w:color="auto"/>
            </w:tcBorders>
            <w:shd w:val="clear" w:color="auto" w:fill="auto"/>
            <w:noWrap/>
            <w:vAlign w:val="center"/>
            <w:hideMark/>
          </w:tcPr>
          <w:p w:rsidR="00B736BC" w:rsidRPr="00942C19" w:rsidRDefault="00E95A68">
            <w:pPr>
              <w:spacing w:before="0" w:line="240" w:lineRule="auto"/>
              <w:jc w:val="center"/>
              <w:rPr>
                <w:rFonts w:asciiTheme="minorHAnsi" w:hAnsiTheme="minorHAnsi" w:cs="Calibri"/>
                <w:b/>
                <w:bCs/>
                <w:color w:val="000000"/>
                <w:sz w:val="22"/>
                <w:szCs w:val="22"/>
                <w:lang w:val="en-IN" w:eastAsia="en-IN"/>
              </w:rPr>
            </w:pPr>
            <w:r w:rsidRPr="00942C19">
              <w:rPr>
                <w:b/>
                <w:bCs/>
                <w:color w:val="000000"/>
                <w:sz w:val="20"/>
                <w:szCs w:val="20"/>
              </w:rPr>
              <w:t xml:space="preserve">31,940.13 </w:t>
            </w:r>
          </w:p>
        </w:tc>
      </w:tr>
    </w:tbl>
    <w:p w:rsidR="00710020" w:rsidRPr="00942C19" w:rsidRDefault="00710020" w:rsidP="00710020"/>
    <w:p w:rsidR="00A72BF3" w:rsidRPr="00942C19" w:rsidRDefault="00A72BF3" w:rsidP="00A72BF3">
      <w:pPr>
        <w:pStyle w:val="Heading3"/>
        <w:numPr>
          <w:ilvl w:val="2"/>
          <w:numId w:val="1"/>
        </w:numPr>
        <w:spacing w:before="0"/>
      </w:pPr>
      <w:r w:rsidRPr="00942C19">
        <w:t xml:space="preserve">Based on the above, the wheeling charges for </w:t>
      </w:r>
      <w:r w:rsidR="00F834B0" w:rsidRPr="00942C19">
        <w:t>FY 2013</w:t>
      </w:r>
      <w:r w:rsidRPr="00942C19">
        <w:t>-1</w:t>
      </w:r>
      <w:r w:rsidR="00F834B0" w:rsidRPr="00942C19">
        <w:t>4</w:t>
      </w:r>
      <w:r w:rsidRPr="00942C19">
        <w:t xml:space="preserve"> are Rs. 0.6</w:t>
      </w:r>
      <w:r w:rsidR="00F834B0" w:rsidRPr="00942C19">
        <w:t xml:space="preserve">20 /kWh </w:t>
      </w:r>
      <w:r w:rsidRPr="00942C19">
        <w:t>as detailed in below:</w:t>
      </w:r>
    </w:p>
    <w:p w:rsidR="00A72BF3" w:rsidRPr="00942C19" w:rsidRDefault="00A72BF3" w:rsidP="00A72BF3">
      <w:pPr>
        <w:pStyle w:val="Caption"/>
        <w:keepNext/>
        <w:spacing w:line="276" w:lineRule="auto"/>
        <w:jc w:val="center"/>
        <w:rPr>
          <w:rFonts w:asciiTheme="minorHAnsi" w:hAnsiTheme="minorHAnsi" w:cstheme="minorHAnsi"/>
          <w:szCs w:val="24"/>
        </w:rPr>
      </w:pPr>
      <w:bookmarkStart w:id="794" w:name="_Toc337201617"/>
      <w:bookmarkStart w:id="795" w:name="_Toc338310724"/>
      <w:bookmarkStart w:id="796" w:name="_Toc338419554"/>
      <w:bookmarkStart w:id="797" w:name="_Toc357719753"/>
      <w:r w:rsidRPr="00942C19">
        <w:rPr>
          <w:rFonts w:asciiTheme="minorHAnsi" w:hAnsiTheme="minorHAnsi" w:cstheme="minorHAnsi"/>
          <w:szCs w:val="24"/>
        </w:rPr>
        <w:t xml:space="preserve">Table </w:t>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STYLEREF 1 \s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5</w:t>
      </w:r>
      <w:r w:rsidR="000C642E" w:rsidRPr="00942C19">
        <w:rPr>
          <w:rFonts w:asciiTheme="minorHAnsi" w:hAnsiTheme="minorHAnsi" w:cstheme="minorHAnsi"/>
          <w:szCs w:val="24"/>
        </w:rPr>
        <w:fldChar w:fldCharType="end"/>
      </w:r>
      <w:r w:rsidRPr="00942C19">
        <w:rPr>
          <w:rFonts w:asciiTheme="minorHAnsi" w:hAnsiTheme="minorHAnsi" w:cstheme="minorHAnsi"/>
          <w:szCs w:val="24"/>
        </w:rPr>
        <w:noBreakHyphen/>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SEQ Table \* ARABIC \s 1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2</w:t>
      </w:r>
      <w:r w:rsidR="000C642E" w:rsidRPr="00942C19">
        <w:rPr>
          <w:rFonts w:asciiTheme="minorHAnsi" w:hAnsiTheme="minorHAnsi" w:cstheme="minorHAnsi"/>
          <w:szCs w:val="24"/>
        </w:rPr>
        <w:fldChar w:fldCharType="end"/>
      </w:r>
      <w:r w:rsidRPr="00942C19">
        <w:rPr>
          <w:rFonts w:asciiTheme="minorHAnsi" w:hAnsiTheme="minorHAnsi" w:cstheme="minorHAnsi"/>
          <w:szCs w:val="24"/>
        </w:rPr>
        <w:t xml:space="preserve">: WHEELING CHARGES FOR </w:t>
      </w:r>
      <w:bookmarkEnd w:id="794"/>
      <w:bookmarkEnd w:id="795"/>
      <w:bookmarkEnd w:id="796"/>
      <w:r w:rsidR="00F834B0" w:rsidRPr="00942C19">
        <w:rPr>
          <w:rFonts w:asciiTheme="minorHAnsi" w:hAnsiTheme="minorHAnsi" w:cstheme="minorHAnsi"/>
          <w:szCs w:val="24"/>
        </w:rPr>
        <w:t>FY 2013</w:t>
      </w:r>
      <w:r w:rsidRPr="00942C19">
        <w:rPr>
          <w:rFonts w:asciiTheme="minorHAnsi" w:hAnsiTheme="minorHAnsi" w:cstheme="minorHAnsi"/>
          <w:szCs w:val="24"/>
        </w:rPr>
        <w:t>-1</w:t>
      </w:r>
      <w:r w:rsidR="00F834B0" w:rsidRPr="00942C19">
        <w:rPr>
          <w:rFonts w:asciiTheme="minorHAnsi" w:hAnsiTheme="minorHAnsi" w:cstheme="minorHAnsi"/>
          <w:szCs w:val="24"/>
        </w:rPr>
        <w:t>4</w:t>
      </w:r>
      <w:bookmarkEnd w:id="797"/>
    </w:p>
    <w:tbl>
      <w:tblPr>
        <w:tblW w:w="8200"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006"/>
        <w:gridCol w:w="3681"/>
        <w:gridCol w:w="1613"/>
        <w:gridCol w:w="1900"/>
      </w:tblGrid>
      <w:tr w:rsidR="009D6056" w:rsidRPr="00942C19" w:rsidTr="009D6056">
        <w:trPr>
          <w:trHeight w:val="510"/>
          <w:jc w:val="center"/>
        </w:trPr>
        <w:tc>
          <w:tcPr>
            <w:tcW w:w="1006" w:type="dxa"/>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S. No.</w:t>
            </w:r>
          </w:p>
        </w:tc>
        <w:tc>
          <w:tcPr>
            <w:tcW w:w="3681" w:type="dxa"/>
            <w:shd w:val="clear" w:color="000000" w:fill="DCE6F1"/>
            <w:vAlign w:val="center"/>
            <w:hideMark/>
          </w:tcPr>
          <w:p w:rsidR="00155FB3" w:rsidRPr="00942C19" w:rsidRDefault="00155FB3" w:rsidP="00155FB3">
            <w:pPr>
              <w:spacing w:before="0"/>
              <w:rPr>
                <w:b/>
                <w:sz w:val="22"/>
                <w:szCs w:val="22"/>
              </w:rPr>
            </w:pPr>
            <w:r w:rsidRPr="00942C19">
              <w:rPr>
                <w:b/>
                <w:sz w:val="22"/>
                <w:szCs w:val="22"/>
              </w:rPr>
              <w:t>Particulars</w:t>
            </w:r>
          </w:p>
        </w:tc>
        <w:tc>
          <w:tcPr>
            <w:tcW w:w="1613" w:type="dxa"/>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Units</w:t>
            </w:r>
          </w:p>
        </w:tc>
        <w:tc>
          <w:tcPr>
            <w:tcW w:w="1900" w:type="dxa"/>
            <w:shd w:val="clear" w:color="000000" w:fill="DCE6F1"/>
            <w:vAlign w:val="center"/>
            <w:hideMark/>
          </w:tcPr>
          <w:p w:rsidR="00155FB3" w:rsidRPr="00942C19" w:rsidRDefault="00155FB3" w:rsidP="00155FB3">
            <w:pPr>
              <w:spacing w:before="0"/>
              <w:jc w:val="center"/>
              <w:rPr>
                <w:b/>
                <w:sz w:val="22"/>
                <w:szCs w:val="22"/>
              </w:rPr>
            </w:pPr>
            <w:r w:rsidRPr="00942C19">
              <w:rPr>
                <w:b/>
                <w:sz w:val="22"/>
                <w:szCs w:val="22"/>
              </w:rPr>
              <w:t>Approved</w:t>
            </w:r>
          </w:p>
          <w:p w:rsidR="00155FB3" w:rsidRPr="00942C19" w:rsidRDefault="00155FB3" w:rsidP="00155FB3">
            <w:pPr>
              <w:spacing w:before="0"/>
              <w:jc w:val="center"/>
              <w:rPr>
                <w:b/>
                <w:sz w:val="22"/>
                <w:szCs w:val="22"/>
              </w:rPr>
            </w:pPr>
            <w:r w:rsidRPr="00942C19">
              <w:rPr>
                <w:b/>
                <w:sz w:val="22"/>
                <w:szCs w:val="22"/>
              </w:rPr>
              <w:t>FY 2013-14</w:t>
            </w:r>
          </w:p>
        </w:tc>
      </w:tr>
      <w:tr w:rsidR="009D6056" w:rsidRPr="00942C19" w:rsidTr="009D6056">
        <w:trPr>
          <w:trHeight w:val="300"/>
          <w:jc w:val="center"/>
        </w:trPr>
        <w:tc>
          <w:tcPr>
            <w:tcW w:w="1006"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w:t>
            </w:r>
          </w:p>
        </w:tc>
        <w:tc>
          <w:tcPr>
            <w:tcW w:w="3681" w:type="dxa"/>
            <w:shd w:val="clear" w:color="auto" w:fill="auto"/>
            <w:vAlign w:val="center"/>
            <w:hideMark/>
          </w:tcPr>
          <w:p w:rsidR="00155FB3" w:rsidRPr="00942C19" w:rsidRDefault="00155FB3" w:rsidP="00155FB3">
            <w:pPr>
              <w:rPr>
                <w:sz w:val="22"/>
                <w:szCs w:val="22"/>
              </w:rPr>
            </w:pPr>
            <w:r w:rsidRPr="00942C19">
              <w:rPr>
                <w:sz w:val="22"/>
                <w:szCs w:val="22"/>
              </w:rPr>
              <w:t>Wheeling ARR</w:t>
            </w:r>
          </w:p>
        </w:tc>
        <w:tc>
          <w:tcPr>
            <w:tcW w:w="1613" w:type="dxa"/>
            <w:shd w:val="clear" w:color="auto" w:fill="auto"/>
            <w:vAlign w:val="center"/>
            <w:hideMark/>
          </w:tcPr>
          <w:p w:rsidR="00155FB3" w:rsidRPr="00942C19" w:rsidRDefault="00155FB3" w:rsidP="00155FB3">
            <w:pPr>
              <w:jc w:val="center"/>
              <w:rPr>
                <w:sz w:val="22"/>
                <w:szCs w:val="22"/>
              </w:rPr>
            </w:pPr>
            <w:r w:rsidRPr="00942C19">
              <w:rPr>
                <w:sz w:val="22"/>
                <w:szCs w:val="22"/>
              </w:rPr>
              <w:t>Rs. Crores</w:t>
            </w:r>
          </w:p>
        </w:tc>
        <w:tc>
          <w:tcPr>
            <w:tcW w:w="1900" w:type="dxa"/>
            <w:shd w:val="clear" w:color="auto" w:fill="auto"/>
            <w:noWrap/>
            <w:vAlign w:val="center"/>
            <w:hideMark/>
          </w:tcPr>
          <w:p w:rsidR="00155FB3" w:rsidRPr="00942C19" w:rsidRDefault="00155FB3" w:rsidP="00155FB3">
            <w:pPr>
              <w:jc w:val="center"/>
              <w:rPr>
                <w:sz w:val="22"/>
                <w:szCs w:val="22"/>
              </w:rPr>
            </w:pPr>
            <w:r w:rsidRPr="00942C19">
              <w:rPr>
                <w:sz w:val="22"/>
                <w:szCs w:val="22"/>
              </w:rPr>
              <w:t>3,601.49</w:t>
            </w:r>
          </w:p>
        </w:tc>
      </w:tr>
      <w:tr w:rsidR="009D6056" w:rsidRPr="00942C19" w:rsidTr="009D6056">
        <w:trPr>
          <w:trHeight w:val="300"/>
          <w:jc w:val="center"/>
        </w:trPr>
        <w:tc>
          <w:tcPr>
            <w:tcW w:w="1006" w:type="dxa"/>
            <w:shd w:val="clear" w:color="auto" w:fill="auto"/>
            <w:noWrap/>
            <w:vAlign w:val="center"/>
            <w:hideMark/>
          </w:tcPr>
          <w:p w:rsidR="00155FB3" w:rsidRPr="00942C19" w:rsidRDefault="00155FB3" w:rsidP="00155FB3">
            <w:pPr>
              <w:jc w:val="center"/>
              <w:rPr>
                <w:sz w:val="22"/>
                <w:szCs w:val="22"/>
              </w:rPr>
            </w:pPr>
            <w:r w:rsidRPr="00942C19">
              <w:rPr>
                <w:sz w:val="22"/>
                <w:szCs w:val="22"/>
              </w:rPr>
              <w:t>2</w:t>
            </w:r>
          </w:p>
        </w:tc>
        <w:tc>
          <w:tcPr>
            <w:tcW w:w="3681" w:type="dxa"/>
            <w:shd w:val="clear" w:color="auto" w:fill="auto"/>
            <w:vAlign w:val="center"/>
            <w:hideMark/>
          </w:tcPr>
          <w:p w:rsidR="00155FB3" w:rsidRPr="00942C19" w:rsidRDefault="00155FB3" w:rsidP="00155FB3">
            <w:pPr>
              <w:rPr>
                <w:sz w:val="22"/>
                <w:szCs w:val="22"/>
              </w:rPr>
            </w:pPr>
            <w:r w:rsidRPr="00942C19">
              <w:rPr>
                <w:sz w:val="22"/>
                <w:szCs w:val="22"/>
              </w:rPr>
              <w:t>Retail sales</w:t>
            </w:r>
          </w:p>
        </w:tc>
        <w:tc>
          <w:tcPr>
            <w:tcW w:w="1613" w:type="dxa"/>
            <w:shd w:val="clear" w:color="auto" w:fill="auto"/>
            <w:vAlign w:val="center"/>
            <w:hideMark/>
          </w:tcPr>
          <w:p w:rsidR="00155FB3" w:rsidRPr="00942C19" w:rsidRDefault="00155FB3" w:rsidP="00155FB3">
            <w:pPr>
              <w:jc w:val="center"/>
              <w:rPr>
                <w:sz w:val="22"/>
                <w:szCs w:val="22"/>
              </w:rPr>
            </w:pPr>
            <w:r w:rsidRPr="00942C19">
              <w:rPr>
                <w:sz w:val="22"/>
                <w:szCs w:val="22"/>
              </w:rPr>
              <w:t>MU</w:t>
            </w:r>
          </w:p>
        </w:tc>
        <w:tc>
          <w:tcPr>
            <w:tcW w:w="1900" w:type="dxa"/>
            <w:shd w:val="clear" w:color="auto" w:fill="auto"/>
            <w:noWrap/>
            <w:vAlign w:val="center"/>
            <w:hideMark/>
          </w:tcPr>
          <w:p w:rsidR="00155FB3" w:rsidRPr="00942C19" w:rsidRDefault="00155FB3" w:rsidP="00155FB3">
            <w:pPr>
              <w:jc w:val="center"/>
              <w:rPr>
                <w:sz w:val="22"/>
                <w:szCs w:val="22"/>
              </w:rPr>
            </w:pPr>
            <w:r w:rsidRPr="00942C19">
              <w:rPr>
                <w:sz w:val="22"/>
                <w:szCs w:val="22"/>
              </w:rPr>
              <w:t>58,058</w:t>
            </w:r>
          </w:p>
        </w:tc>
      </w:tr>
      <w:tr w:rsidR="009D6056" w:rsidRPr="00942C19" w:rsidTr="009D6056">
        <w:trPr>
          <w:trHeight w:val="300"/>
          <w:jc w:val="center"/>
        </w:trPr>
        <w:tc>
          <w:tcPr>
            <w:tcW w:w="1006" w:type="dxa"/>
            <w:shd w:val="clear" w:color="auto" w:fill="auto"/>
            <w:noWrap/>
            <w:vAlign w:val="center"/>
            <w:hideMark/>
          </w:tcPr>
          <w:p w:rsidR="00155FB3" w:rsidRPr="00942C19" w:rsidRDefault="00155FB3" w:rsidP="00155FB3">
            <w:pPr>
              <w:jc w:val="center"/>
              <w:rPr>
                <w:sz w:val="22"/>
                <w:szCs w:val="22"/>
              </w:rPr>
            </w:pPr>
            <w:r w:rsidRPr="00942C19">
              <w:rPr>
                <w:sz w:val="22"/>
                <w:szCs w:val="22"/>
              </w:rPr>
              <w:t>3</w:t>
            </w:r>
          </w:p>
        </w:tc>
        <w:tc>
          <w:tcPr>
            <w:tcW w:w="3681" w:type="dxa"/>
            <w:shd w:val="clear" w:color="auto" w:fill="auto"/>
            <w:vAlign w:val="center"/>
            <w:hideMark/>
          </w:tcPr>
          <w:p w:rsidR="00155FB3" w:rsidRPr="00942C19" w:rsidRDefault="00155FB3" w:rsidP="00155FB3">
            <w:pPr>
              <w:rPr>
                <w:sz w:val="22"/>
                <w:szCs w:val="22"/>
              </w:rPr>
            </w:pPr>
            <w:r w:rsidRPr="00942C19">
              <w:rPr>
                <w:sz w:val="22"/>
                <w:szCs w:val="22"/>
              </w:rPr>
              <w:t>Average Wheeling charge</w:t>
            </w:r>
          </w:p>
        </w:tc>
        <w:tc>
          <w:tcPr>
            <w:tcW w:w="1613" w:type="dxa"/>
            <w:shd w:val="clear" w:color="auto" w:fill="auto"/>
            <w:vAlign w:val="center"/>
            <w:hideMark/>
          </w:tcPr>
          <w:p w:rsidR="00155FB3" w:rsidRPr="00942C19" w:rsidRDefault="00155FB3" w:rsidP="00155FB3">
            <w:pPr>
              <w:jc w:val="center"/>
              <w:rPr>
                <w:sz w:val="22"/>
                <w:szCs w:val="22"/>
              </w:rPr>
            </w:pPr>
            <w:r w:rsidRPr="00942C19">
              <w:rPr>
                <w:sz w:val="22"/>
                <w:szCs w:val="22"/>
              </w:rPr>
              <w:t>Rs./kWh</w:t>
            </w:r>
          </w:p>
        </w:tc>
        <w:tc>
          <w:tcPr>
            <w:tcW w:w="1900" w:type="dxa"/>
            <w:shd w:val="clear" w:color="auto" w:fill="auto"/>
            <w:noWrap/>
            <w:vAlign w:val="center"/>
            <w:hideMark/>
          </w:tcPr>
          <w:p w:rsidR="00155FB3" w:rsidRPr="00942C19" w:rsidRDefault="00155FB3" w:rsidP="00155FB3">
            <w:pPr>
              <w:jc w:val="center"/>
              <w:rPr>
                <w:sz w:val="22"/>
                <w:szCs w:val="22"/>
              </w:rPr>
            </w:pPr>
            <w:r w:rsidRPr="00942C19">
              <w:rPr>
                <w:sz w:val="22"/>
                <w:szCs w:val="22"/>
              </w:rPr>
              <w:t>0.620</w:t>
            </w:r>
          </w:p>
        </w:tc>
      </w:tr>
    </w:tbl>
    <w:p w:rsidR="00A72BF3" w:rsidRPr="00942C19" w:rsidRDefault="00A72BF3" w:rsidP="00A72BF3"/>
    <w:p w:rsidR="00A72BF3" w:rsidRPr="00942C19" w:rsidRDefault="00A72BF3" w:rsidP="00A72BF3">
      <w:pPr>
        <w:pStyle w:val="Heading3"/>
        <w:numPr>
          <w:ilvl w:val="2"/>
          <w:numId w:val="1"/>
        </w:numPr>
        <w:spacing w:before="0"/>
      </w:pPr>
      <w:r w:rsidRPr="00942C19">
        <w:t>The Commission in order to encourage Open Access transactions in the State has further tried to segregate the wheeling charges payable by consumers seeking Open Access based on the voltage levels at which they are connected to the distribution network. However, in absence of voltage level wise break-up of expenses and asset details, the Commission has considered an interim allocation of costs at various voltage levels and approved the following wheeling charges payable by Open Access customers based on the voltage level at which they are connected with the distribution network.</w:t>
      </w:r>
    </w:p>
    <w:p w:rsidR="00A72BF3" w:rsidRPr="00942C19" w:rsidRDefault="00A72BF3" w:rsidP="00A72BF3"/>
    <w:p w:rsidR="00A72BF3" w:rsidRPr="00942C19" w:rsidRDefault="00A72BF3" w:rsidP="00A72BF3">
      <w:pPr>
        <w:pStyle w:val="Heading3"/>
        <w:numPr>
          <w:ilvl w:val="2"/>
          <w:numId w:val="1"/>
        </w:numPr>
        <w:spacing w:before="0"/>
      </w:pPr>
      <w:r w:rsidRPr="00942C19">
        <w:t>The charges have been worked out on the assumption that the wheeling expenses at 11 kV voltage level shall be 80% of the average wheeling charges determined for the Wheeling function of all D</w:t>
      </w:r>
      <w:r w:rsidR="00260411" w:rsidRPr="00942C19">
        <w:t xml:space="preserve">iscoms </w:t>
      </w:r>
      <w:r w:rsidRPr="00942C19">
        <w:t>and that for wheeling at voltages above 11 kV shall be 50% of the average wheeling charges. The wheeling charges for the short term open access customers have been assumed at 25% of Long term charges.</w:t>
      </w:r>
    </w:p>
    <w:p w:rsidR="00A72BF3" w:rsidRPr="00942C19" w:rsidRDefault="00A72BF3" w:rsidP="00A72BF3">
      <w:pPr>
        <w:pStyle w:val="Caption"/>
        <w:keepNext/>
        <w:spacing w:line="276" w:lineRule="auto"/>
        <w:jc w:val="center"/>
        <w:rPr>
          <w:rFonts w:asciiTheme="minorHAnsi" w:hAnsiTheme="minorHAnsi" w:cstheme="minorHAnsi"/>
          <w:szCs w:val="24"/>
        </w:rPr>
      </w:pPr>
      <w:bookmarkStart w:id="798" w:name="_Toc337201618"/>
      <w:bookmarkStart w:id="799" w:name="_Toc338310725"/>
      <w:bookmarkStart w:id="800" w:name="_Toc338419555"/>
      <w:bookmarkStart w:id="801" w:name="_Toc357719754"/>
      <w:r w:rsidRPr="00942C19">
        <w:rPr>
          <w:rFonts w:asciiTheme="minorHAnsi" w:hAnsiTheme="minorHAnsi" w:cstheme="minorHAnsi"/>
          <w:szCs w:val="24"/>
        </w:rPr>
        <w:t xml:space="preserve">Table </w:t>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STYLEREF 1 \s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5</w:t>
      </w:r>
      <w:r w:rsidR="000C642E" w:rsidRPr="00942C19">
        <w:rPr>
          <w:rFonts w:asciiTheme="minorHAnsi" w:hAnsiTheme="minorHAnsi" w:cstheme="minorHAnsi"/>
          <w:szCs w:val="24"/>
        </w:rPr>
        <w:fldChar w:fldCharType="end"/>
      </w:r>
      <w:r w:rsidRPr="00942C19">
        <w:rPr>
          <w:rFonts w:asciiTheme="minorHAnsi" w:hAnsiTheme="minorHAnsi" w:cstheme="minorHAnsi"/>
          <w:szCs w:val="24"/>
        </w:rPr>
        <w:noBreakHyphen/>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SEQ Table \* ARABIC \s 1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3</w:t>
      </w:r>
      <w:r w:rsidR="000C642E" w:rsidRPr="00942C19">
        <w:rPr>
          <w:rFonts w:asciiTheme="minorHAnsi" w:hAnsiTheme="minorHAnsi" w:cstheme="minorHAnsi"/>
          <w:szCs w:val="24"/>
        </w:rPr>
        <w:fldChar w:fldCharType="end"/>
      </w:r>
      <w:r w:rsidRPr="00942C19">
        <w:rPr>
          <w:rFonts w:asciiTheme="minorHAnsi" w:hAnsiTheme="minorHAnsi" w:cstheme="minorHAnsi"/>
          <w:szCs w:val="24"/>
        </w:rPr>
        <w:t xml:space="preserve">: APPROVED VOLTAGE-WISE WHEELING CHARGES FOR </w:t>
      </w:r>
      <w:bookmarkEnd w:id="798"/>
      <w:bookmarkEnd w:id="799"/>
      <w:bookmarkEnd w:id="800"/>
      <w:r w:rsidR="00F834B0" w:rsidRPr="00942C19">
        <w:rPr>
          <w:rFonts w:asciiTheme="minorHAnsi" w:hAnsiTheme="minorHAnsi" w:cstheme="minorHAnsi"/>
          <w:szCs w:val="24"/>
        </w:rPr>
        <w:t>FY 2013-14</w:t>
      </w:r>
      <w:bookmarkEnd w:id="801"/>
    </w:p>
    <w:tbl>
      <w:tblPr>
        <w:tblW w:w="8403"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47"/>
        <w:gridCol w:w="4846"/>
        <w:gridCol w:w="1344"/>
        <w:gridCol w:w="1366"/>
      </w:tblGrid>
      <w:tr w:rsidR="00F834B0" w:rsidRPr="00942C19" w:rsidTr="00710020">
        <w:trPr>
          <w:trHeight w:val="504"/>
          <w:jc w:val="center"/>
        </w:trPr>
        <w:tc>
          <w:tcPr>
            <w:tcW w:w="847" w:type="dxa"/>
            <w:shd w:val="clear" w:color="000000" w:fill="DCE6F1"/>
            <w:noWrap/>
            <w:vAlign w:val="center"/>
            <w:hideMark/>
          </w:tcPr>
          <w:p w:rsidR="00A44CA7" w:rsidRPr="00942C19" w:rsidRDefault="00D31494">
            <w:pPr>
              <w:spacing w:before="0"/>
              <w:jc w:val="center"/>
              <w:rPr>
                <w:rFonts w:cs="Arial"/>
                <w:b/>
                <w:bCs/>
                <w:color w:val="000000"/>
                <w:kern w:val="32"/>
                <w:sz w:val="22"/>
                <w:szCs w:val="22"/>
                <w:lang w:val="en-US"/>
              </w:rPr>
            </w:pPr>
            <w:r w:rsidRPr="00942C19">
              <w:rPr>
                <w:b/>
                <w:bCs/>
                <w:color w:val="000000"/>
                <w:sz w:val="22"/>
                <w:szCs w:val="22"/>
                <w:lang w:val="en-US"/>
              </w:rPr>
              <w:t>S. No</w:t>
            </w:r>
            <w:r w:rsidR="00F834B0" w:rsidRPr="00942C19">
              <w:rPr>
                <w:b/>
                <w:bCs/>
                <w:color w:val="000000"/>
                <w:sz w:val="22"/>
                <w:szCs w:val="22"/>
                <w:lang w:val="en-US"/>
              </w:rPr>
              <w:t>.</w:t>
            </w:r>
          </w:p>
        </w:tc>
        <w:tc>
          <w:tcPr>
            <w:tcW w:w="4846" w:type="dxa"/>
            <w:shd w:val="clear" w:color="000000" w:fill="DCE6F1"/>
            <w:noWrap/>
            <w:vAlign w:val="center"/>
            <w:hideMark/>
          </w:tcPr>
          <w:p w:rsidR="00A44CA7" w:rsidRPr="00942C19" w:rsidRDefault="00F834B0">
            <w:pPr>
              <w:spacing w:before="0"/>
              <w:jc w:val="center"/>
              <w:rPr>
                <w:rFonts w:cs="Arial"/>
                <w:b/>
                <w:bCs/>
                <w:color w:val="000000"/>
                <w:kern w:val="32"/>
                <w:sz w:val="22"/>
                <w:szCs w:val="22"/>
                <w:lang w:val="en-US"/>
              </w:rPr>
            </w:pPr>
            <w:r w:rsidRPr="00942C19">
              <w:rPr>
                <w:b/>
                <w:bCs/>
                <w:color w:val="000000"/>
                <w:sz w:val="22"/>
                <w:szCs w:val="22"/>
                <w:lang w:val="en-US"/>
              </w:rPr>
              <w:t>Particulars</w:t>
            </w:r>
          </w:p>
        </w:tc>
        <w:tc>
          <w:tcPr>
            <w:tcW w:w="1344" w:type="dxa"/>
            <w:shd w:val="clear" w:color="000000" w:fill="DCE6F1"/>
            <w:vAlign w:val="center"/>
            <w:hideMark/>
          </w:tcPr>
          <w:p w:rsidR="00A44CA7" w:rsidRPr="00942C19" w:rsidRDefault="00F834B0">
            <w:pPr>
              <w:spacing w:before="0"/>
              <w:jc w:val="center"/>
              <w:rPr>
                <w:rFonts w:cs="Arial"/>
                <w:b/>
                <w:bCs/>
                <w:color w:val="000000"/>
                <w:kern w:val="32"/>
                <w:sz w:val="22"/>
                <w:szCs w:val="22"/>
                <w:lang w:val="en-US"/>
              </w:rPr>
            </w:pPr>
            <w:r w:rsidRPr="00942C19">
              <w:rPr>
                <w:b/>
                <w:bCs/>
                <w:color w:val="000000"/>
                <w:sz w:val="22"/>
                <w:szCs w:val="22"/>
                <w:lang w:val="en-US"/>
              </w:rPr>
              <w:t>Units</w:t>
            </w:r>
          </w:p>
        </w:tc>
        <w:tc>
          <w:tcPr>
            <w:tcW w:w="1366" w:type="dxa"/>
            <w:shd w:val="clear" w:color="000000" w:fill="DCE6F1"/>
            <w:vAlign w:val="center"/>
            <w:hideMark/>
          </w:tcPr>
          <w:p w:rsidR="00A44CA7" w:rsidRPr="00942C19" w:rsidRDefault="00F834B0">
            <w:pPr>
              <w:spacing w:before="0"/>
              <w:jc w:val="center"/>
              <w:rPr>
                <w:rFonts w:cs="Arial"/>
                <w:b/>
                <w:bCs/>
                <w:color w:val="000000"/>
                <w:kern w:val="32"/>
                <w:sz w:val="22"/>
                <w:szCs w:val="22"/>
                <w:lang w:val="en-US"/>
              </w:rPr>
            </w:pPr>
            <w:r w:rsidRPr="00942C19">
              <w:rPr>
                <w:b/>
                <w:bCs/>
                <w:color w:val="000000"/>
                <w:sz w:val="22"/>
                <w:szCs w:val="22"/>
                <w:lang w:val="en-US"/>
              </w:rPr>
              <w:t>Approved FY 201</w:t>
            </w:r>
            <w:r w:rsidR="00B87C0F" w:rsidRPr="00942C19">
              <w:rPr>
                <w:b/>
                <w:bCs/>
                <w:color w:val="000000"/>
                <w:sz w:val="22"/>
                <w:szCs w:val="22"/>
                <w:lang w:val="en-US"/>
              </w:rPr>
              <w:t>3</w:t>
            </w:r>
            <w:r w:rsidRPr="00942C19">
              <w:rPr>
                <w:b/>
                <w:bCs/>
                <w:color w:val="000000"/>
                <w:sz w:val="22"/>
                <w:szCs w:val="22"/>
                <w:lang w:val="en-US"/>
              </w:rPr>
              <w:t>-1</w:t>
            </w:r>
            <w:r w:rsidR="00B87C0F" w:rsidRPr="00942C19">
              <w:rPr>
                <w:b/>
                <w:bCs/>
                <w:color w:val="000000"/>
                <w:sz w:val="22"/>
                <w:szCs w:val="22"/>
                <w:lang w:val="en-US"/>
              </w:rPr>
              <w:t>4</w:t>
            </w:r>
          </w:p>
        </w:tc>
      </w:tr>
      <w:tr w:rsidR="00F834B0" w:rsidRPr="00942C19" w:rsidTr="00710020">
        <w:trPr>
          <w:trHeight w:val="296"/>
          <w:jc w:val="center"/>
        </w:trPr>
        <w:tc>
          <w:tcPr>
            <w:tcW w:w="847" w:type="dxa"/>
            <w:shd w:val="clear" w:color="auto" w:fill="auto"/>
            <w:noWrap/>
            <w:vAlign w:val="center"/>
            <w:hideMark/>
          </w:tcPr>
          <w:p w:rsidR="00A44CA7" w:rsidRPr="00942C19" w:rsidRDefault="00F834B0">
            <w:pPr>
              <w:spacing w:before="0"/>
              <w:jc w:val="center"/>
              <w:rPr>
                <w:rFonts w:cs="Arial"/>
                <w:b/>
                <w:bCs/>
                <w:color w:val="333399"/>
                <w:kern w:val="32"/>
                <w:sz w:val="22"/>
                <w:szCs w:val="22"/>
                <w:lang w:val="en-US"/>
              </w:rPr>
            </w:pPr>
            <w:r w:rsidRPr="00942C19">
              <w:rPr>
                <w:sz w:val="22"/>
                <w:szCs w:val="22"/>
                <w:lang w:val="en-US"/>
              </w:rPr>
              <w:t>1</w:t>
            </w:r>
          </w:p>
        </w:tc>
        <w:tc>
          <w:tcPr>
            <w:tcW w:w="4846" w:type="dxa"/>
            <w:shd w:val="clear" w:color="auto" w:fill="auto"/>
            <w:vAlign w:val="center"/>
            <w:hideMark/>
          </w:tcPr>
          <w:p w:rsidR="00A44CA7" w:rsidRPr="00942C19" w:rsidRDefault="00F834B0">
            <w:pPr>
              <w:spacing w:before="0"/>
              <w:jc w:val="left"/>
              <w:rPr>
                <w:rFonts w:cs="Arial"/>
                <w:b/>
                <w:bCs/>
                <w:color w:val="333399"/>
                <w:kern w:val="32"/>
                <w:sz w:val="22"/>
                <w:szCs w:val="22"/>
                <w:lang w:val="en-US"/>
              </w:rPr>
            </w:pPr>
            <w:r w:rsidRPr="00942C19">
              <w:rPr>
                <w:sz w:val="22"/>
                <w:szCs w:val="22"/>
                <w:lang w:val="en-US"/>
              </w:rPr>
              <w:t>Connected at 11 kV</w:t>
            </w:r>
          </w:p>
        </w:tc>
        <w:tc>
          <w:tcPr>
            <w:tcW w:w="1344" w:type="dxa"/>
            <w:shd w:val="clear" w:color="auto" w:fill="auto"/>
            <w:vAlign w:val="center"/>
            <w:hideMark/>
          </w:tcPr>
          <w:p w:rsidR="00A44CA7" w:rsidRPr="00942C19" w:rsidRDefault="00A44CA7">
            <w:pPr>
              <w:spacing w:before="0"/>
              <w:jc w:val="center"/>
              <w:rPr>
                <w:sz w:val="22"/>
                <w:szCs w:val="22"/>
                <w:lang w:val="en-US"/>
              </w:rPr>
            </w:pPr>
          </w:p>
        </w:tc>
        <w:tc>
          <w:tcPr>
            <w:tcW w:w="1366" w:type="dxa"/>
            <w:shd w:val="clear" w:color="auto" w:fill="auto"/>
            <w:noWrap/>
            <w:vAlign w:val="center"/>
            <w:hideMark/>
          </w:tcPr>
          <w:p w:rsidR="00A44CA7" w:rsidRPr="00942C19" w:rsidRDefault="00A44CA7">
            <w:pPr>
              <w:spacing w:before="0"/>
              <w:jc w:val="center"/>
              <w:rPr>
                <w:color w:val="000000"/>
                <w:sz w:val="22"/>
                <w:szCs w:val="22"/>
                <w:lang w:val="en-US"/>
              </w:rPr>
            </w:pPr>
          </w:p>
        </w:tc>
      </w:tr>
      <w:tr w:rsidR="00F834B0" w:rsidRPr="00942C19" w:rsidTr="00710020">
        <w:trPr>
          <w:trHeight w:val="296"/>
          <w:jc w:val="center"/>
        </w:trPr>
        <w:tc>
          <w:tcPr>
            <w:tcW w:w="847" w:type="dxa"/>
            <w:shd w:val="clear" w:color="auto" w:fill="auto"/>
            <w:noWrap/>
            <w:vAlign w:val="center"/>
            <w:hideMark/>
          </w:tcPr>
          <w:p w:rsidR="00A44CA7" w:rsidRPr="00942C19" w:rsidRDefault="00260411">
            <w:pPr>
              <w:spacing w:before="0"/>
              <w:jc w:val="center"/>
              <w:rPr>
                <w:sz w:val="22"/>
                <w:szCs w:val="22"/>
                <w:lang w:val="en-US"/>
              </w:rPr>
            </w:pPr>
            <w:r w:rsidRPr="00942C19">
              <w:rPr>
                <w:sz w:val="22"/>
                <w:szCs w:val="22"/>
                <w:lang w:val="en-US"/>
              </w:rPr>
              <w:t>I</w:t>
            </w:r>
          </w:p>
        </w:tc>
        <w:tc>
          <w:tcPr>
            <w:tcW w:w="4846" w:type="dxa"/>
            <w:shd w:val="clear" w:color="auto" w:fill="auto"/>
            <w:vAlign w:val="center"/>
            <w:hideMark/>
          </w:tcPr>
          <w:p w:rsidR="00A44CA7" w:rsidRPr="00942C19" w:rsidRDefault="00F834B0">
            <w:pPr>
              <w:spacing w:before="0"/>
              <w:jc w:val="left"/>
              <w:rPr>
                <w:sz w:val="22"/>
                <w:szCs w:val="22"/>
                <w:lang w:val="en-US"/>
              </w:rPr>
            </w:pPr>
            <w:r w:rsidRPr="00942C19">
              <w:rPr>
                <w:sz w:val="22"/>
                <w:szCs w:val="22"/>
                <w:lang w:val="en-US"/>
              </w:rPr>
              <w:t>Long Term (@ 80% of Av</w:t>
            </w:r>
            <w:r w:rsidR="00260411" w:rsidRPr="00942C19">
              <w:rPr>
                <w:sz w:val="22"/>
                <w:szCs w:val="22"/>
                <w:lang w:val="en-US"/>
              </w:rPr>
              <w:t>erage</w:t>
            </w:r>
            <w:r w:rsidRPr="00942C19">
              <w:rPr>
                <w:sz w:val="22"/>
                <w:szCs w:val="22"/>
                <w:lang w:val="en-US"/>
              </w:rPr>
              <w:t xml:space="preserve"> </w:t>
            </w:r>
            <w:r w:rsidR="00260411" w:rsidRPr="00942C19">
              <w:rPr>
                <w:sz w:val="22"/>
                <w:szCs w:val="22"/>
                <w:lang w:val="en-US"/>
              </w:rPr>
              <w:t>W</w:t>
            </w:r>
            <w:r w:rsidRPr="00942C19">
              <w:rPr>
                <w:sz w:val="22"/>
                <w:szCs w:val="22"/>
                <w:lang w:val="en-US"/>
              </w:rPr>
              <w:t xml:space="preserve">heeling </w:t>
            </w:r>
            <w:r w:rsidR="00260411" w:rsidRPr="00942C19">
              <w:rPr>
                <w:sz w:val="22"/>
                <w:szCs w:val="22"/>
                <w:lang w:val="en-US"/>
              </w:rPr>
              <w:t>C</w:t>
            </w:r>
            <w:r w:rsidRPr="00942C19">
              <w:rPr>
                <w:sz w:val="22"/>
                <w:szCs w:val="22"/>
                <w:lang w:val="en-US"/>
              </w:rPr>
              <w:t>harge)</w:t>
            </w:r>
          </w:p>
        </w:tc>
        <w:tc>
          <w:tcPr>
            <w:tcW w:w="1344" w:type="dxa"/>
            <w:shd w:val="clear" w:color="auto" w:fill="auto"/>
            <w:vAlign w:val="center"/>
            <w:hideMark/>
          </w:tcPr>
          <w:p w:rsidR="00A44CA7" w:rsidRPr="00942C19" w:rsidRDefault="00F834B0">
            <w:pPr>
              <w:spacing w:before="0"/>
              <w:jc w:val="center"/>
              <w:rPr>
                <w:sz w:val="22"/>
                <w:szCs w:val="22"/>
                <w:lang w:val="en-US"/>
              </w:rPr>
            </w:pPr>
            <w:r w:rsidRPr="00942C19">
              <w:rPr>
                <w:sz w:val="22"/>
                <w:szCs w:val="22"/>
                <w:lang w:val="en-US"/>
              </w:rPr>
              <w:t>Rs./</w:t>
            </w:r>
            <w:r w:rsidR="00260411" w:rsidRPr="00942C19">
              <w:rPr>
                <w:sz w:val="22"/>
                <w:szCs w:val="22"/>
                <w:lang w:val="en-US"/>
              </w:rPr>
              <w:t>kWh</w:t>
            </w:r>
          </w:p>
        </w:tc>
        <w:tc>
          <w:tcPr>
            <w:tcW w:w="1366" w:type="dxa"/>
            <w:shd w:val="clear" w:color="auto" w:fill="auto"/>
            <w:noWrap/>
            <w:vAlign w:val="center"/>
            <w:hideMark/>
          </w:tcPr>
          <w:p w:rsidR="00A44CA7" w:rsidRPr="00942C19" w:rsidRDefault="00F834B0">
            <w:pPr>
              <w:spacing w:before="0"/>
              <w:jc w:val="center"/>
              <w:rPr>
                <w:color w:val="000000"/>
                <w:sz w:val="22"/>
                <w:szCs w:val="22"/>
                <w:lang w:val="en-US"/>
              </w:rPr>
            </w:pPr>
            <w:r w:rsidRPr="00942C19">
              <w:rPr>
                <w:color w:val="000000"/>
                <w:sz w:val="22"/>
                <w:szCs w:val="22"/>
                <w:lang w:val="en-US"/>
              </w:rPr>
              <w:t>0.496</w:t>
            </w:r>
          </w:p>
        </w:tc>
      </w:tr>
      <w:tr w:rsidR="00F834B0" w:rsidRPr="00942C19" w:rsidTr="00710020">
        <w:trPr>
          <w:trHeight w:val="296"/>
          <w:jc w:val="center"/>
        </w:trPr>
        <w:tc>
          <w:tcPr>
            <w:tcW w:w="847" w:type="dxa"/>
            <w:shd w:val="clear" w:color="auto" w:fill="auto"/>
            <w:noWrap/>
            <w:vAlign w:val="center"/>
            <w:hideMark/>
          </w:tcPr>
          <w:p w:rsidR="00A44CA7" w:rsidRPr="00942C19" w:rsidRDefault="009D6056">
            <w:pPr>
              <w:spacing w:before="0"/>
              <w:jc w:val="center"/>
              <w:rPr>
                <w:sz w:val="22"/>
                <w:szCs w:val="22"/>
                <w:lang w:val="en-US"/>
              </w:rPr>
            </w:pPr>
            <w:r w:rsidRPr="00942C19">
              <w:rPr>
                <w:sz w:val="22"/>
                <w:szCs w:val="22"/>
                <w:lang w:val="en-US"/>
              </w:rPr>
              <w:t>I</w:t>
            </w:r>
            <w:r w:rsidR="00F834B0" w:rsidRPr="00942C19">
              <w:rPr>
                <w:sz w:val="22"/>
                <w:szCs w:val="22"/>
                <w:lang w:val="en-US"/>
              </w:rPr>
              <w:t>i</w:t>
            </w:r>
          </w:p>
        </w:tc>
        <w:tc>
          <w:tcPr>
            <w:tcW w:w="4846" w:type="dxa"/>
            <w:shd w:val="clear" w:color="auto" w:fill="auto"/>
            <w:vAlign w:val="center"/>
            <w:hideMark/>
          </w:tcPr>
          <w:p w:rsidR="00A44CA7" w:rsidRPr="00942C19" w:rsidRDefault="00F834B0">
            <w:pPr>
              <w:spacing w:before="0"/>
              <w:jc w:val="left"/>
              <w:rPr>
                <w:sz w:val="22"/>
                <w:szCs w:val="22"/>
                <w:lang w:val="en-US"/>
              </w:rPr>
            </w:pPr>
            <w:r w:rsidRPr="00942C19">
              <w:rPr>
                <w:sz w:val="22"/>
                <w:szCs w:val="22"/>
                <w:lang w:val="en-US"/>
              </w:rPr>
              <w:t xml:space="preserve">Short Term (@ 25% of Long Term </w:t>
            </w:r>
            <w:r w:rsidR="00260411" w:rsidRPr="00942C19">
              <w:rPr>
                <w:sz w:val="22"/>
                <w:szCs w:val="22"/>
                <w:lang w:val="en-US"/>
              </w:rPr>
              <w:t>C</w:t>
            </w:r>
            <w:r w:rsidRPr="00942C19">
              <w:rPr>
                <w:sz w:val="22"/>
                <w:szCs w:val="22"/>
                <w:lang w:val="en-US"/>
              </w:rPr>
              <w:t>harges)</w:t>
            </w:r>
          </w:p>
        </w:tc>
        <w:tc>
          <w:tcPr>
            <w:tcW w:w="1344" w:type="dxa"/>
            <w:shd w:val="clear" w:color="auto" w:fill="auto"/>
            <w:vAlign w:val="center"/>
            <w:hideMark/>
          </w:tcPr>
          <w:p w:rsidR="00A44CA7" w:rsidRPr="00942C19" w:rsidRDefault="00260411">
            <w:pPr>
              <w:spacing w:before="0"/>
              <w:jc w:val="center"/>
              <w:rPr>
                <w:sz w:val="22"/>
                <w:szCs w:val="22"/>
                <w:lang w:val="en-US"/>
              </w:rPr>
            </w:pPr>
            <w:r w:rsidRPr="00942C19">
              <w:rPr>
                <w:sz w:val="22"/>
                <w:szCs w:val="22"/>
                <w:lang w:val="en-US"/>
              </w:rPr>
              <w:t>Rs./kWh</w:t>
            </w:r>
          </w:p>
        </w:tc>
        <w:tc>
          <w:tcPr>
            <w:tcW w:w="1366" w:type="dxa"/>
            <w:shd w:val="clear" w:color="auto" w:fill="auto"/>
            <w:noWrap/>
            <w:vAlign w:val="center"/>
            <w:hideMark/>
          </w:tcPr>
          <w:p w:rsidR="00A44CA7" w:rsidRPr="00942C19" w:rsidRDefault="00F834B0">
            <w:pPr>
              <w:spacing w:before="0"/>
              <w:jc w:val="center"/>
              <w:rPr>
                <w:color w:val="000000"/>
                <w:sz w:val="22"/>
                <w:szCs w:val="22"/>
                <w:lang w:val="en-US"/>
              </w:rPr>
            </w:pPr>
            <w:r w:rsidRPr="00942C19">
              <w:rPr>
                <w:color w:val="000000"/>
                <w:sz w:val="22"/>
                <w:szCs w:val="22"/>
                <w:lang w:val="en-US"/>
              </w:rPr>
              <w:t>0.124</w:t>
            </w:r>
          </w:p>
        </w:tc>
      </w:tr>
      <w:tr w:rsidR="00F834B0" w:rsidRPr="00942C19" w:rsidTr="00710020">
        <w:trPr>
          <w:trHeight w:val="296"/>
          <w:jc w:val="center"/>
        </w:trPr>
        <w:tc>
          <w:tcPr>
            <w:tcW w:w="847" w:type="dxa"/>
            <w:shd w:val="clear" w:color="auto" w:fill="auto"/>
            <w:noWrap/>
            <w:vAlign w:val="center"/>
            <w:hideMark/>
          </w:tcPr>
          <w:p w:rsidR="00A44CA7" w:rsidRPr="00942C19" w:rsidRDefault="00F834B0">
            <w:pPr>
              <w:spacing w:before="0"/>
              <w:jc w:val="center"/>
              <w:rPr>
                <w:sz w:val="22"/>
                <w:szCs w:val="22"/>
                <w:lang w:val="en-US"/>
              </w:rPr>
            </w:pPr>
            <w:r w:rsidRPr="00942C19">
              <w:rPr>
                <w:sz w:val="22"/>
                <w:szCs w:val="22"/>
                <w:lang w:val="en-US"/>
              </w:rPr>
              <w:t>2</w:t>
            </w:r>
          </w:p>
        </w:tc>
        <w:tc>
          <w:tcPr>
            <w:tcW w:w="4846" w:type="dxa"/>
            <w:shd w:val="clear" w:color="auto" w:fill="auto"/>
            <w:vAlign w:val="center"/>
            <w:hideMark/>
          </w:tcPr>
          <w:p w:rsidR="00A44CA7" w:rsidRPr="00942C19" w:rsidRDefault="00F834B0">
            <w:pPr>
              <w:spacing w:before="0"/>
              <w:jc w:val="left"/>
              <w:rPr>
                <w:sz w:val="22"/>
                <w:szCs w:val="22"/>
                <w:lang w:val="en-US"/>
              </w:rPr>
            </w:pPr>
            <w:r w:rsidRPr="00942C19">
              <w:rPr>
                <w:sz w:val="22"/>
                <w:szCs w:val="22"/>
                <w:lang w:val="en-US"/>
              </w:rPr>
              <w:t>Connected above 11 kV</w:t>
            </w:r>
          </w:p>
        </w:tc>
        <w:tc>
          <w:tcPr>
            <w:tcW w:w="1344" w:type="dxa"/>
            <w:shd w:val="clear" w:color="auto" w:fill="auto"/>
            <w:vAlign w:val="center"/>
            <w:hideMark/>
          </w:tcPr>
          <w:p w:rsidR="00A44CA7" w:rsidRPr="00942C19" w:rsidRDefault="00A44CA7">
            <w:pPr>
              <w:spacing w:before="0"/>
              <w:jc w:val="center"/>
              <w:rPr>
                <w:sz w:val="22"/>
                <w:szCs w:val="22"/>
                <w:lang w:val="en-US"/>
              </w:rPr>
            </w:pPr>
          </w:p>
        </w:tc>
        <w:tc>
          <w:tcPr>
            <w:tcW w:w="1366" w:type="dxa"/>
            <w:shd w:val="clear" w:color="auto" w:fill="auto"/>
            <w:noWrap/>
            <w:vAlign w:val="center"/>
            <w:hideMark/>
          </w:tcPr>
          <w:p w:rsidR="00A44CA7" w:rsidRPr="00942C19" w:rsidRDefault="00A44CA7">
            <w:pPr>
              <w:spacing w:before="0"/>
              <w:jc w:val="center"/>
              <w:rPr>
                <w:color w:val="000000"/>
                <w:sz w:val="22"/>
                <w:szCs w:val="22"/>
                <w:lang w:val="en-US"/>
              </w:rPr>
            </w:pPr>
          </w:p>
        </w:tc>
      </w:tr>
      <w:tr w:rsidR="00260411" w:rsidRPr="00942C19" w:rsidTr="00B13F1A">
        <w:trPr>
          <w:trHeight w:val="296"/>
          <w:jc w:val="center"/>
        </w:trPr>
        <w:tc>
          <w:tcPr>
            <w:tcW w:w="847" w:type="dxa"/>
            <w:shd w:val="clear" w:color="auto" w:fill="auto"/>
            <w:noWrap/>
            <w:vAlign w:val="center"/>
            <w:hideMark/>
          </w:tcPr>
          <w:p w:rsidR="00A44CA7" w:rsidRPr="00942C19" w:rsidRDefault="00260411">
            <w:pPr>
              <w:spacing w:before="0"/>
              <w:jc w:val="center"/>
              <w:rPr>
                <w:sz w:val="22"/>
                <w:szCs w:val="22"/>
                <w:lang w:val="en-US"/>
              </w:rPr>
            </w:pPr>
            <w:r w:rsidRPr="00942C19">
              <w:rPr>
                <w:sz w:val="22"/>
                <w:szCs w:val="22"/>
                <w:lang w:val="en-US"/>
              </w:rPr>
              <w:t>I</w:t>
            </w:r>
          </w:p>
        </w:tc>
        <w:tc>
          <w:tcPr>
            <w:tcW w:w="4846" w:type="dxa"/>
            <w:shd w:val="clear" w:color="auto" w:fill="auto"/>
            <w:vAlign w:val="center"/>
            <w:hideMark/>
          </w:tcPr>
          <w:p w:rsidR="00A44CA7" w:rsidRPr="00942C19" w:rsidRDefault="00260411">
            <w:pPr>
              <w:spacing w:before="0"/>
              <w:jc w:val="left"/>
              <w:rPr>
                <w:sz w:val="22"/>
                <w:szCs w:val="22"/>
                <w:lang w:val="en-US"/>
              </w:rPr>
            </w:pPr>
            <w:r w:rsidRPr="00942C19">
              <w:rPr>
                <w:sz w:val="22"/>
                <w:szCs w:val="22"/>
                <w:lang w:val="en-US"/>
              </w:rPr>
              <w:t>Long Term (@ 50% of Average Wheeling Charge)</w:t>
            </w:r>
          </w:p>
        </w:tc>
        <w:tc>
          <w:tcPr>
            <w:tcW w:w="1344" w:type="dxa"/>
            <w:shd w:val="clear" w:color="auto" w:fill="auto"/>
            <w:hideMark/>
          </w:tcPr>
          <w:p w:rsidR="00A44CA7" w:rsidRPr="00942C19" w:rsidRDefault="00260411">
            <w:pPr>
              <w:spacing w:before="0"/>
              <w:jc w:val="center"/>
              <w:rPr>
                <w:sz w:val="22"/>
                <w:szCs w:val="22"/>
                <w:lang w:val="en-US"/>
              </w:rPr>
            </w:pPr>
            <w:r w:rsidRPr="00942C19">
              <w:rPr>
                <w:sz w:val="22"/>
                <w:szCs w:val="22"/>
                <w:lang w:val="en-US"/>
              </w:rPr>
              <w:t>Rs./kWh</w:t>
            </w:r>
          </w:p>
        </w:tc>
        <w:tc>
          <w:tcPr>
            <w:tcW w:w="1366" w:type="dxa"/>
            <w:shd w:val="clear" w:color="auto" w:fill="auto"/>
            <w:noWrap/>
            <w:vAlign w:val="center"/>
            <w:hideMark/>
          </w:tcPr>
          <w:p w:rsidR="00A44CA7" w:rsidRPr="00942C19" w:rsidRDefault="00260411">
            <w:pPr>
              <w:spacing w:before="0"/>
              <w:jc w:val="center"/>
              <w:rPr>
                <w:color w:val="000000"/>
                <w:sz w:val="22"/>
                <w:szCs w:val="22"/>
                <w:lang w:val="en-US"/>
              </w:rPr>
            </w:pPr>
            <w:r w:rsidRPr="00942C19">
              <w:rPr>
                <w:color w:val="000000"/>
                <w:sz w:val="22"/>
                <w:szCs w:val="22"/>
                <w:lang w:val="en-US"/>
              </w:rPr>
              <w:t>0.310</w:t>
            </w:r>
          </w:p>
        </w:tc>
      </w:tr>
      <w:tr w:rsidR="00260411" w:rsidRPr="00942C19" w:rsidTr="00B13F1A">
        <w:trPr>
          <w:trHeight w:val="296"/>
          <w:jc w:val="center"/>
        </w:trPr>
        <w:tc>
          <w:tcPr>
            <w:tcW w:w="847" w:type="dxa"/>
            <w:shd w:val="clear" w:color="auto" w:fill="auto"/>
            <w:noWrap/>
            <w:vAlign w:val="center"/>
            <w:hideMark/>
          </w:tcPr>
          <w:p w:rsidR="00A44CA7" w:rsidRPr="00942C19" w:rsidRDefault="009D6056">
            <w:pPr>
              <w:spacing w:before="0"/>
              <w:jc w:val="center"/>
              <w:rPr>
                <w:sz w:val="22"/>
                <w:szCs w:val="22"/>
                <w:lang w:val="en-US"/>
              </w:rPr>
            </w:pPr>
            <w:r w:rsidRPr="00942C19">
              <w:rPr>
                <w:sz w:val="22"/>
                <w:szCs w:val="22"/>
                <w:lang w:val="en-US"/>
              </w:rPr>
              <w:t>I</w:t>
            </w:r>
            <w:r w:rsidR="00260411" w:rsidRPr="00942C19">
              <w:rPr>
                <w:sz w:val="22"/>
                <w:szCs w:val="22"/>
                <w:lang w:val="en-US"/>
              </w:rPr>
              <w:t>i</w:t>
            </w:r>
          </w:p>
        </w:tc>
        <w:tc>
          <w:tcPr>
            <w:tcW w:w="4846" w:type="dxa"/>
            <w:shd w:val="clear" w:color="auto" w:fill="auto"/>
            <w:vAlign w:val="center"/>
            <w:hideMark/>
          </w:tcPr>
          <w:p w:rsidR="00A44CA7" w:rsidRPr="00942C19" w:rsidRDefault="00260411">
            <w:pPr>
              <w:spacing w:before="0"/>
              <w:jc w:val="left"/>
              <w:rPr>
                <w:sz w:val="22"/>
                <w:szCs w:val="22"/>
                <w:lang w:val="en-US"/>
              </w:rPr>
            </w:pPr>
            <w:r w:rsidRPr="00942C19">
              <w:rPr>
                <w:sz w:val="22"/>
                <w:szCs w:val="22"/>
                <w:lang w:val="en-US"/>
              </w:rPr>
              <w:t>Short Term (@ 25% of Long Term Charges)</w:t>
            </w:r>
          </w:p>
        </w:tc>
        <w:tc>
          <w:tcPr>
            <w:tcW w:w="1344" w:type="dxa"/>
            <w:shd w:val="clear" w:color="auto" w:fill="auto"/>
            <w:hideMark/>
          </w:tcPr>
          <w:p w:rsidR="00A44CA7" w:rsidRPr="00942C19" w:rsidRDefault="00260411">
            <w:pPr>
              <w:spacing w:before="0"/>
              <w:jc w:val="center"/>
              <w:rPr>
                <w:sz w:val="22"/>
                <w:szCs w:val="22"/>
                <w:lang w:val="en-US"/>
              </w:rPr>
            </w:pPr>
            <w:r w:rsidRPr="00942C19">
              <w:rPr>
                <w:sz w:val="22"/>
                <w:szCs w:val="22"/>
                <w:lang w:val="en-US"/>
              </w:rPr>
              <w:t>Rs./kWh</w:t>
            </w:r>
          </w:p>
        </w:tc>
        <w:tc>
          <w:tcPr>
            <w:tcW w:w="1366" w:type="dxa"/>
            <w:shd w:val="clear" w:color="auto" w:fill="auto"/>
            <w:noWrap/>
            <w:vAlign w:val="center"/>
            <w:hideMark/>
          </w:tcPr>
          <w:p w:rsidR="00A44CA7" w:rsidRPr="00942C19" w:rsidRDefault="00260411">
            <w:pPr>
              <w:spacing w:before="0"/>
              <w:jc w:val="center"/>
              <w:rPr>
                <w:color w:val="000000"/>
                <w:sz w:val="22"/>
                <w:szCs w:val="22"/>
                <w:lang w:val="en-US"/>
              </w:rPr>
            </w:pPr>
            <w:r w:rsidRPr="00942C19">
              <w:rPr>
                <w:color w:val="000000"/>
                <w:sz w:val="22"/>
                <w:szCs w:val="22"/>
                <w:lang w:val="en-US"/>
              </w:rPr>
              <w:t>0.078</w:t>
            </w:r>
          </w:p>
        </w:tc>
      </w:tr>
    </w:tbl>
    <w:p w:rsidR="00A44CA7" w:rsidRPr="00942C19" w:rsidRDefault="00A44CA7">
      <w:pPr>
        <w:spacing w:before="0"/>
      </w:pPr>
    </w:p>
    <w:p w:rsidR="00B13F1A" w:rsidRPr="00942C19" w:rsidRDefault="00A72BF3">
      <w:pPr>
        <w:pStyle w:val="Heading3"/>
        <w:numPr>
          <w:ilvl w:val="2"/>
          <w:numId w:val="1"/>
        </w:numPr>
        <w:spacing w:before="0"/>
      </w:pPr>
      <w:r w:rsidRPr="00942C19">
        <w:t>In addition to the payment of wheeling charges, the customers also have to bear the wheeling losses in kind. The Commission has been seeking voltage level loss data from the utility but the same has not been forthcoming. Further, it is also logical that the open access customers have to bear only the technical losses in the system, and should not be asked to bear any part of the commercial losses.</w:t>
      </w:r>
    </w:p>
    <w:p w:rsidR="00A44CA7" w:rsidRPr="00942C19" w:rsidRDefault="00A44CA7">
      <w:pPr>
        <w:spacing w:before="0"/>
      </w:pPr>
    </w:p>
    <w:p w:rsidR="00B13F1A" w:rsidRPr="00942C19" w:rsidRDefault="00A72BF3">
      <w:pPr>
        <w:pStyle w:val="Heading3"/>
        <w:numPr>
          <w:ilvl w:val="2"/>
          <w:numId w:val="1"/>
        </w:numPr>
        <w:spacing w:before="0"/>
      </w:pPr>
      <w:r w:rsidRPr="00942C19">
        <w:t xml:space="preserve">The Commission has estimated that the technical losses at 11 kV voltage level would be in the range of 8% to 9%, and the technical losses above 11 kV voltage level and </w:t>
      </w:r>
      <w:r w:rsidR="00D31494" w:rsidRPr="00942C19">
        <w:t>up to</w:t>
      </w:r>
      <w:r w:rsidRPr="00942C19">
        <w:t xml:space="preserve"> 132 kV would be in the range of 7% to 8%. Hence, the Commission has decided that the wheeling loss applicable for Open Access transactions entailing </w:t>
      </w:r>
      <w:r w:rsidR="00D31494" w:rsidRPr="00942C19">
        <w:t>drawl</w:t>
      </w:r>
      <w:r w:rsidRPr="00942C19">
        <w:t xml:space="preserve"> at 11 kV voltage level shall be 8%, and that for </w:t>
      </w:r>
      <w:r w:rsidR="00D31494" w:rsidRPr="00942C19">
        <w:t>drawl</w:t>
      </w:r>
      <w:r w:rsidRPr="00942C19">
        <w:t xml:space="preserve"> at voltages above 11 kV voltage level shall be 7%.</w:t>
      </w:r>
    </w:p>
    <w:p w:rsidR="00A44CA7" w:rsidRPr="00942C19" w:rsidRDefault="00A44CA7">
      <w:pPr>
        <w:spacing w:before="0"/>
      </w:pPr>
    </w:p>
    <w:p w:rsidR="00B13F1A" w:rsidRPr="00942C19" w:rsidRDefault="00A72BF3">
      <w:pPr>
        <w:pStyle w:val="Heading3"/>
        <w:numPr>
          <w:ilvl w:val="2"/>
          <w:numId w:val="1"/>
        </w:numPr>
        <w:spacing w:before="0"/>
      </w:pPr>
      <w:r w:rsidRPr="00942C19">
        <w:t xml:space="preserve">The open access charges and the losses to be borne by the Open Access customers may be reviewed by the Commission on submission of the relevant information by the </w:t>
      </w:r>
      <w:r w:rsidR="009A3804" w:rsidRPr="00942C19">
        <w:t>Licensee</w:t>
      </w:r>
      <w:r w:rsidRPr="00942C19">
        <w:t>.</w:t>
      </w:r>
    </w:p>
    <w:p w:rsidR="00A44CA7" w:rsidRPr="00942C19" w:rsidRDefault="00A44CA7">
      <w:pPr>
        <w:spacing w:before="0"/>
      </w:pPr>
    </w:p>
    <w:p w:rsidR="00B13F1A" w:rsidRPr="00942C19" w:rsidRDefault="00A72BF3">
      <w:pPr>
        <w:pStyle w:val="Heading3"/>
        <w:numPr>
          <w:ilvl w:val="2"/>
          <w:numId w:val="1"/>
        </w:numPr>
        <w:spacing w:before="0"/>
      </w:pPr>
      <w:r w:rsidRPr="00942C19">
        <w:t>The wheeling charges determined above shall not be payable if the Open Access customer is availing supply directly from the state transmission network.</w:t>
      </w:r>
    </w:p>
    <w:p w:rsidR="00A44CA7" w:rsidRPr="00942C19" w:rsidRDefault="00A44CA7">
      <w:pPr>
        <w:spacing w:before="0"/>
      </w:pPr>
    </w:p>
    <w:p w:rsidR="00A44CA7" w:rsidRPr="00942C19" w:rsidRDefault="00A44CA7">
      <w:pPr>
        <w:spacing w:before="0"/>
      </w:pPr>
    </w:p>
    <w:p w:rsidR="00260411" w:rsidRPr="00942C19" w:rsidRDefault="00260411">
      <w:pPr>
        <w:spacing w:before="0" w:line="240" w:lineRule="auto"/>
        <w:jc w:val="left"/>
        <w:rPr>
          <w:rFonts w:asciiTheme="minorHAnsi" w:hAnsiTheme="minorHAnsi" w:cstheme="minorHAnsi"/>
          <w:b/>
          <w:bCs/>
          <w:color w:val="000000"/>
        </w:rPr>
      </w:pPr>
      <w:bookmarkStart w:id="802" w:name="_Toc337201442"/>
      <w:bookmarkStart w:id="803" w:name="_Toc357345043"/>
      <w:r w:rsidRPr="00942C19">
        <w:br w:type="page"/>
      </w:r>
    </w:p>
    <w:p w:rsidR="00A72BF3" w:rsidRPr="00942C19" w:rsidRDefault="00A72BF3" w:rsidP="00A72BF3">
      <w:pPr>
        <w:pStyle w:val="Heading2"/>
        <w:keepNext/>
        <w:numPr>
          <w:ilvl w:val="1"/>
          <w:numId w:val="1"/>
        </w:numPr>
        <w:autoSpaceDE/>
        <w:autoSpaceDN/>
        <w:adjustRightInd/>
        <w:spacing w:before="0" w:line="276" w:lineRule="auto"/>
        <w:contextualSpacing w:val="0"/>
      </w:pPr>
      <w:bookmarkStart w:id="804" w:name="_Toc357714420"/>
      <w:r w:rsidRPr="00942C19">
        <w:t>CROSS SUBSIDY SURCHARGE</w:t>
      </w:r>
      <w:bookmarkEnd w:id="802"/>
      <w:bookmarkEnd w:id="803"/>
      <w:bookmarkEnd w:id="804"/>
    </w:p>
    <w:p w:rsidR="00F834B0" w:rsidRPr="00942C19" w:rsidRDefault="00F834B0" w:rsidP="00F834B0">
      <w:pPr>
        <w:pStyle w:val="Heading3"/>
        <w:numPr>
          <w:ilvl w:val="0"/>
          <w:numId w:val="0"/>
        </w:numPr>
        <w:spacing w:before="0"/>
        <w:ind w:left="720"/>
      </w:pPr>
    </w:p>
    <w:p w:rsidR="00A72BF3" w:rsidRPr="00942C19" w:rsidRDefault="00A72BF3" w:rsidP="00A72BF3">
      <w:pPr>
        <w:pStyle w:val="Heading3"/>
        <w:numPr>
          <w:ilvl w:val="2"/>
          <w:numId w:val="1"/>
        </w:numPr>
        <w:spacing w:before="0"/>
      </w:pPr>
      <w:r w:rsidRPr="00942C19">
        <w:t xml:space="preserve">The Commission has computed the cross-subsidy surcharge for Open Access consumers in accordance with the methodology specified in </w:t>
      </w:r>
      <w:r w:rsidR="00260411" w:rsidRPr="00942C19">
        <w:t>C</w:t>
      </w:r>
      <w:r w:rsidRPr="00942C19">
        <w:t xml:space="preserve">lause 6.6 of </w:t>
      </w:r>
      <w:r w:rsidR="00260411" w:rsidRPr="00942C19">
        <w:t>Distribution Tariff Regulations</w:t>
      </w:r>
      <w:r w:rsidRPr="00942C19">
        <w:t>.</w:t>
      </w:r>
    </w:p>
    <w:p w:rsidR="00A44CA7" w:rsidRPr="00942C19" w:rsidRDefault="00A44CA7">
      <w:pPr>
        <w:spacing w:before="0"/>
      </w:pPr>
    </w:p>
    <w:p w:rsidR="00B13F1A" w:rsidRPr="00942C19" w:rsidRDefault="00A72BF3">
      <w:pPr>
        <w:pStyle w:val="Heading3"/>
        <w:numPr>
          <w:ilvl w:val="2"/>
          <w:numId w:val="1"/>
        </w:numPr>
        <w:spacing w:before="0"/>
      </w:pPr>
      <w:r w:rsidRPr="00942C19">
        <w:t xml:space="preserve">As per </w:t>
      </w:r>
      <w:r w:rsidR="00260411" w:rsidRPr="00942C19">
        <w:t>C</w:t>
      </w:r>
      <w:r w:rsidRPr="00942C19">
        <w:t xml:space="preserve">lause 6.6, the cross subsidy surcharge is to be computed based on the difference between (i) the tariff applicable to the relevant category of consumers and (ii) the cost of the Distribution </w:t>
      </w:r>
      <w:r w:rsidR="009A3804" w:rsidRPr="00942C19">
        <w:t>Licensee</w:t>
      </w:r>
      <w:r w:rsidRPr="00942C19">
        <w:t xml:space="preserve"> to supply electricity to the consumers of the applicable class. In case of a consumer opting for open access, the Distribution </w:t>
      </w:r>
      <w:r w:rsidR="009A3804" w:rsidRPr="00942C19">
        <w:t>Licensee</w:t>
      </w:r>
      <w:r w:rsidRPr="00942C19">
        <w:t xml:space="preserve"> could be in a position to discontinue purchase of power at the margin in the merit order. Accordingly, the Commission has computed the cost of supply to the consumer for this purpose as the aggregate of (a) the weighted average of power purchase costs (inclusive of fixed and variable charges) of top 5% power at the margin, excluding liquid fuel based generation, in the merit order approved by the UPERC adjusted for average loss compensation of the relevant voltage level and (b) the distribution wheeling charges as determined in the preceding section.</w:t>
      </w:r>
    </w:p>
    <w:p w:rsidR="00A44CA7" w:rsidRPr="00942C19" w:rsidRDefault="00A44CA7">
      <w:pPr>
        <w:spacing w:before="0"/>
      </w:pPr>
    </w:p>
    <w:p w:rsidR="00B13F1A" w:rsidRPr="00942C19" w:rsidRDefault="00A72BF3">
      <w:pPr>
        <w:pStyle w:val="Heading3"/>
        <w:numPr>
          <w:ilvl w:val="2"/>
          <w:numId w:val="1"/>
        </w:numPr>
        <w:spacing w:before="0"/>
      </w:pPr>
      <w:r w:rsidRPr="00942C19">
        <w:t>The Commission has computed the cross subsidy surcharge for the relevant consumer categories using the following formula:</w:t>
      </w:r>
    </w:p>
    <w:p w:rsidR="00A44CA7" w:rsidRPr="00942C19" w:rsidRDefault="00A44CA7">
      <w:pPr>
        <w:spacing w:before="0"/>
      </w:pPr>
    </w:p>
    <w:p w:rsidR="00A72BF3" w:rsidRPr="00942C19" w:rsidRDefault="00A72BF3" w:rsidP="00A72BF3">
      <w:pPr>
        <w:ind w:left="720"/>
      </w:pPr>
      <w:r w:rsidRPr="00942C19">
        <w:t>S = T – [C (1+ L / 100) + D]</w:t>
      </w:r>
    </w:p>
    <w:p w:rsidR="00A72BF3" w:rsidRPr="00942C19" w:rsidRDefault="00A72BF3" w:rsidP="00A72BF3">
      <w:pPr>
        <w:ind w:left="720"/>
      </w:pPr>
      <w:r w:rsidRPr="00942C19">
        <w:t>Where</w:t>
      </w:r>
    </w:p>
    <w:p w:rsidR="00A72BF3" w:rsidRPr="00942C19" w:rsidRDefault="00A72BF3" w:rsidP="00A72BF3">
      <w:pPr>
        <w:ind w:left="720"/>
      </w:pPr>
      <w:r w:rsidRPr="00942C19">
        <w:t>S is the cross subsidy surcharge</w:t>
      </w:r>
    </w:p>
    <w:p w:rsidR="00A72BF3" w:rsidRPr="00942C19" w:rsidRDefault="00A72BF3" w:rsidP="00A72BF3">
      <w:pPr>
        <w:ind w:left="720"/>
      </w:pPr>
      <w:r w:rsidRPr="00942C19">
        <w:t>T is the Tariff payable by the relevant category of consumers;</w:t>
      </w:r>
    </w:p>
    <w:p w:rsidR="00A72BF3" w:rsidRPr="00942C19" w:rsidRDefault="00A72BF3" w:rsidP="00A72BF3">
      <w:pPr>
        <w:ind w:left="720"/>
      </w:pPr>
      <w:r w:rsidRPr="00942C19">
        <w:t xml:space="preserve">C is the Weighted average cost of power purchase of top 5% at the margin excluding liquid fuel based generation and renewable power. In case of UP, this works out to Rs. </w:t>
      </w:r>
      <w:r w:rsidR="00C22130" w:rsidRPr="00942C19">
        <w:t>6.59</w:t>
      </w:r>
      <w:r w:rsidRPr="00942C19">
        <w:t xml:space="preserve"> /kWh considering the cost of marginal power purchase sources of </w:t>
      </w:r>
      <w:r w:rsidR="00C22130" w:rsidRPr="00942C19">
        <w:t xml:space="preserve">Anta, </w:t>
      </w:r>
      <w:r w:rsidR="007C4D9D" w:rsidRPr="00942C19">
        <w:t>Auraiya</w:t>
      </w:r>
      <w:r w:rsidR="00C22130" w:rsidRPr="00942C19">
        <w:t xml:space="preserve">, Dadri Gas and </w:t>
      </w:r>
      <w:r w:rsidRPr="00942C19">
        <w:t>Rosa Power Project II</w:t>
      </w:r>
      <w:r w:rsidR="00C22130" w:rsidRPr="00942C19">
        <w:t>.</w:t>
      </w:r>
    </w:p>
    <w:p w:rsidR="00A72BF3" w:rsidRPr="00942C19" w:rsidRDefault="00A72BF3" w:rsidP="00A72BF3">
      <w:pPr>
        <w:ind w:left="720"/>
      </w:pPr>
      <w:r w:rsidRPr="00942C19">
        <w:t>D is the average wheeling charges for transmission and distribution of power which is Rs. 0.6</w:t>
      </w:r>
      <w:r w:rsidR="00F834B0" w:rsidRPr="00942C19">
        <w:t>20</w:t>
      </w:r>
      <w:r w:rsidRPr="00942C19">
        <w:t xml:space="preserve"> /kWh </w:t>
      </w:r>
    </w:p>
    <w:p w:rsidR="00A72BF3" w:rsidRPr="00942C19" w:rsidRDefault="00A72BF3" w:rsidP="00A72BF3">
      <w:pPr>
        <w:ind w:left="720"/>
      </w:pPr>
      <w:r w:rsidRPr="00942C19">
        <w:t xml:space="preserve">L is the system </w:t>
      </w:r>
      <w:r w:rsidR="006E59BF" w:rsidRPr="00942C19">
        <w:t>l</w:t>
      </w:r>
      <w:r w:rsidRPr="00942C19">
        <w:t xml:space="preserve">osses for the applicable voltage level, expressed as a percentage, which is computed as </w:t>
      </w:r>
      <w:r w:rsidR="008B46AF" w:rsidRPr="00942C19">
        <w:t>2</w:t>
      </w:r>
      <w:r w:rsidR="004E2AB9">
        <w:t>3</w:t>
      </w:r>
      <w:r w:rsidRPr="00942C19">
        <w:t>%.</w:t>
      </w:r>
    </w:p>
    <w:p w:rsidR="00A72BF3" w:rsidRPr="00942C19" w:rsidRDefault="00A72BF3" w:rsidP="00A72BF3">
      <w:pPr>
        <w:pStyle w:val="Heading3"/>
        <w:numPr>
          <w:ilvl w:val="2"/>
          <w:numId w:val="1"/>
        </w:numPr>
        <w:spacing w:before="0"/>
      </w:pPr>
      <w:r w:rsidRPr="00942C19">
        <w:t xml:space="preserve">The </w:t>
      </w:r>
      <w:r w:rsidR="00260411" w:rsidRPr="00942C19">
        <w:t>c</w:t>
      </w:r>
      <w:r w:rsidRPr="00942C19">
        <w:t>ross subsidy surcharge computed by Commission for relevant categories works out to be Nil.</w:t>
      </w:r>
    </w:p>
    <w:p w:rsidR="00A44CA7" w:rsidRPr="00942C19" w:rsidRDefault="00A44CA7">
      <w:pPr>
        <w:spacing w:before="0"/>
      </w:pPr>
    </w:p>
    <w:p w:rsidR="00B13F1A" w:rsidRPr="00942C19" w:rsidRDefault="00A72BF3">
      <w:pPr>
        <w:pStyle w:val="Heading3"/>
        <w:numPr>
          <w:ilvl w:val="2"/>
          <w:numId w:val="1"/>
        </w:numPr>
        <w:spacing w:before="0"/>
      </w:pPr>
      <w:r w:rsidRPr="00942C19">
        <w:t xml:space="preserve">The impact of migration of consumers from the network of the incumbent Distribution </w:t>
      </w:r>
      <w:r w:rsidR="009A3804" w:rsidRPr="00942C19">
        <w:t>Licensee</w:t>
      </w:r>
      <w:r w:rsidRPr="00942C19">
        <w:t xml:space="preserve"> on the consumer mix and revenues of a particular Distribution </w:t>
      </w:r>
      <w:r w:rsidR="009A3804" w:rsidRPr="00942C19">
        <w:t>Licensee</w:t>
      </w:r>
      <w:r w:rsidRPr="00942C19">
        <w:t xml:space="preserve"> shall be reviewed by the Commission from time to time as may be considered appropriate.</w:t>
      </w:r>
    </w:p>
    <w:p w:rsidR="00A44CA7" w:rsidRPr="00942C19" w:rsidRDefault="00A44CA7">
      <w:pPr>
        <w:spacing w:before="0"/>
      </w:pPr>
    </w:p>
    <w:p w:rsidR="00A44CA7" w:rsidRPr="00942C19" w:rsidRDefault="00A44CA7">
      <w:pPr>
        <w:spacing w:before="0"/>
      </w:pPr>
    </w:p>
    <w:p w:rsidR="00B13F1A" w:rsidRPr="00942C19" w:rsidRDefault="00A72BF3">
      <w:pPr>
        <w:pStyle w:val="Heading2"/>
        <w:keepNext/>
        <w:numPr>
          <w:ilvl w:val="1"/>
          <w:numId w:val="1"/>
        </w:numPr>
        <w:autoSpaceDE/>
        <w:autoSpaceDN/>
        <w:adjustRightInd/>
        <w:spacing w:before="0" w:line="276" w:lineRule="auto"/>
        <w:contextualSpacing w:val="0"/>
      </w:pPr>
      <w:bookmarkStart w:id="805" w:name="_Toc357345044"/>
      <w:bookmarkStart w:id="806" w:name="_Toc357714421"/>
      <w:r w:rsidRPr="00942C19">
        <w:t>ADDITIONAL SURCHARGE</w:t>
      </w:r>
      <w:bookmarkEnd w:id="805"/>
      <w:bookmarkEnd w:id="806"/>
    </w:p>
    <w:p w:rsidR="00B13F1A" w:rsidRPr="00942C19" w:rsidRDefault="00B13F1A">
      <w:pPr>
        <w:pStyle w:val="Heading3"/>
        <w:numPr>
          <w:ilvl w:val="0"/>
          <w:numId w:val="0"/>
        </w:numPr>
        <w:spacing w:before="0"/>
        <w:ind w:left="720"/>
        <w:rPr>
          <w:b/>
        </w:rPr>
      </w:pPr>
    </w:p>
    <w:p w:rsidR="00A72BF3" w:rsidRPr="00942C19" w:rsidRDefault="00A72BF3" w:rsidP="00A72BF3">
      <w:pPr>
        <w:pStyle w:val="Heading3"/>
        <w:numPr>
          <w:ilvl w:val="2"/>
          <w:numId w:val="1"/>
        </w:numPr>
        <w:spacing w:before="0"/>
        <w:rPr>
          <w:b/>
        </w:rPr>
      </w:pPr>
      <w:r w:rsidRPr="00942C19">
        <w:t xml:space="preserve">For the present order, additional surcharge is determined to be </w:t>
      </w:r>
      <w:r w:rsidRPr="00942C19">
        <w:rPr>
          <w:b/>
        </w:rPr>
        <w:t>zero</w:t>
      </w:r>
    </w:p>
    <w:p w:rsidR="00A44CA7" w:rsidRPr="00942C19" w:rsidRDefault="00A44CA7">
      <w:pPr>
        <w:spacing w:before="0"/>
      </w:pPr>
    </w:p>
    <w:p w:rsidR="00A44CA7" w:rsidRPr="00942C19" w:rsidRDefault="00A44CA7">
      <w:pPr>
        <w:spacing w:before="0"/>
      </w:pPr>
    </w:p>
    <w:p w:rsidR="00B13F1A" w:rsidRPr="00942C19" w:rsidRDefault="00A72BF3">
      <w:pPr>
        <w:pStyle w:val="Heading2"/>
        <w:keepNext/>
        <w:numPr>
          <w:ilvl w:val="1"/>
          <w:numId w:val="1"/>
        </w:numPr>
        <w:autoSpaceDE/>
        <w:autoSpaceDN/>
        <w:adjustRightInd/>
        <w:spacing w:before="0" w:line="276" w:lineRule="auto"/>
        <w:contextualSpacing w:val="0"/>
      </w:pPr>
      <w:bookmarkStart w:id="807" w:name="_Toc357345045"/>
      <w:bookmarkStart w:id="808" w:name="_Toc357714422"/>
      <w:r w:rsidRPr="00942C19">
        <w:t>OTHER CHARGES</w:t>
      </w:r>
      <w:bookmarkEnd w:id="807"/>
      <w:bookmarkEnd w:id="808"/>
    </w:p>
    <w:p w:rsidR="00A44CA7" w:rsidRPr="00942C19" w:rsidRDefault="00A44CA7">
      <w:pPr>
        <w:pStyle w:val="Heading3"/>
        <w:numPr>
          <w:ilvl w:val="0"/>
          <w:numId w:val="0"/>
        </w:numPr>
        <w:spacing w:before="0"/>
        <w:ind w:left="720"/>
      </w:pPr>
    </w:p>
    <w:p w:rsidR="00B13F1A" w:rsidRPr="00942C19" w:rsidRDefault="00A72BF3">
      <w:pPr>
        <w:pStyle w:val="Heading3"/>
        <w:numPr>
          <w:ilvl w:val="2"/>
          <w:numId w:val="1"/>
        </w:numPr>
        <w:spacing w:before="0"/>
      </w:pPr>
      <w:r w:rsidRPr="00942C19">
        <w:t xml:space="preserve">The Open Access Regulations, 2008 notified by CERC specifies: </w:t>
      </w:r>
    </w:p>
    <w:p w:rsidR="00A72BF3" w:rsidRPr="00942C19" w:rsidRDefault="00A72BF3" w:rsidP="00A72BF3">
      <w:pPr>
        <w:pStyle w:val="Heading3"/>
        <w:numPr>
          <w:ilvl w:val="0"/>
          <w:numId w:val="0"/>
        </w:numPr>
        <w:ind w:left="936"/>
      </w:pPr>
      <w:r w:rsidRPr="00942C19">
        <w:t>“Unless specified otherwise by the concerned State Commission, UI rate for intra-State entity shall be 105% (for over-</w:t>
      </w:r>
      <w:r w:rsidR="00D31494" w:rsidRPr="00942C19">
        <w:t>drawls</w:t>
      </w:r>
      <w:r w:rsidRPr="00942C19">
        <w:t xml:space="preserve"> or under generation) and 95% (for under-</w:t>
      </w:r>
      <w:r w:rsidR="00D31494" w:rsidRPr="00942C19">
        <w:t>drawls</w:t>
      </w:r>
      <w:r w:rsidRPr="00942C19">
        <w:t xml:space="preserve"> or over generation) of UI rate at the periphery of regional entity.” </w:t>
      </w:r>
    </w:p>
    <w:p w:rsidR="00A72BF3" w:rsidRPr="00942C19" w:rsidRDefault="00A72BF3" w:rsidP="00A72BF3">
      <w:pPr>
        <w:pStyle w:val="Default"/>
        <w:ind w:left="216" w:firstLine="720"/>
        <w:rPr>
          <w:rFonts w:cs="Arial"/>
          <w:bCs/>
          <w:color w:val="auto"/>
          <w:szCs w:val="26"/>
          <w:lang w:val="en-GB"/>
        </w:rPr>
      </w:pPr>
    </w:p>
    <w:p w:rsidR="00A72BF3" w:rsidRPr="00942C19" w:rsidRDefault="00A72BF3" w:rsidP="00A72BF3">
      <w:pPr>
        <w:pStyle w:val="Default"/>
        <w:ind w:left="216" w:firstLine="720"/>
        <w:rPr>
          <w:rFonts w:cs="Arial"/>
          <w:bCs/>
          <w:color w:val="auto"/>
          <w:szCs w:val="26"/>
          <w:lang w:val="en-GB"/>
        </w:rPr>
      </w:pPr>
      <w:r w:rsidRPr="00942C19">
        <w:rPr>
          <w:rFonts w:cs="Arial"/>
          <w:bCs/>
          <w:color w:val="auto"/>
          <w:szCs w:val="26"/>
          <w:lang w:val="en-GB"/>
        </w:rPr>
        <w:t xml:space="preserve">And which further provides that: </w:t>
      </w:r>
    </w:p>
    <w:p w:rsidR="00A72BF3" w:rsidRPr="00942C19" w:rsidRDefault="00A72BF3" w:rsidP="00A72BF3">
      <w:pPr>
        <w:pStyle w:val="Heading3"/>
        <w:numPr>
          <w:ilvl w:val="0"/>
          <w:numId w:val="0"/>
        </w:numPr>
        <w:ind w:left="936"/>
        <w:rPr>
          <w:i/>
          <w:iCs/>
          <w:szCs w:val="24"/>
        </w:rPr>
      </w:pPr>
      <w:r w:rsidRPr="00942C19">
        <w:rPr>
          <w:i/>
          <w:iCs/>
          <w:szCs w:val="24"/>
        </w:rPr>
        <w:t>“In an interconnection (integrated A.C. grid), since MW deviations from schedule of an entity are met from the entire grid, and the local utility is not solely responsible for absorbing these deviations, restrictions regarding magnitude of deviations (except on account of over-stressing of concerned transmission or distribution system), and charges other than those applicable in accordance with these regulation (such as standby charges, grid support charges, parallel operation charges) shall not be imposed by the State Utilities on the customers of inter-State open access.”</w:t>
      </w:r>
    </w:p>
    <w:p w:rsidR="00A44CA7" w:rsidRPr="00942C19" w:rsidRDefault="00A44CA7">
      <w:pPr>
        <w:spacing w:before="0"/>
      </w:pPr>
    </w:p>
    <w:p w:rsidR="00A44CA7" w:rsidRPr="00942C19" w:rsidRDefault="00A72BF3">
      <w:pPr>
        <w:pStyle w:val="Heading3"/>
        <w:numPr>
          <w:ilvl w:val="0"/>
          <w:numId w:val="0"/>
        </w:numPr>
        <w:spacing w:before="0"/>
        <w:ind w:left="936"/>
        <w:rPr>
          <w:b/>
          <w:bCs w:val="0"/>
          <w:color w:val="333399"/>
          <w:kern w:val="32"/>
          <w:szCs w:val="32"/>
        </w:rPr>
      </w:pPr>
      <w:r w:rsidRPr="00942C19">
        <w:t xml:space="preserve">The Commission prescribes to the philosophy specified by CERC for the Unscheduled Interchange and also rules that the standby, grid support and parallel operations charges shall be </w:t>
      </w:r>
      <w:r w:rsidRPr="00942C19">
        <w:rPr>
          <w:b/>
        </w:rPr>
        <w:t xml:space="preserve">zero </w:t>
      </w:r>
      <w:r w:rsidRPr="00942C19">
        <w:t>in case of Open Access consumer.</w:t>
      </w:r>
      <w:bookmarkStart w:id="809" w:name="_Toc337201443"/>
      <w:r w:rsidRPr="00942C19">
        <w:br w:type="page"/>
      </w:r>
    </w:p>
    <w:p w:rsidR="00A72BF3" w:rsidRPr="00942C19" w:rsidRDefault="00A72BF3" w:rsidP="00A72BF3">
      <w:pPr>
        <w:pStyle w:val="Heading1"/>
        <w:numPr>
          <w:ilvl w:val="0"/>
          <w:numId w:val="1"/>
        </w:numPr>
      </w:pPr>
      <w:bookmarkStart w:id="810" w:name="_Toc357345046"/>
      <w:bookmarkStart w:id="811" w:name="_Toc357714423"/>
      <w:r w:rsidRPr="00942C19">
        <w:t>TARIFF PHILOSPHY</w:t>
      </w:r>
      <w:bookmarkEnd w:id="809"/>
      <w:bookmarkEnd w:id="810"/>
      <w:bookmarkEnd w:id="811"/>
    </w:p>
    <w:p w:rsidR="00A72BF3" w:rsidRPr="00942C19" w:rsidRDefault="00A72BF3" w:rsidP="00A72BF3"/>
    <w:p w:rsidR="00B33B51" w:rsidRPr="00942C19" w:rsidRDefault="00B33B51" w:rsidP="00B33B51">
      <w:pPr>
        <w:pStyle w:val="Heading2"/>
        <w:keepNext/>
        <w:numPr>
          <w:ilvl w:val="1"/>
          <w:numId w:val="1"/>
        </w:numPr>
        <w:autoSpaceDE/>
        <w:autoSpaceDN/>
        <w:adjustRightInd/>
        <w:spacing w:before="0" w:line="276" w:lineRule="auto"/>
        <w:contextualSpacing w:val="0"/>
      </w:pPr>
      <w:bookmarkStart w:id="812" w:name="_Toc357714424"/>
      <w:bookmarkStart w:id="813" w:name="_Toc337201444"/>
      <w:bookmarkStart w:id="814" w:name="_Toc357345047"/>
      <w:r w:rsidRPr="00942C19">
        <w:t>CONSIDERATIONS IN TARIFF DESIGN</w:t>
      </w:r>
      <w:bookmarkEnd w:id="812"/>
    </w:p>
    <w:p w:rsidR="00B33B51" w:rsidRPr="00942C19" w:rsidRDefault="00B33B51" w:rsidP="00B33B51"/>
    <w:p w:rsidR="00B33B51" w:rsidRPr="00942C19" w:rsidRDefault="00B33B51" w:rsidP="00B33B51">
      <w:pPr>
        <w:pStyle w:val="Heading3"/>
        <w:numPr>
          <w:ilvl w:val="2"/>
          <w:numId w:val="1"/>
        </w:numPr>
        <w:spacing w:before="0"/>
      </w:pPr>
      <w:r w:rsidRPr="00942C19">
        <w:t>Section 62 of the Electricity Act 2003, read with Section 24 of the Uttar Pradesh Electricity Reform Act, 1999 sets out the overall principles for the Commission to determine the final tariffs for all categories of consumers defined and differentiated according to consumer’s load factor, power factor, voltage, total consumption of energy during any specified period or the time at which supply is required or the geographical position of any area, nature of supply and the purpose for which the supply is required. The overall mandate of the statutory legislations to the Commission is to adopt factors that will encourage efficiency, economical use of the resources, good performance, optimum investments and observance of the conditions of the License.</w:t>
      </w:r>
    </w:p>
    <w:p w:rsidR="00B33B51" w:rsidRPr="00942C19" w:rsidRDefault="00B33B51" w:rsidP="00B33B51">
      <w:pPr>
        <w:pStyle w:val="Heading3"/>
        <w:numPr>
          <w:ilvl w:val="0"/>
          <w:numId w:val="0"/>
        </w:numPr>
        <w:spacing w:before="0"/>
        <w:ind w:left="720"/>
      </w:pPr>
    </w:p>
    <w:p w:rsidR="00B33B51" w:rsidRPr="00942C19" w:rsidRDefault="00B33B51" w:rsidP="00B33B51">
      <w:pPr>
        <w:pStyle w:val="Heading3"/>
        <w:numPr>
          <w:ilvl w:val="2"/>
          <w:numId w:val="1"/>
        </w:numPr>
        <w:spacing w:before="0"/>
      </w:pPr>
      <w:r w:rsidRPr="00942C19">
        <w:t>The linkage of tariffs to cost of service and elimination of cross-subsidies is an important feature of the Electricity Act, 2003. Section 61 (g) of the Electricity Act, 2003 states that the tariffs should progressively reflect the cost of supply and it also requires the Commission to reduce cross subsidies within a timeframe specified by it. The need for progressive reduction of cross subsidies has also been underlined in Sections 39, 40 and 42 of the Electricity Act, 2003. The Tariff Policy also advocates for adoption of average cost of supply, which should be taken as reference point for fixing the tariff bands for different categories.</w:t>
      </w:r>
    </w:p>
    <w:p w:rsidR="00B33B51" w:rsidRPr="00942C19" w:rsidRDefault="00B33B51" w:rsidP="00B33B51">
      <w:pPr>
        <w:pStyle w:val="Heading3"/>
        <w:numPr>
          <w:ilvl w:val="0"/>
          <w:numId w:val="0"/>
        </w:numPr>
        <w:spacing w:before="0"/>
        <w:ind w:left="720"/>
      </w:pPr>
    </w:p>
    <w:p w:rsidR="00B33B51" w:rsidRPr="00942C19" w:rsidRDefault="00B33B51" w:rsidP="00B33B51">
      <w:pPr>
        <w:pStyle w:val="Heading3"/>
        <w:numPr>
          <w:ilvl w:val="2"/>
          <w:numId w:val="1"/>
        </w:numPr>
        <w:spacing w:before="0"/>
      </w:pPr>
      <w:r w:rsidRPr="00942C19">
        <w:t xml:space="preserve">The Commission has determined the retail tariff for FY 2013-14 in view of the guiding principles as stated in the Electricity Act, 2003 and Tariff Policy. The Commission has also considered the comments / suggestions / objections of the stakeholders and public at large while determining the tariffs. The Commission in its past Orders has laid emphasis on adoption of factors that encourages economy, efficiency, effective performance, autonomy, regulatory discipline and improved conditions of supply. On these lines, the Commission, in this Order too, has applied similar principles keeping in view the ground realities. </w:t>
      </w:r>
    </w:p>
    <w:p w:rsidR="00B33B51" w:rsidRPr="00942C19" w:rsidRDefault="00B33B51" w:rsidP="00B33B51">
      <w:pPr>
        <w:pStyle w:val="Default"/>
        <w:spacing w:line="276" w:lineRule="auto"/>
        <w:jc w:val="both"/>
        <w:rPr>
          <w:rFonts w:asciiTheme="minorHAnsi" w:hAnsiTheme="minorHAnsi" w:cstheme="minorHAnsi"/>
        </w:rPr>
      </w:pPr>
    </w:p>
    <w:p w:rsidR="00B33B51" w:rsidRPr="00942C19" w:rsidRDefault="00B33B51" w:rsidP="00B33B51">
      <w:pPr>
        <w:pStyle w:val="Heading3"/>
        <w:numPr>
          <w:ilvl w:val="2"/>
          <w:numId w:val="1"/>
        </w:numPr>
        <w:spacing w:before="0"/>
      </w:pPr>
      <w:r w:rsidRPr="00942C19">
        <w:t>As</w:t>
      </w:r>
      <w:r w:rsidRPr="00942C19">
        <w:rPr>
          <w:b/>
        </w:rPr>
        <w:t xml:space="preserve"> </w:t>
      </w:r>
      <w:r w:rsidRPr="00942C19">
        <w:t>regards to the linkage of Tariff with the Cost of Service, the Distribution Tariff Regulations state as follows:</w:t>
      </w:r>
    </w:p>
    <w:p w:rsidR="00B33B51" w:rsidRPr="00942C19" w:rsidRDefault="00B33B51" w:rsidP="00B33B51">
      <w:pPr>
        <w:pStyle w:val="Default"/>
        <w:spacing w:line="276" w:lineRule="auto"/>
        <w:jc w:val="both"/>
        <w:rPr>
          <w:rFonts w:asciiTheme="minorHAnsi" w:hAnsiTheme="minorHAnsi" w:cstheme="minorHAnsi"/>
          <w:bCs/>
        </w:rPr>
      </w:pPr>
    </w:p>
    <w:p w:rsidR="00B33B51" w:rsidRPr="00942C19" w:rsidRDefault="00B33B51" w:rsidP="00B33B51">
      <w:pPr>
        <w:autoSpaceDE w:val="0"/>
        <w:autoSpaceDN w:val="0"/>
        <w:adjustRightInd w:val="0"/>
        <w:spacing w:before="0"/>
        <w:ind w:left="720"/>
        <w:rPr>
          <w:rFonts w:asciiTheme="minorHAnsi" w:hAnsiTheme="minorHAnsi" w:cstheme="minorHAnsi"/>
          <w:i/>
        </w:rPr>
      </w:pPr>
      <w:r w:rsidRPr="00942C19">
        <w:rPr>
          <w:rFonts w:asciiTheme="minorHAnsi" w:hAnsiTheme="minorHAnsi" w:cstheme="minorHAnsi"/>
          <w:i/>
        </w:rPr>
        <w:t>“1. The tariffs for various categories / voltages shall progressively reflect Licensee’s cost to serve a particular category at a particular voltage. Allocation of all costs prudently incurred by the Distribution Licensee to different category of consumers shall form the basis of assessing cost to serve of a particular category. Pending availability of information that reasonably establishes the category-wise / voltage-wise cost to serve, average cost of supply shall be used for determining tariffs taking into account the fact that existing cross subsidies will be reduced gradually. Every Licensee shall provide to the Commission an accurate cost to serve study for its area. The category-wise/ voltage wise cost to serve should factor in such characteristics as supply hours, the load factor, voltage, extent of technical and commercial losses etc.</w:t>
      </w:r>
    </w:p>
    <w:p w:rsidR="00B33B51" w:rsidRPr="00942C19" w:rsidRDefault="00B33B51" w:rsidP="00B33B51">
      <w:pPr>
        <w:autoSpaceDE w:val="0"/>
        <w:autoSpaceDN w:val="0"/>
        <w:adjustRightInd w:val="0"/>
        <w:spacing w:before="0"/>
        <w:ind w:left="720"/>
        <w:rPr>
          <w:rFonts w:asciiTheme="minorHAnsi" w:hAnsiTheme="minorHAnsi" w:cstheme="minorHAnsi"/>
          <w:i/>
        </w:rPr>
      </w:pPr>
    </w:p>
    <w:p w:rsidR="00B33B51" w:rsidRPr="00942C19" w:rsidRDefault="00B33B51" w:rsidP="00B33B51">
      <w:pPr>
        <w:autoSpaceDE w:val="0"/>
        <w:autoSpaceDN w:val="0"/>
        <w:adjustRightInd w:val="0"/>
        <w:ind w:left="720"/>
        <w:rPr>
          <w:rFonts w:asciiTheme="minorHAnsi" w:hAnsiTheme="minorHAnsi" w:cstheme="minorHAnsi"/>
          <w:b/>
          <w:bCs/>
          <w:i/>
        </w:rPr>
      </w:pPr>
      <w:r w:rsidRPr="00942C19">
        <w:rPr>
          <w:rFonts w:asciiTheme="minorHAnsi" w:hAnsiTheme="minorHAnsi" w:cstheme="minorHAnsi"/>
          <w:i/>
        </w:rPr>
        <w:t>2. To achieve the objective that the tariff progressively reflects the cost of supply of electricity, the Commission may notify a roadmap with a target that latest by the end of year 2010-2011 tariffs are within ± 20 % of the average cost of supply. The road map shall also have intermediate milestones, based on the approach of a gradual reduction in cross subsidy.”</w:t>
      </w:r>
      <w:r w:rsidRPr="00942C19">
        <w:rPr>
          <w:rFonts w:asciiTheme="minorHAnsi" w:hAnsiTheme="minorHAnsi" w:cstheme="minorHAnsi"/>
          <w:b/>
          <w:bCs/>
          <w:i/>
        </w:rPr>
        <w:t xml:space="preserve"> </w:t>
      </w:r>
    </w:p>
    <w:p w:rsidR="00B33B51" w:rsidRPr="00942C19" w:rsidRDefault="00B33B51" w:rsidP="00B33B51">
      <w:pPr>
        <w:pStyle w:val="Default"/>
        <w:spacing w:line="276" w:lineRule="auto"/>
        <w:jc w:val="both"/>
        <w:rPr>
          <w:rFonts w:asciiTheme="minorHAnsi" w:hAnsiTheme="minorHAnsi" w:cstheme="minorHAnsi"/>
          <w:b/>
          <w:bCs/>
        </w:rPr>
      </w:pPr>
    </w:p>
    <w:p w:rsidR="00B33B51" w:rsidRPr="00942C19" w:rsidRDefault="00B33B51" w:rsidP="00B33B51">
      <w:pPr>
        <w:pStyle w:val="Heading3"/>
        <w:numPr>
          <w:ilvl w:val="2"/>
          <w:numId w:val="1"/>
        </w:numPr>
        <w:spacing w:before="0"/>
      </w:pPr>
      <w:r w:rsidRPr="00942C19">
        <w:t>In terms of the Distribution Tariff Regulations, Tariff Policy and the Electricity Act, 2003, the Commission opines that in the ideal scenario, the tariff of any category should be linked to the cost imposed on the system by the said category. In this regard, the Commission has been directing the Licensee to conduct Cost of Service studies to have a tool for alignment of costs and charges. The Licensee has not submitted any details regarding the cost of service studies for each category or voltage level. The paucity of data in this regard has restricted the Commission in establishing a linkage of tariff to average cost of supply.</w:t>
      </w:r>
    </w:p>
    <w:p w:rsidR="00B33B51" w:rsidRPr="00942C19" w:rsidRDefault="00B33B51" w:rsidP="00B33B51">
      <w:pPr>
        <w:pStyle w:val="Default"/>
        <w:spacing w:line="276" w:lineRule="auto"/>
        <w:jc w:val="both"/>
        <w:rPr>
          <w:rFonts w:asciiTheme="minorHAnsi" w:hAnsiTheme="minorHAnsi" w:cstheme="minorHAnsi"/>
        </w:rPr>
      </w:pPr>
    </w:p>
    <w:p w:rsidR="00B33B51" w:rsidRPr="00942C19" w:rsidRDefault="00B33B51" w:rsidP="00B33B51">
      <w:pPr>
        <w:pStyle w:val="Heading3"/>
        <w:numPr>
          <w:ilvl w:val="2"/>
          <w:numId w:val="1"/>
        </w:numPr>
        <w:spacing w:before="0"/>
      </w:pPr>
      <w:r w:rsidRPr="00942C19">
        <w:t xml:space="preserve">Accordingly, while determining the tariff for each category, the Commission has looked into the relationship between the tariff and the overall average cost of supply for FY 2013-14. In case the tariff is at / near 120% of the average cost of supply, no increase has been approved, as they are already at maximum end of the band. However, effort has been made to move the tariff of appropriate consumer categories, towards the band to meet the declared objectives of the Distribution Tariff Regulations, Tariff Policy and the Electricity Act, 2003. </w:t>
      </w:r>
    </w:p>
    <w:p w:rsidR="00B33B51" w:rsidRPr="00942C19" w:rsidRDefault="00B33B51" w:rsidP="00B33B51">
      <w:pPr>
        <w:pStyle w:val="ListParagraph"/>
        <w:rPr>
          <w:rFonts w:asciiTheme="minorHAnsi" w:hAnsiTheme="minorHAnsi" w:cstheme="minorHAnsi"/>
        </w:rPr>
      </w:pPr>
    </w:p>
    <w:p w:rsidR="00B33B51" w:rsidRPr="00942C19" w:rsidRDefault="00B33B51" w:rsidP="00B33B51">
      <w:pPr>
        <w:pStyle w:val="Heading3"/>
        <w:numPr>
          <w:ilvl w:val="2"/>
          <w:numId w:val="1"/>
        </w:numPr>
        <w:spacing w:before="0"/>
      </w:pPr>
      <w:r w:rsidRPr="00942C19">
        <w:t>In view of the above, the Commission has determined the retail tariff keeping in the mind the guiding principles as stated in Section 61 of the Electricity Act, 2003.</w:t>
      </w:r>
      <w:r w:rsidRPr="00942C19" w:rsidDel="00037C69">
        <w:t xml:space="preserve"> </w:t>
      </w:r>
      <w:r w:rsidRPr="00942C19">
        <w:t>The accumulated gap of FY 2013-14 for Consolidated Discoms</w:t>
      </w:r>
      <w:r w:rsidRPr="00942C19">
        <w:rPr>
          <w:rStyle w:val="FootnoteReference"/>
          <w:rFonts w:asciiTheme="minorHAnsi" w:hAnsiTheme="minorHAnsi"/>
          <w:sz w:val="22"/>
          <w:szCs w:val="22"/>
        </w:rPr>
        <w:footnoteReference w:id="1"/>
      </w:r>
      <w:r w:rsidRPr="00942C19">
        <w:t xml:space="preserve"> is Rs. 3,654 crores</w:t>
      </w:r>
      <w:r w:rsidRPr="00942C19">
        <w:rPr>
          <w:rStyle w:val="FootnoteReference"/>
        </w:rPr>
        <w:footnoteReference w:id="2"/>
      </w:r>
      <w:r w:rsidRPr="00942C19">
        <w:t>. An increase in tariff is inevitable keeping in view the increase in cost of supply over the period and resultant poor cost coverage and in the absence of cost reflective tariff. Therefore the Commission has decided to increase the tariff as detailed in the subsequent sections to ensure part recovery of revenue gap.</w:t>
      </w:r>
    </w:p>
    <w:p w:rsidR="00B33B51" w:rsidRPr="00942C19" w:rsidRDefault="00B33B51" w:rsidP="00B33B51">
      <w:pPr>
        <w:pStyle w:val="Heading3"/>
        <w:numPr>
          <w:ilvl w:val="0"/>
          <w:numId w:val="0"/>
        </w:numPr>
        <w:spacing w:before="0"/>
        <w:ind w:left="720"/>
      </w:pPr>
    </w:p>
    <w:p w:rsidR="00B33B51" w:rsidRPr="00942C19" w:rsidRDefault="00B33B51" w:rsidP="00B33B51">
      <w:pPr>
        <w:pStyle w:val="Heading3"/>
        <w:numPr>
          <w:ilvl w:val="2"/>
          <w:numId w:val="1"/>
        </w:numPr>
        <w:spacing w:before="0"/>
      </w:pPr>
      <w:r w:rsidRPr="00942C19">
        <w:t xml:space="preserve">It is a fact that despite categorical provision under Electricity Act, 2003 to necessarily achieve 100% metering, large chunk of rural consumers are still un-metered in the State. In Uttar Pradesh, predominant proportion of rural consumers either in domestic category (LMV-1) or in commercial (LMV-2) and pump set (LMV-5) category continue to be billed under un-metered category. The situation cannot be changed overnight however; the Commission feels that unless very clear incentives and disincentives are build into the system, the vision of universal metering would remain merely a wishful and glorious intention of the legislature. </w:t>
      </w:r>
    </w:p>
    <w:p w:rsidR="00B33B51" w:rsidRPr="00942C19" w:rsidRDefault="00B33B51" w:rsidP="00B33B51">
      <w:pPr>
        <w:pStyle w:val="Heading3"/>
        <w:numPr>
          <w:ilvl w:val="0"/>
          <w:numId w:val="0"/>
        </w:numPr>
        <w:spacing w:before="0"/>
        <w:ind w:left="720"/>
      </w:pPr>
    </w:p>
    <w:p w:rsidR="00B33B51" w:rsidRPr="00942C19" w:rsidRDefault="00B33B51" w:rsidP="00B33B51">
      <w:pPr>
        <w:pStyle w:val="Heading3"/>
        <w:numPr>
          <w:ilvl w:val="2"/>
          <w:numId w:val="1"/>
        </w:numPr>
        <w:spacing w:before="0"/>
      </w:pPr>
      <w:r w:rsidRPr="00942C19">
        <w:t>The Commission in its pursuit of achieving the mandate of 100% metering is consciously increasing the tariff of un-metered consumers’ vis-à-vis metered consumers to discourage unmetered connections. In this regard, the Commission has increased the rates for unmetered category in LMV–1 (Domestic Light, Fan and Power), LMV–2 (Non Domestic Light, Fan and Power), LMV-3 (Public Lamps), LMV–5 (Small Power for Private Tube Wells / Pumping Sets for Irrigation Purposes), LMV–8 (State Tube Wells / Panchayti Raj Tube Well and Pumped Canals) and LMV–10 (Departmental Employees and Pensioners). Therefore, impetus to metering is at the nucleus of present rate design.</w:t>
      </w:r>
    </w:p>
    <w:p w:rsidR="00B33B51" w:rsidRPr="00942C19" w:rsidRDefault="00B33B51" w:rsidP="00B33B51">
      <w:pPr>
        <w:pStyle w:val="Default"/>
        <w:spacing w:line="276" w:lineRule="auto"/>
        <w:jc w:val="both"/>
        <w:rPr>
          <w:rFonts w:asciiTheme="minorHAnsi" w:hAnsiTheme="minorHAnsi" w:cstheme="minorHAnsi"/>
        </w:rPr>
      </w:pPr>
    </w:p>
    <w:p w:rsidR="00B33B51" w:rsidRPr="00942C19" w:rsidRDefault="00B33B51" w:rsidP="00B33B51">
      <w:pPr>
        <w:pStyle w:val="Heading3"/>
        <w:numPr>
          <w:ilvl w:val="2"/>
          <w:numId w:val="1"/>
        </w:numPr>
        <w:spacing w:before="0"/>
      </w:pPr>
      <w:r w:rsidRPr="00942C19">
        <w:t>There has been no hike in the tariffs of urban metered consumers since the last three years. However, the cost of supply has gone up tremendously in the last few years. Accordingly, the Commission has increased the tariffs for other metered domestic consumers. The Commission has also created a new slab for consumers having monthly consumption above 500 units.</w:t>
      </w:r>
    </w:p>
    <w:p w:rsidR="00B33B51" w:rsidRPr="00942C19" w:rsidRDefault="00B33B51" w:rsidP="00B33B51">
      <w:pPr>
        <w:pStyle w:val="Heading3"/>
        <w:numPr>
          <w:ilvl w:val="0"/>
          <w:numId w:val="0"/>
        </w:numPr>
        <w:spacing w:before="0"/>
        <w:ind w:left="720"/>
      </w:pPr>
      <w:r w:rsidRPr="00942C19">
        <w:t xml:space="preserve"> </w:t>
      </w:r>
    </w:p>
    <w:p w:rsidR="00B33B51" w:rsidRPr="00942C19" w:rsidRDefault="00B33B51" w:rsidP="00B33B51">
      <w:pPr>
        <w:pStyle w:val="Heading3"/>
        <w:numPr>
          <w:ilvl w:val="2"/>
          <w:numId w:val="1"/>
        </w:numPr>
        <w:spacing w:before="0"/>
      </w:pPr>
      <w:r w:rsidRPr="00942C19">
        <w:t>The Commission understands that the lifeline consumers are one of the most disadvantaged consumers of the State and considering this, the Commission has only increased their rates marginally.</w:t>
      </w:r>
    </w:p>
    <w:p w:rsidR="00B33B51" w:rsidRPr="00942C19" w:rsidRDefault="00B33B51" w:rsidP="00B33B51">
      <w:pPr>
        <w:pStyle w:val="Heading3"/>
        <w:numPr>
          <w:ilvl w:val="0"/>
          <w:numId w:val="0"/>
        </w:numPr>
        <w:spacing w:before="0"/>
        <w:ind w:left="720"/>
      </w:pPr>
    </w:p>
    <w:p w:rsidR="00155FB3" w:rsidRPr="00942C19" w:rsidRDefault="00B33B51" w:rsidP="00155FB3">
      <w:pPr>
        <w:pStyle w:val="Heading3"/>
        <w:numPr>
          <w:ilvl w:val="2"/>
          <w:numId w:val="1"/>
        </w:numPr>
        <w:spacing w:before="0"/>
      </w:pPr>
      <w:r w:rsidRPr="00942C19">
        <w:t>The LMV-2 (Non Domestic Light, Fan and Power) and LMV-6 (Small and Medium Power) contribute significantly to the revenue stream of the Licensee. With advanced technological intervention and substantial investments being undertaken by the Licensees’ under R-APDRP works, etc, the application of minimum charges on LMV-2 (Non Domestic Light, Fan and Power) and LMV-6 (Small and Medium Power) categories has been withdrawn.</w:t>
      </w:r>
    </w:p>
    <w:p w:rsidR="00155FB3" w:rsidRPr="00942C19" w:rsidRDefault="00155FB3" w:rsidP="00155FB3">
      <w:pPr>
        <w:pStyle w:val="Heading3"/>
        <w:numPr>
          <w:ilvl w:val="0"/>
          <w:numId w:val="0"/>
        </w:numPr>
        <w:spacing w:before="0"/>
        <w:ind w:left="720"/>
      </w:pPr>
    </w:p>
    <w:p w:rsidR="00155FB3" w:rsidRPr="00A120A8" w:rsidRDefault="00B33B51" w:rsidP="00155FB3">
      <w:pPr>
        <w:pStyle w:val="Heading3"/>
        <w:numPr>
          <w:ilvl w:val="2"/>
          <w:numId w:val="1"/>
        </w:numPr>
        <w:spacing w:before="0"/>
        <w:rPr>
          <w:b/>
        </w:rPr>
      </w:pPr>
      <w:r w:rsidRPr="00942C19">
        <w:t>As in the previous Tariff Order of FY 2012-13 dated 19</w:t>
      </w:r>
      <w:r w:rsidR="00155FB3" w:rsidRPr="00942C19">
        <w:rPr>
          <w:vertAlign w:val="superscript"/>
        </w:rPr>
        <w:t>th</w:t>
      </w:r>
      <w:r w:rsidRPr="00942C19">
        <w:t xml:space="preserve"> October, 2012, a good rise was given to tariffs of HV-2 (Large and Heavy Power) category. Since the tariff of such category of consumers is already above cost of service, they have been spared from any tariff revision.</w:t>
      </w:r>
      <w:bookmarkEnd w:id="813"/>
      <w:bookmarkEnd w:id="814"/>
    </w:p>
    <w:p w:rsidR="00A120A8" w:rsidRDefault="00A120A8" w:rsidP="00A120A8">
      <w:pPr>
        <w:pStyle w:val="ListParagraph"/>
        <w:rPr>
          <w:b/>
        </w:rPr>
      </w:pPr>
    </w:p>
    <w:p w:rsidR="00A120A8" w:rsidRPr="002D685B" w:rsidRDefault="00A120A8" w:rsidP="00A120A8">
      <w:pPr>
        <w:pStyle w:val="Heading3"/>
        <w:numPr>
          <w:ilvl w:val="2"/>
          <w:numId w:val="1"/>
        </w:numPr>
        <w:spacing w:before="0"/>
      </w:pPr>
      <w:r w:rsidRPr="002D685B">
        <w:t xml:space="preserve">The </w:t>
      </w:r>
      <w:r>
        <w:t>applicability,</w:t>
      </w:r>
      <w:r w:rsidRPr="002D685B">
        <w:t xml:space="preserve"> character and p</w:t>
      </w:r>
      <w:r>
        <w:t>o</w:t>
      </w:r>
      <w:r w:rsidRPr="002D685B">
        <w:t xml:space="preserve">int of supply and </w:t>
      </w:r>
      <w:r>
        <w:t>o</w:t>
      </w:r>
      <w:r w:rsidRPr="002D685B">
        <w:t xml:space="preserve">ther </w:t>
      </w:r>
      <w:r>
        <w:t>ter</w:t>
      </w:r>
      <w:r w:rsidRPr="002D685B">
        <w:t xml:space="preserve">ms </w:t>
      </w:r>
      <w:r>
        <w:t>&amp;</w:t>
      </w:r>
      <w:r w:rsidRPr="002D685B">
        <w:t xml:space="preserve"> conditions of different consumer categories have been defined in the Rate Schedule given in </w:t>
      </w:r>
      <w:r w:rsidRPr="002D685B">
        <w:rPr>
          <w:b/>
        </w:rPr>
        <w:t>ANNEXURE 10.2</w:t>
      </w:r>
      <w:r w:rsidRPr="002D685B">
        <w:t>. In case of any inconformity, the Rate schedule shall prevail over the details given in the various sections of this Order.</w:t>
      </w:r>
    </w:p>
    <w:p w:rsidR="00A120A8" w:rsidRPr="00942C19" w:rsidRDefault="00A120A8" w:rsidP="00A120A8">
      <w:pPr>
        <w:pStyle w:val="Heading3"/>
        <w:numPr>
          <w:ilvl w:val="0"/>
          <w:numId w:val="0"/>
        </w:numPr>
        <w:spacing w:before="0"/>
        <w:ind w:left="720"/>
        <w:rPr>
          <w:b/>
        </w:rPr>
      </w:pPr>
    </w:p>
    <w:p w:rsidR="00A72BF3" w:rsidRPr="00942C19" w:rsidRDefault="00A72BF3" w:rsidP="00A72BF3">
      <w:pPr>
        <w:jc w:val="center"/>
        <w:rPr>
          <w:rFonts w:asciiTheme="minorHAnsi" w:eastAsiaTheme="minorHAnsi" w:hAnsiTheme="minorHAnsi" w:cstheme="minorHAnsi"/>
        </w:rPr>
      </w:pPr>
      <w:bookmarkStart w:id="815" w:name="_GoBack"/>
      <w:bookmarkEnd w:id="815"/>
    </w:p>
    <w:p w:rsidR="00A72BF3" w:rsidRPr="00942C19" w:rsidRDefault="00A72BF3" w:rsidP="00A72BF3">
      <w:pPr>
        <w:jc w:val="left"/>
        <w:rPr>
          <w:rFonts w:asciiTheme="minorHAnsi" w:eastAsiaTheme="minorHAnsi" w:hAnsiTheme="minorHAnsi" w:cstheme="minorHAnsi"/>
          <w:color w:val="000000"/>
          <w:lang w:val="en-US"/>
        </w:rPr>
      </w:pPr>
      <w:r w:rsidRPr="00942C19">
        <w:rPr>
          <w:rFonts w:asciiTheme="minorHAnsi" w:eastAsiaTheme="minorHAnsi" w:hAnsiTheme="minorHAnsi" w:cstheme="minorHAnsi"/>
        </w:rPr>
        <w:br w:type="page"/>
      </w:r>
    </w:p>
    <w:p w:rsidR="00A72BF3" w:rsidRPr="00942C19" w:rsidRDefault="00A72BF3" w:rsidP="00A72BF3">
      <w:pPr>
        <w:pStyle w:val="Heading1"/>
        <w:numPr>
          <w:ilvl w:val="0"/>
          <w:numId w:val="1"/>
        </w:numPr>
      </w:pPr>
      <w:bookmarkStart w:id="816" w:name="_Toc336615948"/>
      <w:bookmarkStart w:id="817" w:name="_Toc336608362"/>
      <w:bookmarkStart w:id="818" w:name="_Toc336574921"/>
      <w:bookmarkStart w:id="819" w:name="_Toc357345049"/>
      <w:bookmarkStart w:id="820" w:name="_Toc357714425"/>
      <w:r w:rsidRPr="00942C19">
        <w:t>REVENUE AT PROPOSED TARIFF AND REVENUE GAP:</w:t>
      </w:r>
      <w:bookmarkEnd w:id="816"/>
      <w:bookmarkEnd w:id="817"/>
      <w:bookmarkEnd w:id="818"/>
      <w:bookmarkEnd w:id="819"/>
      <w:bookmarkEnd w:id="820"/>
    </w:p>
    <w:p w:rsidR="00A44CA7" w:rsidRPr="00942C19" w:rsidRDefault="00A44CA7">
      <w:pPr>
        <w:pStyle w:val="Heading2"/>
        <w:keepNext/>
        <w:numPr>
          <w:ilvl w:val="0"/>
          <w:numId w:val="0"/>
        </w:numPr>
        <w:autoSpaceDE/>
        <w:autoSpaceDN/>
        <w:adjustRightInd/>
        <w:spacing w:before="0" w:line="276" w:lineRule="auto"/>
        <w:ind w:left="576"/>
        <w:contextualSpacing w:val="0"/>
      </w:pPr>
      <w:bookmarkStart w:id="821" w:name="_Toc336615949"/>
      <w:bookmarkStart w:id="822" w:name="_Toc336608363"/>
      <w:bookmarkStart w:id="823" w:name="_Toc336574922"/>
      <w:bookmarkStart w:id="824" w:name="_Toc357345050"/>
    </w:p>
    <w:p w:rsidR="00B13F1A" w:rsidRPr="00942C19" w:rsidRDefault="00A72BF3">
      <w:pPr>
        <w:pStyle w:val="Heading2"/>
        <w:keepNext/>
        <w:numPr>
          <w:ilvl w:val="1"/>
          <w:numId w:val="1"/>
        </w:numPr>
        <w:autoSpaceDE/>
        <w:autoSpaceDN/>
        <w:adjustRightInd/>
        <w:spacing w:before="0" w:line="276" w:lineRule="auto"/>
        <w:contextualSpacing w:val="0"/>
      </w:pPr>
      <w:bookmarkStart w:id="825" w:name="_Toc357714426"/>
      <w:r w:rsidRPr="00942C19">
        <w:t>REVENUE FROM SALE OF POWER AT APPROVED TARIFF</w:t>
      </w:r>
      <w:bookmarkEnd w:id="821"/>
      <w:bookmarkEnd w:id="822"/>
      <w:bookmarkEnd w:id="823"/>
      <w:bookmarkEnd w:id="824"/>
      <w:bookmarkEnd w:id="825"/>
    </w:p>
    <w:p w:rsidR="00A44CA7" w:rsidRPr="00942C19" w:rsidRDefault="00A44CA7">
      <w:pPr>
        <w:spacing w:before="0"/>
      </w:pPr>
    </w:p>
    <w:p w:rsidR="00B13F1A" w:rsidRPr="00942C19" w:rsidRDefault="00A72BF3">
      <w:pPr>
        <w:pStyle w:val="Heading3"/>
        <w:numPr>
          <w:ilvl w:val="2"/>
          <w:numId w:val="1"/>
        </w:numPr>
        <w:spacing w:before="0"/>
      </w:pPr>
      <w:r w:rsidRPr="00942C19">
        <w:t xml:space="preserve">The Commission as detailed in the previous chapter has increased the tariff for different categories. </w:t>
      </w:r>
      <w:r w:rsidR="004A205B" w:rsidRPr="00942C19">
        <w:rPr>
          <w:rFonts w:asciiTheme="minorHAnsi" w:hAnsiTheme="minorHAnsi" w:cstheme="minorHAnsi"/>
        </w:rPr>
        <w:t xml:space="preserve">The tariffs so published shall become the notified tariffs </w:t>
      </w:r>
      <w:r w:rsidR="004A205B" w:rsidRPr="00942C19">
        <w:t xml:space="preserve">applicable in the area of supply </w:t>
      </w:r>
      <w:r w:rsidR="004A205B" w:rsidRPr="00942C19">
        <w:rPr>
          <w:rFonts w:asciiTheme="minorHAnsi" w:hAnsiTheme="minorHAnsi" w:cstheme="minorHAnsi"/>
        </w:rPr>
        <w:t>and shall come into force after seven days from the date of such publication of the tariffs, and unless amended or revoked, shall continue to be in force till issuance of the next Tariff Order.</w:t>
      </w:r>
      <w:r w:rsidRPr="00942C19">
        <w:t xml:space="preserve"> The revenue at revised tariff for </w:t>
      </w:r>
      <w:r w:rsidR="003A7BF1" w:rsidRPr="00942C19">
        <w:t>FY 2013</w:t>
      </w:r>
      <w:r w:rsidRPr="00942C19">
        <w:t>-1</w:t>
      </w:r>
      <w:r w:rsidR="003A7BF1" w:rsidRPr="00942C19">
        <w:t>4</w:t>
      </w:r>
      <w:r w:rsidRPr="00942C19">
        <w:t xml:space="preserve"> </w:t>
      </w:r>
      <w:r w:rsidR="009D6056" w:rsidRPr="00942C19">
        <w:t>(effective for 10 months) i</w:t>
      </w:r>
      <w:r w:rsidR="003A7BF1" w:rsidRPr="00942C19">
        <w:t xml:space="preserve">s </w:t>
      </w:r>
      <w:r w:rsidRPr="00942C19">
        <w:t>work</w:t>
      </w:r>
      <w:r w:rsidR="003A7BF1" w:rsidRPr="00942C19">
        <w:t>ed</w:t>
      </w:r>
      <w:r w:rsidRPr="00942C19">
        <w:t xml:space="preserve"> out as under:</w:t>
      </w:r>
    </w:p>
    <w:p w:rsidR="00A72BF3" w:rsidRPr="00942C19" w:rsidRDefault="00A72BF3" w:rsidP="00A72BF3"/>
    <w:p w:rsidR="00A44CA7" w:rsidRPr="00942C19" w:rsidRDefault="00785E17">
      <w:pPr>
        <w:pStyle w:val="Caption"/>
        <w:keepNext/>
        <w:spacing w:before="0" w:line="276" w:lineRule="auto"/>
        <w:jc w:val="center"/>
        <w:rPr>
          <w:rFonts w:asciiTheme="minorHAnsi" w:hAnsiTheme="minorHAnsi" w:cstheme="minorHAnsi"/>
          <w:szCs w:val="24"/>
        </w:rPr>
      </w:pPr>
      <w:bookmarkStart w:id="826" w:name="_Toc336616147"/>
      <w:bookmarkStart w:id="827" w:name="_Toc336608563"/>
      <w:bookmarkStart w:id="828" w:name="_Toc336572528"/>
      <w:bookmarkStart w:id="829" w:name="_Toc338310727"/>
      <w:bookmarkStart w:id="830" w:name="_Toc338419556"/>
      <w:bookmarkStart w:id="831" w:name="_Toc357719755"/>
      <w:r w:rsidRPr="00942C19">
        <w:rPr>
          <w:rFonts w:asciiTheme="minorHAnsi" w:hAnsiTheme="minorHAnsi" w:cstheme="minorHAnsi"/>
          <w:szCs w:val="24"/>
        </w:rPr>
        <w:t xml:space="preserve">Table </w:t>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STYLEREF 1 \s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7</w:t>
      </w:r>
      <w:r w:rsidR="000C642E" w:rsidRPr="00942C19">
        <w:rPr>
          <w:rFonts w:asciiTheme="minorHAnsi" w:hAnsiTheme="minorHAnsi" w:cstheme="minorHAnsi"/>
          <w:szCs w:val="24"/>
        </w:rPr>
        <w:fldChar w:fldCharType="end"/>
      </w:r>
      <w:r w:rsidRPr="00942C19">
        <w:rPr>
          <w:rFonts w:asciiTheme="minorHAnsi" w:hAnsiTheme="minorHAnsi" w:cstheme="minorHAnsi"/>
          <w:szCs w:val="24"/>
        </w:rPr>
        <w:noBreakHyphen/>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SEQ Table \* ARABIC \s 1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1</w:t>
      </w:r>
      <w:r w:rsidR="000C642E" w:rsidRPr="00942C19">
        <w:rPr>
          <w:rFonts w:asciiTheme="minorHAnsi" w:hAnsiTheme="minorHAnsi" w:cstheme="minorHAnsi"/>
          <w:szCs w:val="24"/>
        </w:rPr>
        <w:fldChar w:fldCharType="end"/>
      </w:r>
      <w:r w:rsidRPr="00942C19">
        <w:rPr>
          <w:rFonts w:asciiTheme="minorHAnsi" w:hAnsiTheme="minorHAnsi" w:cstheme="minorHAnsi"/>
          <w:szCs w:val="24"/>
        </w:rPr>
        <w:t>: REVENUE FROM SALE OF POWER AT APPROVED TARIFF - FY 2013-14 (Rs. Crore</w:t>
      </w:r>
      <w:r w:rsidR="00505B7A" w:rsidRPr="00942C19">
        <w:rPr>
          <w:rFonts w:asciiTheme="minorHAnsi" w:hAnsiTheme="minorHAnsi" w:cstheme="minorHAnsi"/>
          <w:szCs w:val="24"/>
        </w:rPr>
        <w:t>s</w:t>
      </w:r>
      <w:r w:rsidRPr="00942C19">
        <w:rPr>
          <w:rFonts w:asciiTheme="minorHAnsi" w:hAnsiTheme="minorHAnsi" w:cstheme="minorHAnsi"/>
          <w:szCs w:val="24"/>
        </w:rPr>
        <w:t>)</w:t>
      </w:r>
      <w:bookmarkEnd w:id="826"/>
      <w:bookmarkEnd w:id="827"/>
      <w:bookmarkEnd w:id="828"/>
      <w:bookmarkEnd w:id="829"/>
      <w:bookmarkEnd w:id="830"/>
      <w:bookmarkEnd w:id="831"/>
    </w:p>
    <w:tbl>
      <w:tblPr>
        <w:tblW w:w="6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2150"/>
      </w:tblGrid>
      <w:tr w:rsidR="003A7BF1" w:rsidRPr="00942C19" w:rsidTr="00025FB6">
        <w:trPr>
          <w:trHeight w:val="143"/>
          <w:jc w:val="center"/>
        </w:trPr>
        <w:tc>
          <w:tcPr>
            <w:tcW w:w="4340" w:type="dxa"/>
            <w:shd w:val="clear" w:color="000000" w:fill="DCE6F1"/>
            <w:noWrap/>
            <w:vAlign w:val="center"/>
            <w:hideMark/>
          </w:tcPr>
          <w:p w:rsidR="003A7BF1" w:rsidRPr="00942C19" w:rsidRDefault="003A7BF1" w:rsidP="003A7BF1">
            <w:pPr>
              <w:spacing w:before="0" w:line="240" w:lineRule="auto"/>
              <w:jc w:val="left"/>
              <w:rPr>
                <w:b/>
                <w:bCs/>
                <w:color w:val="000000"/>
                <w:sz w:val="22"/>
                <w:szCs w:val="22"/>
                <w:lang w:val="en-US"/>
              </w:rPr>
            </w:pPr>
            <w:r w:rsidRPr="00942C19">
              <w:rPr>
                <w:b/>
                <w:bCs/>
                <w:color w:val="000000"/>
                <w:sz w:val="22"/>
                <w:szCs w:val="22"/>
                <w:lang w:val="en-US"/>
              </w:rPr>
              <w:t>Consumer categories</w:t>
            </w:r>
          </w:p>
        </w:tc>
        <w:tc>
          <w:tcPr>
            <w:tcW w:w="2150" w:type="dxa"/>
            <w:shd w:val="clear" w:color="000000" w:fill="DCE6F1"/>
            <w:hideMark/>
          </w:tcPr>
          <w:p w:rsidR="003A7BF1" w:rsidRPr="00942C19" w:rsidRDefault="003A7BF1" w:rsidP="003A7BF1">
            <w:pPr>
              <w:spacing w:before="0" w:line="240" w:lineRule="auto"/>
              <w:jc w:val="center"/>
              <w:rPr>
                <w:b/>
                <w:bCs/>
                <w:color w:val="000000"/>
                <w:sz w:val="22"/>
                <w:szCs w:val="22"/>
                <w:lang w:val="en-US"/>
              </w:rPr>
            </w:pPr>
            <w:r w:rsidRPr="00942C19">
              <w:rPr>
                <w:b/>
                <w:bCs/>
                <w:color w:val="000000"/>
                <w:sz w:val="22"/>
                <w:szCs w:val="22"/>
                <w:lang w:val="en-US"/>
              </w:rPr>
              <w:t xml:space="preserve"> Approved tariffs </w:t>
            </w:r>
          </w:p>
          <w:p w:rsidR="003A7BF1" w:rsidRPr="00942C19" w:rsidRDefault="003A7BF1" w:rsidP="003A7BF1">
            <w:pPr>
              <w:spacing w:before="0" w:line="240" w:lineRule="auto"/>
              <w:jc w:val="center"/>
              <w:rPr>
                <w:b/>
                <w:bCs/>
                <w:color w:val="000000"/>
                <w:sz w:val="22"/>
                <w:szCs w:val="22"/>
                <w:lang w:val="en-US"/>
              </w:rPr>
            </w:pPr>
            <w:r w:rsidRPr="00942C19">
              <w:rPr>
                <w:b/>
                <w:bCs/>
                <w:color w:val="000000"/>
                <w:sz w:val="22"/>
                <w:szCs w:val="22"/>
                <w:lang w:val="en-US"/>
              </w:rPr>
              <w:t>FY 2013-14</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LMV-1: Domestic</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1704</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LMV-2:Non-Domestic</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694</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 xml:space="preserve">LMV-3: Public Lamps </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293</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LMV-4: Institutions</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354</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LMV-5: Private Tube Wells</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127</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LMV 6: Small and Medium Power</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472</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 xml:space="preserve">LMV-7: Public Water Works </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331</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LMV-8: State Tube Wells</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319</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 xml:space="preserve">LMV-9: Temporary Supply </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16</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LMV-10: Departmental Employees</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37</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HV-1: Non-Industrial Bulk Loads</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391</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HV-2: Large and Heavy Power</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1203</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HV-3: Railway Traction</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23</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HV-4: Lift Irrigation</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107</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b/>
                <w:bCs/>
                <w:color w:val="000000"/>
                <w:sz w:val="22"/>
                <w:szCs w:val="22"/>
                <w:lang w:val="en-US"/>
              </w:rPr>
            </w:pPr>
            <w:r w:rsidRPr="00942C19">
              <w:rPr>
                <w:b/>
                <w:bCs/>
                <w:color w:val="000000"/>
                <w:sz w:val="22"/>
                <w:szCs w:val="22"/>
                <w:lang w:val="en-US"/>
              </w:rPr>
              <w:t>Sub-total</w:t>
            </w:r>
          </w:p>
        </w:tc>
        <w:tc>
          <w:tcPr>
            <w:tcW w:w="2150" w:type="dxa"/>
            <w:shd w:val="clear" w:color="auto" w:fill="auto"/>
            <w:noWrap/>
            <w:vAlign w:val="center"/>
            <w:hideMark/>
          </w:tcPr>
          <w:p w:rsidR="00E95A68" w:rsidRPr="00942C19" w:rsidRDefault="00E95A68" w:rsidP="003A7BF1">
            <w:pPr>
              <w:spacing w:before="0" w:line="240" w:lineRule="auto"/>
              <w:jc w:val="center"/>
              <w:rPr>
                <w:b/>
                <w:bCs/>
                <w:color w:val="000000"/>
                <w:sz w:val="22"/>
                <w:szCs w:val="22"/>
                <w:lang w:val="en-US"/>
              </w:rPr>
            </w:pPr>
            <w:r w:rsidRPr="00942C19">
              <w:rPr>
                <w:rFonts w:cs="Calibri"/>
                <w:b/>
                <w:bCs/>
                <w:color w:val="000000"/>
                <w:sz w:val="22"/>
                <w:szCs w:val="22"/>
              </w:rPr>
              <w:t>6070</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color w:val="000000"/>
                <w:sz w:val="22"/>
                <w:szCs w:val="22"/>
                <w:lang w:val="en-US"/>
              </w:rPr>
            </w:pPr>
            <w:r w:rsidRPr="00942C19">
              <w:rPr>
                <w:color w:val="000000"/>
                <w:sz w:val="22"/>
                <w:szCs w:val="22"/>
                <w:lang w:val="en-US"/>
              </w:rPr>
              <w:t>Extra state &amp; Bulk</w:t>
            </w:r>
          </w:p>
        </w:tc>
        <w:tc>
          <w:tcPr>
            <w:tcW w:w="2150" w:type="dxa"/>
            <w:shd w:val="clear" w:color="auto" w:fill="auto"/>
            <w:noWrap/>
            <w:vAlign w:val="center"/>
            <w:hideMark/>
          </w:tcPr>
          <w:p w:rsidR="00E95A68" w:rsidRPr="00942C19" w:rsidRDefault="00E95A68" w:rsidP="003A7BF1">
            <w:pPr>
              <w:spacing w:before="0" w:line="240" w:lineRule="auto"/>
              <w:jc w:val="center"/>
              <w:rPr>
                <w:color w:val="000000"/>
                <w:sz w:val="22"/>
                <w:szCs w:val="22"/>
                <w:lang w:val="en-US"/>
              </w:rPr>
            </w:pPr>
            <w:r w:rsidRPr="00942C19">
              <w:rPr>
                <w:rFonts w:cs="Calibri"/>
                <w:color w:val="000000"/>
                <w:sz w:val="22"/>
                <w:szCs w:val="22"/>
              </w:rPr>
              <w:t>23</w:t>
            </w:r>
          </w:p>
        </w:tc>
      </w:tr>
      <w:tr w:rsidR="00E95A68" w:rsidRPr="00942C19" w:rsidTr="00025FB6">
        <w:trPr>
          <w:trHeight w:val="300"/>
          <w:jc w:val="center"/>
        </w:trPr>
        <w:tc>
          <w:tcPr>
            <w:tcW w:w="4340" w:type="dxa"/>
            <w:shd w:val="clear" w:color="auto" w:fill="auto"/>
            <w:noWrap/>
            <w:hideMark/>
          </w:tcPr>
          <w:p w:rsidR="00E95A68" w:rsidRPr="00942C19" w:rsidRDefault="00E95A68" w:rsidP="003A7BF1">
            <w:pPr>
              <w:spacing w:before="0" w:line="240" w:lineRule="auto"/>
              <w:jc w:val="left"/>
              <w:rPr>
                <w:b/>
                <w:bCs/>
                <w:color w:val="000000"/>
                <w:sz w:val="22"/>
                <w:szCs w:val="22"/>
                <w:lang w:val="en-US"/>
              </w:rPr>
            </w:pPr>
            <w:r w:rsidRPr="00942C19">
              <w:rPr>
                <w:b/>
                <w:bCs/>
                <w:color w:val="000000"/>
                <w:sz w:val="22"/>
                <w:szCs w:val="22"/>
                <w:lang w:val="en-US"/>
              </w:rPr>
              <w:t>Total</w:t>
            </w:r>
          </w:p>
        </w:tc>
        <w:tc>
          <w:tcPr>
            <w:tcW w:w="2150" w:type="dxa"/>
            <w:shd w:val="clear" w:color="auto" w:fill="auto"/>
            <w:noWrap/>
            <w:vAlign w:val="center"/>
            <w:hideMark/>
          </w:tcPr>
          <w:p w:rsidR="00E95A68" w:rsidRPr="00942C19" w:rsidRDefault="00E95A68" w:rsidP="003A7BF1">
            <w:pPr>
              <w:spacing w:before="0" w:line="240" w:lineRule="auto"/>
              <w:jc w:val="center"/>
              <w:rPr>
                <w:b/>
                <w:bCs/>
                <w:color w:val="000000"/>
                <w:sz w:val="22"/>
                <w:szCs w:val="22"/>
                <w:lang w:val="en-US"/>
              </w:rPr>
            </w:pPr>
            <w:r w:rsidRPr="00942C19">
              <w:rPr>
                <w:rFonts w:cs="Calibri"/>
                <w:b/>
                <w:bCs/>
                <w:color w:val="000000"/>
                <w:sz w:val="22"/>
                <w:szCs w:val="22"/>
              </w:rPr>
              <w:t>6092</w:t>
            </w:r>
          </w:p>
        </w:tc>
      </w:tr>
    </w:tbl>
    <w:p w:rsidR="00C652DB" w:rsidRPr="00942C19" w:rsidRDefault="00C652DB" w:rsidP="00A72BF3">
      <w:pPr>
        <w:ind w:left="270"/>
        <w:jc w:val="center"/>
        <w:rPr>
          <w:rFonts w:asciiTheme="minorHAnsi" w:hAnsiTheme="minorHAnsi" w:cstheme="minorHAnsi"/>
          <w:b/>
          <w:bCs/>
        </w:rPr>
      </w:pPr>
    </w:p>
    <w:p w:rsidR="00A72BF3" w:rsidRPr="00942C19" w:rsidRDefault="00A72BF3" w:rsidP="00A72BF3">
      <w:pPr>
        <w:pStyle w:val="Heading3"/>
        <w:numPr>
          <w:ilvl w:val="2"/>
          <w:numId w:val="1"/>
        </w:numPr>
        <w:spacing w:before="0"/>
        <w:rPr>
          <w:bCs w:val="0"/>
        </w:rPr>
      </w:pPr>
      <w:bookmarkStart w:id="832" w:name="_Toc336615950"/>
      <w:bookmarkStart w:id="833" w:name="_Toc336608364"/>
      <w:bookmarkStart w:id="834" w:name="_Toc336574923"/>
      <w:r w:rsidRPr="00942C19">
        <w:rPr>
          <w:rFonts w:asciiTheme="minorHAnsi" w:hAnsiTheme="minorHAnsi" w:cstheme="minorHAnsi"/>
        </w:rPr>
        <w:t xml:space="preserve">The </w:t>
      </w:r>
      <w:r w:rsidRPr="00942C19">
        <w:t>revenue</w:t>
      </w:r>
      <w:r w:rsidRPr="00942C19">
        <w:rPr>
          <w:rFonts w:asciiTheme="minorHAnsi" w:hAnsiTheme="minorHAnsi" w:cstheme="minorHAnsi"/>
        </w:rPr>
        <w:t xml:space="preserve"> increase due to approved tariff would be Rs. </w:t>
      </w:r>
      <w:r w:rsidR="00E95A68" w:rsidRPr="00942C19">
        <w:rPr>
          <w:rFonts w:asciiTheme="minorHAnsi" w:hAnsiTheme="minorHAnsi" w:cstheme="minorHAnsi"/>
        </w:rPr>
        <w:t xml:space="preserve">269 </w:t>
      </w:r>
      <w:r w:rsidR="00505B7A" w:rsidRPr="00942C19">
        <w:rPr>
          <w:rFonts w:asciiTheme="minorHAnsi" w:hAnsiTheme="minorHAnsi" w:cstheme="minorHAnsi"/>
        </w:rPr>
        <w:t>crores</w:t>
      </w:r>
      <w:r w:rsidRPr="00942C19">
        <w:rPr>
          <w:rFonts w:asciiTheme="minorHAnsi" w:hAnsiTheme="minorHAnsi" w:cstheme="minorHAnsi"/>
        </w:rPr>
        <w:t xml:space="preserve"> (Rs. </w:t>
      </w:r>
      <w:r w:rsidR="00E95A68" w:rsidRPr="00942C19">
        <w:rPr>
          <w:rFonts w:asciiTheme="minorHAnsi" w:hAnsiTheme="minorHAnsi" w:cstheme="minorHAnsi"/>
        </w:rPr>
        <w:t xml:space="preserve">6092 </w:t>
      </w:r>
      <w:r w:rsidR="00505B7A" w:rsidRPr="00942C19">
        <w:rPr>
          <w:rFonts w:asciiTheme="minorHAnsi" w:hAnsiTheme="minorHAnsi" w:cstheme="minorHAnsi"/>
        </w:rPr>
        <w:t xml:space="preserve">crores </w:t>
      </w:r>
      <w:r w:rsidRPr="00942C19">
        <w:rPr>
          <w:rFonts w:asciiTheme="minorHAnsi" w:hAnsiTheme="minorHAnsi" w:cstheme="minorHAnsi"/>
        </w:rPr>
        <w:t xml:space="preserve">– Rs. </w:t>
      </w:r>
      <w:r w:rsidR="00E95A68" w:rsidRPr="00942C19">
        <w:rPr>
          <w:rFonts w:asciiTheme="minorHAnsi" w:hAnsiTheme="minorHAnsi" w:cstheme="minorHAnsi"/>
        </w:rPr>
        <w:t xml:space="preserve">5824 </w:t>
      </w:r>
      <w:r w:rsidR="00505B7A" w:rsidRPr="00942C19">
        <w:rPr>
          <w:rFonts w:asciiTheme="minorHAnsi" w:hAnsiTheme="minorHAnsi" w:cstheme="minorHAnsi"/>
        </w:rPr>
        <w:t>crores</w:t>
      </w:r>
      <w:r w:rsidRPr="00942C19">
        <w:rPr>
          <w:rFonts w:asciiTheme="minorHAnsi" w:hAnsiTheme="minorHAnsi" w:cstheme="minorHAnsi"/>
        </w:rPr>
        <w:t xml:space="preserve">) (refer </w:t>
      </w:r>
      <w:fldSimple w:instr=" REF _Ref338230159 \h  \* MERGEFORMAT ">
        <w:r w:rsidR="00785E17" w:rsidRPr="00942C19">
          <w:t xml:space="preserve">Table </w:t>
        </w:r>
        <w:r w:rsidR="00984AA4" w:rsidRPr="00942C19">
          <w:rPr>
            <w:noProof/>
          </w:rPr>
          <w:t>4</w:t>
        </w:r>
        <w:r w:rsidR="00785E17" w:rsidRPr="00942C19">
          <w:noBreakHyphen/>
        </w:r>
        <w:r w:rsidR="00984AA4" w:rsidRPr="00942C19">
          <w:rPr>
            <w:noProof/>
          </w:rPr>
          <w:t>56</w:t>
        </w:r>
        <w:r w:rsidR="00785E17" w:rsidRPr="00942C19">
          <w:t xml:space="preserve">: </w:t>
        </w:r>
      </w:fldSimple>
      <w:r w:rsidRPr="00942C19">
        <w:rPr>
          <w:rFonts w:asciiTheme="minorHAnsi" w:hAnsiTheme="minorHAnsi" w:cstheme="minorHAnsi"/>
        </w:rPr>
        <w:t>)</w:t>
      </w:r>
    </w:p>
    <w:p w:rsidR="00A72BF3" w:rsidRPr="00942C19" w:rsidRDefault="00A72BF3" w:rsidP="00A72BF3">
      <w:pPr>
        <w:rPr>
          <w:bCs/>
        </w:rPr>
      </w:pPr>
    </w:p>
    <w:p w:rsidR="00A72BF3" w:rsidRPr="00942C19" w:rsidRDefault="00A72BF3" w:rsidP="00A72BF3">
      <w:pPr>
        <w:pStyle w:val="Heading3"/>
        <w:numPr>
          <w:ilvl w:val="2"/>
          <w:numId w:val="1"/>
        </w:numPr>
        <w:spacing w:before="0"/>
        <w:rPr>
          <w:bCs w:val="0"/>
        </w:rPr>
      </w:pPr>
      <w:r w:rsidRPr="00942C19">
        <w:t>The estimated gap</w:t>
      </w:r>
      <w:r w:rsidR="00505B7A" w:rsidRPr="00942C19">
        <w:t xml:space="preserve"> </w:t>
      </w:r>
      <w:r w:rsidRPr="00942C19">
        <w:t>/</w:t>
      </w:r>
      <w:r w:rsidR="00505B7A" w:rsidRPr="00942C19">
        <w:t xml:space="preserve"> </w:t>
      </w:r>
      <w:r w:rsidRPr="00942C19">
        <w:t>surplus after incorporating impact of revised tariff for FY 201</w:t>
      </w:r>
      <w:r w:rsidR="00C652DB" w:rsidRPr="00942C19">
        <w:t>3</w:t>
      </w:r>
      <w:r w:rsidRPr="00942C19">
        <w:t>-1</w:t>
      </w:r>
      <w:r w:rsidR="00C652DB" w:rsidRPr="00942C19">
        <w:t>4</w:t>
      </w:r>
      <w:r w:rsidRPr="00942C19">
        <w:t>:</w:t>
      </w:r>
      <w:bookmarkEnd w:id="832"/>
      <w:bookmarkEnd w:id="833"/>
      <w:bookmarkEnd w:id="834"/>
    </w:p>
    <w:p w:rsidR="00A72BF3" w:rsidRPr="00942C19" w:rsidRDefault="00A72BF3" w:rsidP="00EE510D">
      <w:pPr>
        <w:pStyle w:val="Caption"/>
        <w:keepNext/>
        <w:spacing w:line="276" w:lineRule="auto"/>
        <w:ind w:firstLine="1985"/>
        <w:jc w:val="center"/>
        <w:rPr>
          <w:rFonts w:asciiTheme="minorHAnsi" w:hAnsiTheme="minorHAnsi" w:cstheme="minorHAnsi"/>
          <w:szCs w:val="24"/>
        </w:rPr>
      </w:pPr>
      <w:bookmarkStart w:id="835" w:name="_Toc336616148"/>
      <w:bookmarkStart w:id="836" w:name="_Toc336608564"/>
      <w:bookmarkStart w:id="837" w:name="_Toc336572529"/>
      <w:bookmarkStart w:id="838" w:name="_Toc338310728"/>
      <w:bookmarkStart w:id="839" w:name="_Toc338419557"/>
      <w:bookmarkStart w:id="840" w:name="_Toc357719756"/>
      <w:r w:rsidRPr="00942C19">
        <w:rPr>
          <w:rFonts w:asciiTheme="minorHAnsi" w:hAnsiTheme="minorHAnsi" w:cstheme="minorHAnsi"/>
          <w:szCs w:val="24"/>
        </w:rPr>
        <w:t xml:space="preserve">Table </w:t>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STYLEREF 1 \s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7</w:t>
      </w:r>
      <w:r w:rsidR="000C642E" w:rsidRPr="00942C19">
        <w:rPr>
          <w:rFonts w:asciiTheme="minorHAnsi" w:hAnsiTheme="minorHAnsi" w:cstheme="minorHAnsi"/>
          <w:szCs w:val="24"/>
        </w:rPr>
        <w:fldChar w:fldCharType="end"/>
      </w:r>
      <w:r w:rsidRPr="00942C19">
        <w:rPr>
          <w:rFonts w:asciiTheme="minorHAnsi" w:hAnsiTheme="minorHAnsi" w:cstheme="minorHAnsi"/>
          <w:szCs w:val="24"/>
        </w:rPr>
        <w:noBreakHyphen/>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SEQ Table \* ARABIC \s 1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2</w:t>
      </w:r>
      <w:r w:rsidR="000C642E" w:rsidRPr="00942C19">
        <w:rPr>
          <w:rFonts w:asciiTheme="minorHAnsi" w:hAnsiTheme="minorHAnsi" w:cstheme="minorHAnsi"/>
          <w:szCs w:val="24"/>
        </w:rPr>
        <w:fldChar w:fldCharType="end"/>
      </w:r>
      <w:r w:rsidRPr="00942C19">
        <w:rPr>
          <w:rFonts w:asciiTheme="minorHAnsi" w:hAnsiTheme="minorHAnsi" w:cstheme="minorHAnsi"/>
          <w:szCs w:val="24"/>
        </w:rPr>
        <w:t xml:space="preserve">: ESTIMATION OF ARR GAP/SURPLUS AT REVISED TARIFF FOR FY </w:t>
      </w:r>
      <w:r w:rsidR="00C652DB" w:rsidRPr="00942C19">
        <w:rPr>
          <w:rFonts w:asciiTheme="minorHAnsi" w:hAnsiTheme="minorHAnsi" w:cstheme="minorHAnsi"/>
          <w:szCs w:val="24"/>
        </w:rPr>
        <w:t>2013-14</w:t>
      </w:r>
      <w:r w:rsidRPr="00942C19">
        <w:rPr>
          <w:rFonts w:asciiTheme="minorHAnsi" w:hAnsiTheme="minorHAnsi" w:cstheme="minorHAnsi"/>
          <w:szCs w:val="24"/>
        </w:rPr>
        <w:t xml:space="preserve"> (Rs. </w:t>
      </w:r>
      <w:r w:rsidR="000D3A3C" w:rsidRPr="00942C19">
        <w:rPr>
          <w:rFonts w:asciiTheme="minorHAnsi" w:hAnsiTheme="minorHAnsi" w:cstheme="minorHAnsi"/>
          <w:szCs w:val="24"/>
        </w:rPr>
        <w:t>Crore</w:t>
      </w:r>
      <w:r w:rsidR="00EE510D">
        <w:rPr>
          <w:rFonts w:asciiTheme="minorHAnsi" w:hAnsiTheme="minorHAnsi" w:cstheme="minorHAnsi"/>
          <w:szCs w:val="24"/>
        </w:rPr>
        <w:t>s</w:t>
      </w:r>
      <w:r w:rsidRPr="00942C19">
        <w:rPr>
          <w:rFonts w:asciiTheme="minorHAnsi" w:hAnsiTheme="minorHAnsi" w:cstheme="minorHAnsi"/>
          <w:szCs w:val="24"/>
        </w:rPr>
        <w:t>)</w:t>
      </w:r>
      <w:bookmarkEnd w:id="835"/>
      <w:bookmarkEnd w:id="836"/>
      <w:bookmarkEnd w:id="837"/>
      <w:bookmarkEnd w:id="838"/>
      <w:bookmarkEnd w:id="839"/>
      <w:bookmarkEnd w:id="840"/>
    </w:p>
    <w:tbl>
      <w:tblPr>
        <w:tblW w:w="7820"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030"/>
        <w:gridCol w:w="1790"/>
      </w:tblGrid>
      <w:tr w:rsidR="00B21020" w:rsidRPr="00942C19" w:rsidTr="00025FB6">
        <w:trPr>
          <w:trHeight w:val="600"/>
          <w:jc w:val="center"/>
        </w:trPr>
        <w:tc>
          <w:tcPr>
            <w:tcW w:w="6030" w:type="dxa"/>
            <w:shd w:val="clear" w:color="000000" w:fill="DBE5F1"/>
            <w:vAlign w:val="center"/>
            <w:hideMark/>
          </w:tcPr>
          <w:p w:rsidR="00155FB3" w:rsidRPr="00942C19" w:rsidRDefault="00155FB3" w:rsidP="00155FB3">
            <w:pPr>
              <w:spacing w:before="0"/>
              <w:rPr>
                <w:b/>
                <w:sz w:val="22"/>
                <w:szCs w:val="22"/>
              </w:rPr>
            </w:pPr>
            <w:r w:rsidRPr="00942C19">
              <w:rPr>
                <w:b/>
                <w:sz w:val="22"/>
                <w:szCs w:val="22"/>
              </w:rPr>
              <w:t>Particulars</w:t>
            </w:r>
          </w:p>
        </w:tc>
        <w:tc>
          <w:tcPr>
            <w:tcW w:w="1790" w:type="dxa"/>
            <w:shd w:val="clear" w:color="000000" w:fill="DBE5F1"/>
            <w:vAlign w:val="center"/>
            <w:hideMark/>
          </w:tcPr>
          <w:p w:rsidR="00155FB3" w:rsidRPr="00942C19" w:rsidRDefault="00155FB3" w:rsidP="00155FB3">
            <w:pPr>
              <w:spacing w:before="0"/>
              <w:jc w:val="right"/>
              <w:rPr>
                <w:b/>
                <w:sz w:val="22"/>
                <w:szCs w:val="22"/>
              </w:rPr>
            </w:pPr>
            <w:r w:rsidRPr="00942C19">
              <w:rPr>
                <w:b/>
                <w:sz w:val="22"/>
                <w:szCs w:val="22"/>
              </w:rPr>
              <w:t>FY 2013-14</w:t>
            </w:r>
            <w:r w:rsidRPr="00942C19">
              <w:rPr>
                <w:b/>
                <w:sz w:val="22"/>
                <w:szCs w:val="22"/>
              </w:rPr>
              <w:br/>
              <w:t>(Approved)</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rPr>
                <w:sz w:val="22"/>
                <w:szCs w:val="22"/>
              </w:rPr>
            </w:pPr>
            <w:r w:rsidRPr="00942C19">
              <w:rPr>
                <w:sz w:val="22"/>
                <w:szCs w:val="22"/>
              </w:rPr>
              <w:t>Gross ARR</w:t>
            </w:r>
          </w:p>
        </w:tc>
        <w:tc>
          <w:tcPr>
            <w:tcW w:w="1790" w:type="dxa"/>
            <w:shd w:val="clear" w:color="auto" w:fill="auto"/>
            <w:noWrap/>
            <w:vAlign w:val="center"/>
            <w:hideMark/>
          </w:tcPr>
          <w:p w:rsidR="00155FB3" w:rsidRPr="00942C19" w:rsidRDefault="00155FB3" w:rsidP="00155FB3">
            <w:pPr>
              <w:spacing w:before="0"/>
              <w:jc w:val="right"/>
              <w:rPr>
                <w:sz w:val="22"/>
                <w:szCs w:val="22"/>
              </w:rPr>
            </w:pPr>
            <w:r w:rsidRPr="00942C19">
              <w:rPr>
                <w:sz w:val="22"/>
                <w:szCs w:val="22"/>
              </w:rPr>
              <w:t xml:space="preserve">7,116.52 </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rPr>
                <w:sz w:val="22"/>
                <w:szCs w:val="22"/>
              </w:rPr>
            </w:pPr>
            <w:r w:rsidRPr="00942C19">
              <w:rPr>
                <w:sz w:val="22"/>
                <w:szCs w:val="22"/>
              </w:rPr>
              <w:t>Revenue from Existing Tariff</w:t>
            </w:r>
          </w:p>
        </w:tc>
        <w:tc>
          <w:tcPr>
            <w:tcW w:w="1790" w:type="dxa"/>
            <w:shd w:val="clear" w:color="auto" w:fill="auto"/>
            <w:noWrap/>
            <w:vAlign w:val="center"/>
            <w:hideMark/>
          </w:tcPr>
          <w:p w:rsidR="00155FB3" w:rsidRPr="00942C19" w:rsidRDefault="00155FB3" w:rsidP="00155FB3">
            <w:pPr>
              <w:spacing w:before="0"/>
              <w:jc w:val="right"/>
              <w:rPr>
                <w:sz w:val="22"/>
                <w:szCs w:val="22"/>
              </w:rPr>
            </w:pPr>
            <w:r w:rsidRPr="00942C19">
              <w:rPr>
                <w:sz w:val="22"/>
                <w:szCs w:val="22"/>
              </w:rPr>
              <w:t xml:space="preserve">5,823.77 </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rPr>
                <w:b/>
                <w:sz w:val="22"/>
                <w:szCs w:val="22"/>
              </w:rPr>
            </w:pPr>
            <w:r w:rsidRPr="00942C19">
              <w:rPr>
                <w:b/>
                <w:sz w:val="22"/>
                <w:szCs w:val="22"/>
              </w:rPr>
              <w:t>Net Revenue Gap</w:t>
            </w:r>
          </w:p>
        </w:tc>
        <w:tc>
          <w:tcPr>
            <w:tcW w:w="1790" w:type="dxa"/>
            <w:shd w:val="clear" w:color="auto" w:fill="auto"/>
            <w:noWrap/>
            <w:vAlign w:val="center"/>
            <w:hideMark/>
          </w:tcPr>
          <w:p w:rsidR="00155FB3" w:rsidRPr="00942C19" w:rsidRDefault="00155FB3" w:rsidP="00155FB3">
            <w:pPr>
              <w:spacing w:before="0"/>
              <w:jc w:val="right"/>
              <w:rPr>
                <w:b/>
                <w:sz w:val="22"/>
                <w:szCs w:val="22"/>
              </w:rPr>
            </w:pPr>
            <w:r w:rsidRPr="00942C19">
              <w:rPr>
                <w:b/>
                <w:sz w:val="22"/>
                <w:szCs w:val="22"/>
              </w:rPr>
              <w:t xml:space="preserve">1,292.75 </w:t>
            </w:r>
          </w:p>
        </w:tc>
      </w:tr>
      <w:tr w:rsidR="00E95A68" w:rsidRPr="00942C19" w:rsidTr="00E95A68">
        <w:trPr>
          <w:trHeight w:val="300"/>
          <w:jc w:val="center"/>
        </w:trPr>
        <w:tc>
          <w:tcPr>
            <w:tcW w:w="6030" w:type="dxa"/>
            <w:shd w:val="clear" w:color="auto" w:fill="auto"/>
            <w:vAlign w:val="center"/>
            <w:hideMark/>
          </w:tcPr>
          <w:p w:rsidR="00155FB3" w:rsidRPr="00942C19" w:rsidRDefault="00F06BEC" w:rsidP="00155FB3">
            <w:pPr>
              <w:spacing w:before="0"/>
              <w:rPr>
                <w:sz w:val="22"/>
                <w:szCs w:val="22"/>
              </w:rPr>
            </w:pPr>
            <w:r w:rsidRPr="00942C19">
              <w:rPr>
                <w:sz w:val="22"/>
                <w:szCs w:val="22"/>
              </w:rPr>
              <w:t xml:space="preserve">50% of the </w:t>
            </w:r>
            <w:r w:rsidR="00155FB3" w:rsidRPr="00942C19">
              <w:rPr>
                <w:sz w:val="22"/>
                <w:szCs w:val="22"/>
              </w:rPr>
              <w:t xml:space="preserve">Revenue Gap </w:t>
            </w:r>
            <w:r w:rsidRPr="00942C19">
              <w:rPr>
                <w:sz w:val="22"/>
                <w:szCs w:val="22"/>
              </w:rPr>
              <w:t>approved in Order dated</w:t>
            </w:r>
            <w:r w:rsidR="00903E6E" w:rsidRPr="00942C19">
              <w:rPr>
                <w:sz w:val="22"/>
                <w:szCs w:val="22"/>
              </w:rPr>
              <w:t xml:space="preserve"> 21</w:t>
            </w:r>
            <w:r w:rsidR="00155FB3" w:rsidRPr="00942C19">
              <w:rPr>
                <w:sz w:val="22"/>
                <w:szCs w:val="22"/>
                <w:vertAlign w:val="superscript"/>
              </w:rPr>
              <w:t>st</w:t>
            </w:r>
            <w:r w:rsidR="00903E6E" w:rsidRPr="00942C19">
              <w:rPr>
                <w:sz w:val="22"/>
                <w:szCs w:val="22"/>
              </w:rPr>
              <w:t xml:space="preserve"> May, 2013 consequent to final truing up for </w:t>
            </w:r>
            <w:r w:rsidR="00155FB3" w:rsidRPr="00942C19">
              <w:rPr>
                <w:sz w:val="22"/>
                <w:szCs w:val="22"/>
              </w:rPr>
              <w:t>FY 2000-01 to 2007-08</w:t>
            </w:r>
          </w:p>
        </w:tc>
        <w:tc>
          <w:tcPr>
            <w:tcW w:w="1790" w:type="dxa"/>
            <w:shd w:val="clear" w:color="auto" w:fill="auto"/>
            <w:noWrap/>
            <w:vAlign w:val="center"/>
            <w:hideMark/>
          </w:tcPr>
          <w:p w:rsidR="00155FB3" w:rsidRPr="00942C19" w:rsidRDefault="00155FB3" w:rsidP="00155FB3">
            <w:pPr>
              <w:spacing w:before="0"/>
              <w:jc w:val="right"/>
              <w:rPr>
                <w:sz w:val="22"/>
                <w:szCs w:val="22"/>
              </w:rPr>
            </w:pPr>
            <w:r w:rsidRPr="00942C19">
              <w:rPr>
                <w:sz w:val="22"/>
                <w:szCs w:val="22"/>
              </w:rPr>
              <w:t xml:space="preserve">88.92 </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rPr>
                <w:b/>
                <w:sz w:val="22"/>
                <w:szCs w:val="22"/>
              </w:rPr>
            </w:pPr>
            <w:r w:rsidRPr="00942C19">
              <w:rPr>
                <w:b/>
                <w:sz w:val="22"/>
                <w:szCs w:val="22"/>
              </w:rPr>
              <w:t>Total Gap</w:t>
            </w:r>
          </w:p>
        </w:tc>
        <w:tc>
          <w:tcPr>
            <w:tcW w:w="1790" w:type="dxa"/>
            <w:shd w:val="clear" w:color="auto" w:fill="auto"/>
            <w:noWrap/>
            <w:vAlign w:val="center"/>
            <w:hideMark/>
          </w:tcPr>
          <w:p w:rsidR="00155FB3" w:rsidRPr="00942C19" w:rsidRDefault="00155FB3" w:rsidP="00155FB3">
            <w:pPr>
              <w:spacing w:before="0"/>
              <w:jc w:val="right"/>
              <w:rPr>
                <w:b/>
                <w:sz w:val="22"/>
                <w:szCs w:val="22"/>
              </w:rPr>
            </w:pPr>
            <w:r w:rsidRPr="00942C19">
              <w:rPr>
                <w:b/>
                <w:sz w:val="22"/>
                <w:szCs w:val="22"/>
              </w:rPr>
              <w:t xml:space="preserve">1,381.68 </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rPr>
                <w:sz w:val="22"/>
                <w:szCs w:val="22"/>
              </w:rPr>
            </w:pPr>
            <w:r w:rsidRPr="00942C19">
              <w:rPr>
                <w:sz w:val="22"/>
                <w:szCs w:val="22"/>
              </w:rPr>
              <w:t>Funded Through</w:t>
            </w:r>
          </w:p>
        </w:tc>
        <w:tc>
          <w:tcPr>
            <w:tcW w:w="1790" w:type="dxa"/>
            <w:shd w:val="clear" w:color="auto" w:fill="auto"/>
            <w:noWrap/>
            <w:vAlign w:val="center"/>
            <w:hideMark/>
          </w:tcPr>
          <w:p w:rsidR="00155FB3" w:rsidRPr="00942C19" w:rsidRDefault="00155FB3" w:rsidP="00155FB3">
            <w:pPr>
              <w:spacing w:before="0"/>
              <w:jc w:val="right"/>
              <w:rPr>
                <w:sz w:val="22"/>
                <w:szCs w:val="22"/>
              </w:rPr>
            </w:pP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ind w:left="720"/>
              <w:rPr>
                <w:i/>
                <w:sz w:val="22"/>
                <w:szCs w:val="22"/>
              </w:rPr>
            </w:pPr>
            <w:r w:rsidRPr="00942C19">
              <w:rPr>
                <w:i/>
                <w:sz w:val="22"/>
                <w:szCs w:val="22"/>
              </w:rPr>
              <w:t>Tariff Increase (Effective for 10 months)</w:t>
            </w:r>
          </w:p>
        </w:tc>
        <w:tc>
          <w:tcPr>
            <w:tcW w:w="1790" w:type="dxa"/>
            <w:shd w:val="clear" w:color="auto" w:fill="auto"/>
            <w:noWrap/>
            <w:vAlign w:val="center"/>
            <w:hideMark/>
          </w:tcPr>
          <w:p w:rsidR="00155FB3" w:rsidRPr="00942C19" w:rsidRDefault="00155FB3" w:rsidP="00155FB3">
            <w:pPr>
              <w:spacing w:before="0"/>
              <w:jc w:val="right"/>
              <w:rPr>
                <w:i/>
                <w:sz w:val="22"/>
                <w:szCs w:val="22"/>
              </w:rPr>
            </w:pPr>
            <w:r w:rsidRPr="00942C19">
              <w:rPr>
                <w:i/>
                <w:sz w:val="22"/>
                <w:szCs w:val="22"/>
              </w:rPr>
              <w:t xml:space="preserve">268.71 </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ind w:left="720"/>
              <w:rPr>
                <w:i/>
                <w:sz w:val="22"/>
                <w:szCs w:val="22"/>
              </w:rPr>
            </w:pPr>
            <w:r w:rsidRPr="00942C19">
              <w:rPr>
                <w:i/>
                <w:sz w:val="22"/>
                <w:szCs w:val="22"/>
              </w:rPr>
              <w:t>Government Subsidy</w:t>
            </w:r>
          </w:p>
        </w:tc>
        <w:tc>
          <w:tcPr>
            <w:tcW w:w="1790" w:type="dxa"/>
            <w:shd w:val="clear" w:color="auto" w:fill="auto"/>
            <w:noWrap/>
            <w:vAlign w:val="center"/>
            <w:hideMark/>
          </w:tcPr>
          <w:p w:rsidR="00155FB3" w:rsidRPr="00942C19" w:rsidRDefault="00155FB3" w:rsidP="00155FB3">
            <w:pPr>
              <w:spacing w:before="0"/>
              <w:jc w:val="right"/>
              <w:rPr>
                <w:i/>
                <w:sz w:val="22"/>
                <w:szCs w:val="22"/>
              </w:rPr>
            </w:pPr>
            <w:r w:rsidRPr="00942C19">
              <w:rPr>
                <w:i/>
                <w:sz w:val="22"/>
                <w:szCs w:val="22"/>
              </w:rPr>
              <w:t xml:space="preserve">817.40 </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ind w:left="720"/>
              <w:rPr>
                <w:i/>
                <w:sz w:val="22"/>
                <w:szCs w:val="22"/>
              </w:rPr>
            </w:pPr>
            <w:r w:rsidRPr="00942C19">
              <w:rPr>
                <w:i/>
                <w:sz w:val="22"/>
                <w:szCs w:val="22"/>
              </w:rPr>
              <w:t>Additional Subsidy Requirement from GoUP</w:t>
            </w:r>
          </w:p>
        </w:tc>
        <w:tc>
          <w:tcPr>
            <w:tcW w:w="1790" w:type="dxa"/>
            <w:shd w:val="clear" w:color="auto" w:fill="auto"/>
            <w:noWrap/>
            <w:vAlign w:val="center"/>
            <w:hideMark/>
          </w:tcPr>
          <w:p w:rsidR="00155FB3" w:rsidRPr="00942C19" w:rsidRDefault="00155FB3" w:rsidP="00155FB3">
            <w:pPr>
              <w:spacing w:before="0"/>
              <w:jc w:val="right"/>
              <w:rPr>
                <w:i/>
                <w:sz w:val="22"/>
                <w:szCs w:val="22"/>
              </w:rPr>
            </w:pPr>
            <w:r w:rsidRPr="00942C19">
              <w:rPr>
                <w:i/>
                <w:sz w:val="22"/>
                <w:szCs w:val="22"/>
              </w:rPr>
              <w:t xml:space="preserve">65.81 </w:t>
            </w:r>
          </w:p>
        </w:tc>
      </w:tr>
      <w:tr w:rsidR="00E95A68" w:rsidRPr="00942C19" w:rsidTr="00E95A68">
        <w:trPr>
          <w:trHeight w:val="300"/>
          <w:jc w:val="center"/>
        </w:trPr>
        <w:tc>
          <w:tcPr>
            <w:tcW w:w="6030" w:type="dxa"/>
            <w:shd w:val="clear" w:color="auto" w:fill="auto"/>
            <w:vAlign w:val="center"/>
            <w:hideMark/>
          </w:tcPr>
          <w:p w:rsidR="00155FB3" w:rsidRPr="00942C19" w:rsidRDefault="00155FB3" w:rsidP="00155FB3">
            <w:pPr>
              <w:spacing w:before="0"/>
              <w:rPr>
                <w:b/>
                <w:sz w:val="22"/>
                <w:szCs w:val="22"/>
              </w:rPr>
            </w:pPr>
            <w:r w:rsidRPr="00942C19">
              <w:rPr>
                <w:b/>
                <w:sz w:val="22"/>
                <w:szCs w:val="22"/>
              </w:rPr>
              <w:t>Net Revenue Gap</w:t>
            </w:r>
          </w:p>
        </w:tc>
        <w:tc>
          <w:tcPr>
            <w:tcW w:w="1790" w:type="dxa"/>
            <w:shd w:val="clear" w:color="auto" w:fill="auto"/>
            <w:noWrap/>
            <w:vAlign w:val="center"/>
            <w:hideMark/>
          </w:tcPr>
          <w:p w:rsidR="00155FB3" w:rsidRPr="00942C19" w:rsidRDefault="00155FB3" w:rsidP="00155FB3">
            <w:pPr>
              <w:spacing w:before="0"/>
              <w:jc w:val="right"/>
              <w:rPr>
                <w:b/>
                <w:sz w:val="22"/>
                <w:szCs w:val="22"/>
              </w:rPr>
            </w:pPr>
            <w:r w:rsidRPr="00942C19">
              <w:rPr>
                <w:b/>
                <w:sz w:val="22"/>
                <w:szCs w:val="22"/>
              </w:rPr>
              <w:t xml:space="preserve">229.77 </w:t>
            </w:r>
          </w:p>
        </w:tc>
      </w:tr>
    </w:tbl>
    <w:p w:rsidR="00155FB3" w:rsidRPr="00942C19" w:rsidRDefault="00155FB3" w:rsidP="00155FB3">
      <w:pPr>
        <w:spacing w:before="0"/>
      </w:pPr>
    </w:p>
    <w:p w:rsidR="00F06BEC" w:rsidRPr="00942C19" w:rsidRDefault="00155FB3" w:rsidP="00A72BF3">
      <w:pPr>
        <w:pStyle w:val="Heading3"/>
        <w:numPr>
          <w:ilvl w:val="2"/>
          <w:numId w:val="1"/>
        </w:numPr>
        <w:spacing w:before="0"/>
      </w:pPr>
      <w:r w:rsidRPr="00942C19">
        <w:t xml:space="preserve">The Distribution Licensee wise Revenue Gaps so determined has been dealt with at Consolidated Discoms level for the purpose of determining the methods for recovery thereof. </w:t>
      </w:r>
    </w:p>
    <w:p w:rsidR="00155FB3" w:rsidRPr="00942C19" w:rsidRDefault="00155FB3" w:rsidP="00155FB3">
      <w:pPr>
        <w:pStyle w:val="Heading3"/>
        <w:numPr>
          <w:ilvl w:val="0"/>
          <w:numId w:val="0"/>
        </w:numPr>
        <w:spacing w:before="0"/>
        <w:ind w:left="720"/>
        <w:rPr>
          <w:color w:val="FF0000"/>
        </w:rPr>
      </w:pPr>
    </w:p>
    <w:p w:rsidR="00A72BF3" w:rsidRPr="00942C19" w:rsidRDefault="00A72BF3" w:rsidP="00A72BF3">
      <w:r w:rsidRPr="00942C19">
        <w:t xml:space="preserve"> </w:t>
      </w:r>
    </w:p>
    <w:p w:rsidR="00A72BF3" w:rsidRPr="00942C19" w:rsidRDefault="00A72BF3" w:rsidP="00A72BF3">
      <w:pPr>
        <w:pStyle w:val="Heading2"/>
        <w:keepNext/>
        <w:numPr>
          <w:ilvl w:val="1"/>
          <w:numId w:val="1"/>
        </w:numPr>
        <w:autoSpaceDE/>
        <w:autoSpaceDN/>
        <w:adjustRightInd/>
        <w:spacing w:before="0" w:line="276" w:lineRule="auto"/>
        <w:contextualSpacing w:val="0"/>
      </w:pPr>
      <w:bookmarkStart w:id="841" w:name="_Toc336615951"/>
      <w:bookmarkStart w:id="842" w:name="_Toc336608365"/>
      <w:bookmarkStart w:id="843" w:name="_Toc336574924"/>
      <w:bookmarkStart w:id="844" w:name="_Toc357345051"/>
      <w:bookmarkStart w:id="845" w:name="_Toc357714427"/>
      <w:r w:rsidRPr="00942C19">
        <w:t>AVERAGE COST OF SUPPLY</w:t>
      </w:r>
      <w:bookmarkEnd w:id="841"/>
      <w:bookmarkEnd w:id="842"/>
      <w:bookmarkEnd w:id="843"/>
      <w:bookmarkEnd w:id="844"/>
      <w:bookmarkEnd w:id="845"/>
    </w:p>
    <w:p w:rsidR="00A72BF3" w:rsidRPr="00942C19" w:rsidRDefault="00A72BF3" w:rsidP="00A72BF3">
      <w:pPr>
        <w:pStyle w:val="Heading3"/>
        <w:numPr>
          <w:ilvl w:val="0"/>
          <w:numId w:val="0"/>
        </w:numPr>
        <w:tabs>
          <w:tab w:val="clear" w:pos="720"/>
          <w:tab w:val="left" w:pos="864"/>
        </w:tabs>
        <w:rPr>
          <w:rFonts w:asciiTheme="minorHAnsi" w:eastAsiaTheme="minorHAnsi" w:hAnsiTheme="minorHAnsi" w:cstheme="minorHAnsi"/>
          <w:szCs w:val="24"/>
          <w:lang w:val="en-US"/>
        </w:rPr>
      </w:pPr>
    </w:p>
    <w:p w:rsidR="00A72BF3" w:rsidRPr="00942C19" w:rsidRDefault="00785E17" w:rsidP="00A72BF3">
      <w:pPr>
        <w:pStyle w:val="Heading3"/>
        <w:numPr>
          <w:ilvl w:val="2"/>
          <w:numId w:val="1"/>
        </w:numPr>
        <w:spacing w:before="0"/>
        <w:rPr>
          <w:rFonts w:asciiTheme="minorHAnsi" w:hAnsiTheme="minorHAnsi" w:cstheme="minorHAnsi"/>
        </w:rPr>
      </w:pPr>
      <w:r w:rsidRPr="00942C19">
        <w:rPr>
          <w:rFonts w:asciiTheme="minorHAnsi" w:hAnsiTheme="minorHAnsi" w:cstheme="minorHAnsi"/>
        </w:rPr>
        <w:t xml:space="preserve">The Commission has taken into consideration the percentage increase in tariff with respect to Average Cost of supply while approving the tariffs. For instance during FY 2013-14, the average unit revenue rate at existing tariffs would have been Rs. </w:t>
      </w:r>
      <w:r w:rsidR="00E95A68" w:rsidRPr="00942C19">
        <w:rPr>
          <w:rFonts w:asciiTheme="minorHAnsi" w:hAnsiTheme="minorHAnsi" w:cstheme="minorHAnsi"/>
        </w:rPr>
        <w:t>5.09</w:t>
      </w:r>
      <w:r w:rsidRPr="00942C19">
        <w:rPr>
          <w:rFonts w:asciiTheme="minorHAnsi" w:hAnsiTheme="minorHAnsi" w:cstheme="minorHAnsi"/>
        </w:rPr>
        <w:t>/kWh, while the average cost of supply is Rs. 6.12/kWh</w:t>
      </w:r>
      <w:r w:rsidR="00B8736F" w:rsidRPr="00942C19">
        <w:rPr>
          <w:rFonts w:asciiTheme="minorHAnsi" w:hAnsiTheme="minorHAnsi" w:cstheme="minorHAnsi"/>
        </w:rPr>
        <w:t xml:space="preserve"> (for </w:t>
      </w:r>
      <w:r w:rsidR="00903E6E" w:rsidRPr="00942C19">
        <w:rPr>
          <w:rFonts w:asciiTheme="minorHAnsi" w:hAnsiTheme="minorHAnsi" w:cstheme="minorHAnsi"/>
        </w:rPr>
        <w:t xml:space="preserve">Consolidated Discoms </w:t>
      </w:r>
      <w:r w:rsidR="00B8736F" w:rsidRPr="00942C19">
        <w:rPr>
          <w:rFonts w:asciiTheme="minorHAnsi" w:hAnsiTheme="minorHAnsi" w:cstheme="minorHAnsi"/>
        </w:rPr>
        <w:t xml:space="preserve">namely DVVNL, </w:t>
      </w:r>
      <w:r w:rsidR="00786BDF" w:rsidRPr="00942C19">
        <w:rPr>
          <w:rFonts w:asciiTheme="minorHAnsi" w:hAnsiTheme="minorHAnsi" w:cstheme="minorHAnsi"/>
        </w:rPr>
        <w:t>M</w:t>
      </w:r>
      <w:r w:rsidR="00B8736F" w:rsidRPr="00942C19">
        <w:rPr>
          <w:rFonts w:asciiTheme="minorHAnsi" w:hAnsiTheme="minorHAnsi" w:cstheme="minorHAnsi"/>
        </w:rPr>
        <w:t>VVNL, PVVNL and PuVVNL)</w:t>
      </w:r>
      <w:r w:rsidRPr="00942C19">
        <w:rPr>
          <w:rFonts w:asciiTheme="minorHAnsi" w:hAnsiTheme="minorHAnsi" w:cstheme="minorHAnsi"/>
        </w:rPr>
        <w:t xml:space="preserve">, thus the tariff would have been </w:t>
      </w:r>
      <w:r w:rsidR="00E95A68" w:rsidRPr="00942C19">
        <w:rPr>
          <w:rFonts w:asciiTheme="minorHAnsi" w:hAnsiTheme="minorHAnsi" w:cstheme="minorHAnsi"/>
        </w:rPr>
        <w:t>83</w:t>
      </w:r>
      <w:r w:rsidRPr="00942C19">
        <w:rPr>
          <w:rFonts w:asciiTheme="minorHAnsi" w:hAnsiTheme="minorHAnsi" w:cstheme="minorHAnsi"/>
        </w:rPr>
        <w:t xml:space="preserve">% of ACOS. After revision of the tariff of FY 2013-14, as brought out in this Order, the average unit revenue rate would be Rs. </w:t>
      </w:r>
      <w:r w:rsidR="00E95A68" w:rsidRPr="00942C19">
        <w:rPr>
          <w:rFonts w:asciiTheme="minorHAnsi" w:hAnsiTheme="minorHAnsi" w:cstheme="minorHAnsi"/>
        </w:rPr>
        <w:t>5.37</w:t>
      </w:r>
      <w:r w:rsidRPr="00942C19">
        <w:rPr>
          <w:rFonts w:asciiTheme="minorHAnsi" w:hAnsiTheme="minorHAnsi" w:cstheme="minorHAnsi"/>
        </w:rPr>
        <w:t xml:space="preserve">/kWh, thus, the tariff would be </w:t>
      </w:r>
      <w:r w:rsidR="00E95A68" w:rsidRPr="00942C19">
        <w:rPr>
          <w:rFonts w:asciiTheme="minorHAnsi" w:hAnsiTheme="minorHAnsi" w:cstheme="minorHAnsi"/>
        </w:rPr>
        <w:t>88</w:t>
      </w:r>
      <w:r w:rsidRPr="00942C19">
        <w:rPr>
          <w:rFonts w:asciiTheme="minorHAnsi" w:hAnsiTheme="minorHAnsi" w:cstheme="minorHAnsi"/>
        </w:rPr>
        <w:t>% of ACOS, which is a step towards achieving the tariff within +/- 20% of Average Cost of Supply as per the Tariff Policy.</w:t>
      </w:r>
    </w:p>
    <w:p w:rsidR="00A72BF3" w:rsidRPr="00942C19" w:rsidRDefault="00A72BF3" w:rsidP="00A72BF3">
      <w:pPr>
        <w:ind w:hanging="4"/>
        <w:rPr>
          <w:rFonts w:asciiTheme="minorHAnsi" w:hAnsiTheme="minorHAnsi" w:cstheme="minorHAnsi"/>
        </w:rPr>
      </w:pPr>
    </w:p>
    <w:p w:rsidR="00A72BF3" w:rsidRPr="00942C19" w:rsidRDefault="00A72BF3" w:rsidP="00A72BF3">
      <w:pPr>
        <w:pStyle w:val="Heading3"/>
        <w:numPr>
          <w:ilvl w:val="2"/>
          <w:numId w:val="1"/>
        </w:numPr>
        <w:spacing w:before="0"/>
        <w:rPr>
          <w:rFonts w:asciiTheme="minorHAnsi" w:hAnsiTheme="minorHAnsi" w:cstheme="minorHAnsi"/>
        </w:rPr>
      </w:pPr>
      <w:r w:rsidRPr="00942C19">
        <w:rPr>
          <w:rFonts w:asciiTheme="minorHAnsi" w:hAnsiTheme="minorHAnsi" w:cstheme="minorHAnsi"/>
        </w:rPr>
        <w:t xml:space="preserve">In the </w:t>
      </w:r>
      <w:r w:rsidRPr="00942C19">
        <w:t>instant</w:t>
      </w:r>
      <w:r w:rsidRPr="00942C19">
        <w:rPr>
          <w:rFonts w:asciiTheme="minorHAnsi" w:hAnsiTheme="minorHAnsi" w:cstheme="minorHAnsi"/>
        </w:rPr>
        <w:t xml:space="preserve"> Tariff Order, the cross subsidy structure has not undergone any significant change. No category is adversely affected; vis-à-vis the average cost of supply and the relative benefit</w:t>
      </w:r>
      <w:r w:rsidR="00505B7A" w:rsidRPr="00942C19">
        <w:rPr>
          <w:rFonts w:asciiTheme="minorHAnsi" w:hAnsiTheme="minorHAnsi" w:cstheme="minorHAnsi"/>
        </w:rPr>
        <w:t xml:space="preserve"> </w:t>
      </w:r>
      <w:r w:rsidRPr="00942C19">
        <w:rPr>
          <w:rFonts w:asciiTheme="minorHAnsi" w:hAnsiTheme="minorHAnsi" w:cstheme="minorHAnsi"/>
        </w:rPr>
        <w:t>/</w:t>
      </w:r>
      <w:r w:rsidR="00505B7A" w:rsidRPr="00942C19">
        <w:rPr>
          <w:rFonts w:asciiTheme="minorHAnsi" w:hAnsiTheme="minorHAnsi" w:cstheme="minorHAnsi"/>
        </w:rPr>
        <w:t xml:space="preserve"> </w:t>
      </w:r>
      <w:r w:rsidRPr="00942C19">
        <w:rPr>
          <w:rFonts w:asciiTheme="minorHAnsi" w:hAnsiTheme="minorHAnsi" w:cstheme="minorHAnsi"/>
        </w:rPr>
        <w:t xml:space="preserve">burden of subsidized / subsidizing class has been maintained. </w:t>
      </w:r>
    </w:p>
    <w:p w:rsidR="00A72BF3" w:rsidRPr="00942C19" w:rsidRDefault="00785E17" w:rsidP="00A72BF3">
      <w:pPr>
        <w:pStyle w:val="Caption"/>
        <w:keepNext/>
        <w:spacing w:line="276" w:lineRule="auto"/>
        <w:jc w:val="center"/>
        <w:rPr>
          <w:rFonts w:asciiTheme="minorHAnsi" w:hAnsiTheme="minorHAnsi" w:cstheme="minorHAnsi"/>
          <w:szCs w:val="24"/>
        </w:rPr>
      </w:pPr>
      <w:bookmarkStart w:id="846" w:name="_Toc336616149"/>
      <w:bookmarkStart w:id="847" w:name="_Toc336608565"/>
      <w:bookmarkStart w:id="848" w:name="_Toc336572530"/>
      <w:bookmarkStart w:id="849" w:name="_Toc338310729"/>
      <w:bookmarkStart w:id="850" w:name="_Toc338419558"/>
      <w:bookmarkStart w:id="851" w:name="_Toc357719757"/>
      <w:r w:rsidRPr="00942C19">
        <w:rPr>
          <w:rFonts w:asciiTheme="minorHAnsi" w:hAnsiTheme="minorHAnsi" w:cstheme="minorHAnsi"/>
          <w:szCs w:val="24"/>
        </w:rPr>
        <w:t xml:space="preserve">Table </w:t>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STYLEREF 1 \s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7</w:t>
      </w:r>
      <w:r w:rsidR="000C642E" w:rsidRPr="00942C19">
        <w:rPr>
          <w:rFonts w:asciiTheme="minorHAnsi" w:hAnsiTheme="minorHAnsi" w:cstheme="minorHAnsi"/>
          <w:szCs w:val="24"/>
        </w:rPr>
        <w:fldChar w:fldCharType="end"/>
      </w:r>
      <w:r w:rsidRPr="00942C19">
        <w:rPr>
          <w:rFonts w:asciiTheme="minorHAnsi" w:hAnsiTheme="minorHAnsi" w:cstheme="minorHAnsi"/>
          <w:szCs w:val="24"/>
        </w:rPr>
        <w:noBreakHyphen/>
      </w:r>
      <w:r w:rsidR="000C642E" w:rsidRPr="00942C19">
        <w:rPr>
          <w:rFonts w:asciiTheme="minorHAnsi" w:hAnsiTheme="minorHAnsi" w:cstheme="minorHAnsi"/>
          <w:szCs w:val="24"/>
        </w:rPr>
        <w:fldChar w:fldCharType="begin"/>
      </w:r>
      <w:r w:rsidRPr="00942C19">
        <w:rPr>
          <w:rFonts w:asciiTheme="minorHAnsi" w:hAnsiTheme="minorHAnsi" w:cstheme="minorHAnsi"/>
          <w:szCs w:val="24"/>
        </w:rPr>
        <w:instrText xml:space="preserve"> SEQ Table \* ARABIC \s 1 </w:instrText>
      </w:r>
      <w:r w:rsidR="000C642E" w:rsidRPr="00942C19">
        <w:rPr>
          <w:rFonts w:asciiTheme="minorHAnsi" w:hAnsiTheme="minorHAnsi" w:cstheme="minorHAnsi"/>
          <w:szCs w:val="24"/>
        </w:rPr>
        <w:fldChar w:fldCharType="separate"/>
      </w:r>
      <w:r w:rsidR="00984AA4" w:rsidRPr="00942C19">
        <w:rPr>
          <w:rFonts w:asciiTheme="minorHAnsi" w:hAnsiTheme="minorHAnsi" w:cstheme="minorHAnsi"/>
          <w:noProof/>
          <w:szCs w:val="24"/>
        </w:rPr>
        <w:t>3</w:t>
      </w:r>
      <w:r w:rsidR="000C642E" w:rsidRPr="00942C19">
        <w:rPr>
          <w:rFonts w:asciiTheme="minorHAnsi" w:hAnsiTheme="minorHAnsi" w:cstheme="minorHAnsi"/>
          <w:szCs w:val="24"/>
        </w:rPr>
        <w:fldChar w:fldCharType="end"/>
      </w:r>
      <w:r w:rsidRPr="00942C19">
        <w:rPr>
          <w:rFonts w:asciiTheme="minorHAnsi" w:hAnsiTheme="minorHAnsi" w:cstheme="minorHAnsi"/>
          <w:szCs w:val="24"/>
        </w:rPr>
        <w:t xml:space="preserve">: </w:t>
      </w:r>
      <w:bookmarkEnd w:id="846"/>
      <w:bookmarkEnd w:id="847"/>
      <w:bookmarkEnd w:id="848"/>
      <w:r w:rsidRPr="00942C19">
        <w:rPr>
          <w:rFonts w:asciiTheme="minorHAnsi" w:hAnsiTheme="minorHAnsi" w:cstheme="minorHAnsi"/>
          <w:szCs w:val="24"/>
        </w:rPr>
        <w:t>REVENUE REALIZED AS % OF ACOS</w:t>
      </w:r>
      <w:bookmarkEnd w:id="849"/>
      <w:bookmarkEnd w:id="850"/>
      <w:bookmarkEnd w:id="851"/>
    </w:p>
    <w:tbl>
      <w:tblPr>
        <w:tblW w:w="9249"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670"/>
        <w:gridCol w:w="1550"/>
        <w:gridCol w:w="1355"/>
        <w:gridCol w:w="1324"/>
        <w:gridCol w:w="1350"/>
      </w:tblGrid>
      <w:tr w:rsidR="00B21020" w:rsidRPr="00942C19" w:rsidTr="00B8736F">
        <w:trPr>
          <w:trHeight w:val="292"/>
        </w:trPr>
        <w:tc>
          <w:tcPr>
            <w:tcW w:w="3670" w:type="dxa"/>
            <w:vMerge w:val="restart"/>
            <w:shd w:val="clear" w:color="000000" w:fill="DBE5F1"/>
            <w:vAlign w:val="center"/>
            <w:hideMark/>
          </w:tcPr>
          <w:p w:rsidR="00B21020" w:rsidRPr="00942C19" w:rsidRDefault="00B21020" w:rsidP="00B21020">
            <w:pPr>
              <w:spacing w:before="0" w:line="240" w:lineRule="auto"/>
              <w:jc w:val="center"/>
              <w:rPr>
                <w:b/>
                <w:bCs/>
                <w:sz w:val="22"/>
                <w:szCs w:val="22"/>
                <w:lang w:val="en-US"/>
              </w:rPr>
            </w:pPr>
            <w:r w:rsidRPr="00942C19">
              <w:rPr>
                <w:b/>
                <w:bCs/>
                <w:sz w:val="22"/>
                <w:szCs w:val="22"/>
                <w:lang w:val="en-US"/>
              </w:rPr>
              <w:t>Consumer Categories</w:t>
            </w:r>
          </w:p>
        </w:tc>
        <w:tc>
          <w:tcPr>
            <w:tcW w:w="2905" w:type="dxa"/>
            <w:gridSpan w:val="2"/>
            <w:shd w:val="clear" w:color="000000" w:fill="DBE5F1"/>
            <w:vAlign w:val="center"/>
            <w:hideMark/>
          </w:tcPr>
          <w:p w:rsidR="00B21020" w:rsidRPr="00942C19" w:rsidRDefault="00B21020" w:rsidP="00B21020">
            <w:pPr>
              <w:spacing w:before="0" w:line="240" w:lineRule="auto"/>
              <w:jc w:val="center"/>
              <w:rPr>
                <w:b/>
                <w:bCs/>
                <w:color w:val="000000"/>
                <w:sz w:val="22"/>
                <w:szCs w:val="22"/>
                <w:lang w:val="en-US"/>
              </w:rPr>
            </w:pPr>
            <w:r w:rsidRPr="00942C19">
              <w:rPr>
                <w:b/>
                <w:bCs/>
                <w:color w:val="000000"/>
                <w:sz w:val="22"/>
                <w:szCs w:val="22"/>
                <w:lang w:val="en-US"/>
              </w:rPr>
              <w:t>Existing Tariff</w:t>
            </w:r>
          </w:p>
        </w:tc>
        <w:tc>
          <w:tcPr>
            <w:tcW w:w="2674" w:type="dxa"/>
            <w:gridSpan w:val="2"/>
            <w:shd w:val="clear" w:color="000000" w:fill="DBE5F1"/>
            <w:vAlign w:val="center"/>
            <w:hideMark/>
          </w:tcPr>
          <w:p w:rsidR="00B21020" w:rsidRPr="00942C19" w:rsidRDefault="00B21020" w:rsidP="00B21020">
            <w:pPr>
              <w:spacing w:before="0" w:line="240" w:lineRule="auto"/>
              <w:jc w:val="center"/>
              <w:rPr>
                <w:b/>
                <w:bCs/>
                <w:color w:val="000000"/>
                <w:sz w:val="22"/>
                <w:szCs w:val="22"/>
                <w:lang w:val="en-US"/>
              </w:rPr>
            </w:pPr>
            <w:r w:rsidRPr="00942C19">
              <w:rPr>
                <w:b/>
                <w:bCs/>
                <w:color w:val="000000"/>
                <w:sz w:val="22"/>
                <w:szCs w:val="22"/>
                <w:lang w:val="en-US"/>
              </w:rPr>
              <w:t>Proposed Tariff</w:t>
            </w:r>
          </w:p>
        </w:tc>
      </w:tr>
      <w:tr w:rsidR="00B21020" w:rsidRPr="00942C19" w:rsidTr="00B8736F">
        <w:trPr>
          <w:trHeight w:val="978"/>
        </w:trPr>
        <w:tc>
          <w:tcPr>
            <w:tcW w:w="3670" w:type="dxa"/>
            <w:vMerge/>
            <w:vAlign w:val="center"/>
            <w:hideMark/>
          </w:tcPr>
          <w:p w:rsidR="00B21020" w:rsidRPr="00942C19" w:rsidRDefault="00B21020" w:rsidP="00B21020">
            <w:pPr>
              <w:spacing w:before="0" w:line="240" w:lineRule="auto"/>
              <w:jc w:val="center"/>
              <w:rPr>
                <w:b/>
                <w:bCs/>
                <w:sz w:val="22"/>
                <w:szCs w:val="22"/>
                <w:lang w:val="en-US"/>
              </w:rPr>
            </w:pPr>
          </w:p>
        </w:tc>
        <w:tc>
          <w:tcPr>
            <w:tcW w:w="1550" w:type="dxa"/>
            <w:shd w:val="clear" w:color="000000" w:fill="DBE5F1"/>
            <w:vAlign w:val="center"/>
            <w:hideMark/>
          </w:tcPr>
          <w:p w:rsidR="00B21020" w:rsidRPr="00942C19" w:rsidRDefault="00B21020" w:rsidP="00B21020">
            <w:pPr>
              <w:spacing w:before="0" w:line="240" w:lineRule="auto"/>
              <w:jc w:val="center"/>
              <w:rPr>
                <w:b/>
                <w:bCs/>
                <w:color w:val="000000"/>
                <w:sz w:val="22"/>
                <w:szCs w:val="22"/>
                <w:lang w:val="en-US"/>
              </w:rPr>
            </w:pPr>
            <w:r w:rsidRPr="00942C19">
              <w:rPr>
                <w:b/>
                <w:bCs/>
                <w:color w:val="000000"/>
                <w:sz w:val="22"/>
                <w:szCs w:val="22"/>
                <w:lang w:val="en-US"/>
              </w:rPr>
              <w:t>Avg Revenue</w:t>
            </w:r>
            <w:r w:rsidRPr="00942C19">
              <w:rPr>
                <w:b/>
                <w:bCs/>
                <w:color w:val="000000"/>
                <w:sz w:val="22"/>
                <w:szCs w:val="22"/>
                <w:lang w:val="en-US"/>
              </w:rPr>
              <w:br/>
              <w:t>(Rs. / kWh)</w:t>
            </w:r>
          </w:p>
        </w:tc>
        <w:tc>
          <w:tcPr>
            <w:tcW w:w="1355" w:type="dxa"/>
            <w:shd w:val="clear" w:color="000000" w:fill="DBE5F1"/>
            <w:vAlign w:val="center"/>
            <w:hideMark/>
          </w:tcPr>
          <w:p w:rsidR="00B21020" w:rsidRPr="00942C19" w:rsidRDefault="00B21020" w:rsidP="00B21020">
            <w:pPr>
              <w:spacing w:before="0" w:line="240" w:lineRule="auto"/>
              <w:jc w:val="center"/>
              <w:rPr>
                <w:b/>
                <w:bCs/>
                <w:color w:val="000000"/>
                <w:sz w:val="22"/>
                <w:szCs w:val="22"/>
                <w:lang w:val="en-US"/>
              </w:rPr>
            </w:pPr>
            <w:r w:rsidRPr="00942C19">
              <w:rPr>
                <w:b/>
                <w:bCs/>
                <w:color w:val="000000"/>
                <w:sz w:val="22"/>
                <w:szCs w:val="22"/>
                <w:lang w:val="en-US"/>
              </w:rPr>
              <w:t>Avg Revenue / unit % of ACOS</w:t>
            </w:r>
          </w:p>
        </w:tc>
        <w:tc>
          <w:tcPr>
            <w:tcW w:w="1324" w:type="dxa"/>
            <w:shd w:val="clear" w:color="000000" w:fill="DBE5F1"/>
            <w:vAlign w:val="center"/>
            <w:hideMark/>
          </w:tcPr>
          <w:p w:rsidR="00B21020" w:rsidRPr="00942C19" w:rsidRDefault="00B21020" w:rsidP="00B21020">
            <w:pPr>
              <w:spacing w:before="0" w:line="240" w:lineRule="auto"/>
              <w:jc w:val="center"/>
              <w:rPr>
                <w:b/>
                <w:bCs/>
                <w:color w:val="000000"/>
                <w:sz w:val="22"/>
                <w:szCs w:val="22"/>
                <w:lang w:val="en-US"/>
              </w:rPr>
            </w:pPr>
            <w:r w:rsidRPr="00942C19">
              <w:rPr>
                <w:b/>
                <w:bCs/>
                <w:color w:val="000000"/>
                <w:sz w:val="22"/>
                <w:szCs w:val="22"/>
                <w:lang w:val="en-US"/>
              </w:rPr>
              <w:t>Avg Revenue</w:t>
            </w:r>
            <w:r w:rsidRPr="00942C19">
              <w:rPr>
                <w:b/>
                <w:bCs/>
                <w:color w:val="000000"/>
                <w:sz w:val="22"/>
                <w:szCs w:val="22"/>
                <w:lang w:val="en-US"/>
              </w:rPr>
              <w:br/>
              <w:t>(Rs. / kWh)</w:t>
            </w:r>
          </w:p>
        </w:tc>
        <w:tc>
          <w:tcPr>
            <w:tcW w:w="1350" w:type="dxa"/>
            <w:shd w:val="clear" w:color="000000" w:fill="DBE5F1"/>
            <w:vAlign w:val="center"/>
            <w:hideMark/>
          </w:tcPr>
          <w:p w:rsidR="00B21020" w:rsidRPr="00942C19" w:rsidRDefault="00B21020" w:rsidP="00B21020">
            <w:pPr>
              <w:spacing w:before="0" w:line="240" w:lineRule="auto"/>
              <w:jc w:val="center"/>
              <w:rPr>
                <w:b/>
                <w:bCs/>
                <w:color w:val="000000"/>
                <w:sz w:val="22"/>
                <w:szCs w:val="22"/>
                <w:lang w:val="en-US"/>
              </w:rPr>
            </w:pPr>
            <w:r w:rsidRPr="00942C19">
              <w:rPr>
                <w:b/>
                <w:bCs/>
                <w:color w:val="000000"/>
                <w:sz w:val="22"/>
                <w:szCs w:val="22"/>
                <w:lang w:val="en-US"/>
              </w:rPr>
              <w:t>Avg Revenue / unit % of ACOS</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LMV-1: Domestic</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3.23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53%</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4.00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65%</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LMV-2:Non-Domestic</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7.39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120%</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6.80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111%</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LMV-3: Public Lamps</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6.03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99%</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6.16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101%</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LMV-4: Institutions</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6.97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114%</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7.42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120%</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LMV-5: Private Tube Wells</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1.19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19%</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1.76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29%</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 6: Small and Medium Power</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7.34</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120%</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7.03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115%</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LMV-7: Public Water Works</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6.40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105%</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6.54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107%</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LMV-8: State Tube Wells</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6.40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104%</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6.70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108%</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LMV-9: Temporary Supply</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7.15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117%</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7.43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121%</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LMV-10: Departmental Employees</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2.06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34%</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2.25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37%</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HV-1: Non-Industrial Bulk Loads</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7.25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118%</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7.35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120%</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HV-2: Large and Heavy Power</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7.02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115%</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7.02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115%</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HV-3: Railway Traction</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6.41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105%</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7.32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120%</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HV-4: Lift Irrigation</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7.01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115%</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7.29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119%</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left"/>
              <w:rPr>
                <w:color w:val="000000"/>
                <w:sz w:val="22"/>
                <w:szCs w:val="22"/>
                <w:lang w:val="en-US"/>
              </w:rPr>
            </w:pPr>
            <w:r w:rsidRPr="00942C19">
              <w:rPr>
                <w:color w:val="000000"/>
                <w:sz w:val="22"/>
                <w:szCs w:val="22"/>
                <w:lang w:val="en-US"/>
              </w:rPr>
              <w:t>Extra state &amp; Bulk</w:t>
            </w:r>
          </w:p>
        </w:tc>
        <w:tc>
          <w:tcPr>
            <w:tcW w:w="1550"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 xml:space="preserve">3.39 </w:t>
            </w:r>
          </w:p>
        </w:tc>
        <w:tc>
          <w:tcPr>
            <w:tcW w:w="1355" w:type="dxa"/>
            <w:shd w:val="clear" w:color="auto" w:fill="auto"/>
            <w:noWrap/>
            <w:vAlign w:val="center"/>
            <w:hideMark/>
          </w:tcPr>
          <w:p w:rsidR="00155FB3" w:rsidRPr="00942C19" w:rsidRDefault="00155FB3" w:rsidP="00155FB3">
            <w:pPr>
              <w:spacing w:before="0"/>
              <w:jc w:val="center"/>
              <w:rPr>
                <w:sz w:val="22"/>
                <w:szCs w:val="22"/>
              </w:rPr>
            </w:pPr>
            <w:r w:rsidRPr="00942C19">
              <w:rPr>
                <w:sz w:val="22"/>
                <w:szCs w:val="22"/>
              </w:rPr>
              <w:t>55%</w:t>
            </w:r>
          </w:p>
        </w:tc>
        <w:tc>
          <w:tcPr>
            <w:tcW w:w="1324"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 xml:space="preserve">3.92 </w:t>
            </w:r>
          </w:p>
        </w:tc>
        <w:tc>
          <w:tcPr>
            <w:tcW w:w="1350" w:type="dxa"/>
            <w:shd w:val="clear" w:color="auto" w:fill="auto"/>
            <w:noWrap/>
            <w:vAlign w:val="center"/>
            <w:hideMark/>
          </w:tcPr>
          <w:p w:rsidR="0084795B" w:rsidRPr="00942C19" w:rsidRDefault="001341A4">
            <w:pPr>
              <w:spacing w:before="0" w:line="240" w:lineRule="auto"/>
              <w:jc w:val="center"/>
              <w:rPr>
                <w:color w:val="000000"/>
                <w:sz w:val="22"/>
                <w:szCs w:val="22"/>
                <w:lang w:val="en-US"/>
              </w:rPr>
            </w:pPr>
            <w:r w:rsidRPr="00942C19">
              <w:rPr>
                <w:rFonts w:cs="Calibri"/>
                <w:color w:val="000000"/>
                <w:sz w:val="22"/>
                <w:szCs w:val="22"/>
              </w:rPr>
              <w:t>64%</w:t>
            </w:r>
          </w:p>
        </w:tc>
      </w:tr>
      <w:tr w:rsidR="001341A4" w:rsidRPr="00942C19" w:rsidTr="001341A4">
        <w:trPr>
          <w:trHeight w:val="292"/>
        </w:trPr>
        <w:tc>
          <w:tcPr>
            <w:tcW w:w="3670" w:type="dxa"/>
            <w:shd w:val="clear" w:color="auto" w:fill="auto"/>
            <w:noWrap/>
            <w:vAlign w:val="center"/>
            <w:hideMark/>
          </w:tcPr>
          <w:p w:rsidR="001341A4" w:rsidRPr="00942C19" w:rsidRDefault="001341A4" w:rsidP="00B21020">
            <w:pPr>
              <w:spacing w:before="0" w:line="240" w:lineRule="auto"/>
              <w:jc w:val="center"/>
              <w:rPr>
                <w:b/>
                <w:bCs/>
                <w:color w:val="000000"/>
                <w:sz w:val="22"/>
                <w:szCs w:val="22"/>
                <w:lang w:val="en-US"/>
              </w:rPr>
            </w:pPr>
            <w:r w:rsidRPr="00942C19">
              <w:rPr>
                <w:b/>
                <w:bCs/>
                <w:color w:val="000000"/>
                <w:sz w:val="22"/>
                <w:szCs w:val="22"/>
                <w:lang w:val="en-US"/>
              </w:rPr>
              <w:t>Total</w:t>
            </w:r>
          </w:p>
        </w:tc>
        <w:tc>
          <w:tcPr>
            <w:tcW w:w="1550" w:type="dxa"/>
            <w:shd w:val="clear" w:color="auto" w:fill="auto"/>
            <w:noWrap/>
            <w:vAlign w:val="center"/>
            <w:hideMark/>
          </w:tcPr>
          <w:p w:rsidR="00155FB3" w:rsidRPr="00942C19" w:rsidRDefault="00155FB3" w:rsidP="00155FB3">
            <w:pPr>
              <w:spacing w:before="0"/>
              <w:jc w:val="center"/>
              <w:rPr>
                <w:b/>
                <w:sz w:val="22"/>
                <w:szCs w:val="22"/>
              </w:rPr>
            </w:pPr>
            <w:r w:rsidRPr="00942C19">
              <w:rPr>
                <w:b/>
                <w:sz w:val="22"/>
                <w:szCs w:val="22"/>
              </w:rPr>
              <w:t xml:space="preserve">5.09 </w:t>
            </w:r>
          </w:p>
        </w:tc>
        <w:tc>
          <w:tcPr>
            <w:tcW w:w="1355" w:type="dxa"/>
            <w:shd w:val="clear" w:color="auto" w:fill="auto"/>
            <w:noWrap/>
            <w:vAlign w:val="center"/>
            <w:hideMark/>
          </w:tcPr>
          <w:p w:rsidR="00155FB3" w:rsidRPr="00942C19" w:rsidRDefault="00155FB3" w:rsidP="00155FB3">
            <w:pPr>
              <w:spacing w:before="0"/>
              <w:jc w:val="center"/>
              <w:rPr>
                <w:b/>
                <w:sz w:val="22"/>
                <w:szCs w:val="22"/>
              </w:rPr>
            </w:pPr>
            <w:r w:rsidRPr="00942C19">
              <w:rPr>
                <w:b/>
                <w:sz w:val="22"/>
                <w:szCs w:val="22"/>
              </w:rPr>
              <w:t>83%</w:t>
            </w:r>
          </w:p>
        </w:tc>
        <w:tc>
          <w:tcPr>
            <w:tcW w:w="1324" w:type="dxa"/>
            <w:shd w:val="clear" w:color="auto" w:fill="auto"/>
            <w:noWrap/>
            <w:vAlign w:val="center"/>
            <w:hideMark/>
          </w:tcPr>
          <w:p w:rsidR="0084795B" w:rsidRPr="00942C19" w:rsidRDefault="001341A4">
            <w:pPr>
              <w:spacing w:before="0" w:line="240" w:lineRule="auto"/>
              <w:jc w:val="center"/>
              <w:rPr>
                <w:b/>
                <w:bCs/>
                <w:color w:val="000000"/>
                <w:sz w:val="22"/>
                <w:szCs w:val="22"/>
                <w:lang w:val="en-US"/>
              </w:rPr>
            </w:pPr>
            <w:r w:rsidRPr="00942C19">
              <w:rPr>
                <w:rFonts w:cs="Calibri"/>
                <w:b/>
                <w:bCs/>
                <w:color w:val="000000"/>
                <w:sz w:val="22"/>
                <w:szCs w:val="22"/>
              </w:rPr>
              <w:t xml:space="preserve">5.37 </w:t>
            </w:r>
          </w:p>
        </w:tc>
        <w:tc>
          <w:tcPr>
            <w:tcW w:w="1350" w:type="dxa"/>
            <w:shd w:val="clear" w:color="auto" w:fill="auto"/>
            <w:noWrap/>
            <w:vAlign w:val="center"/>
            <w:hideMark/>
          </w:tcPr>
          <w:p w:rsidR="0084795B" w:rsidRPr="00942C19" w:rsidRDefault="001341A4">
            <w:pPr>
              <w:spacing w:before="0" w:line="240" w:lineRule="auto"/>
              <w:jc w:val="center"/>
              <w:rPr>
                <w:b/>
                <w:bCs/>
                <w:color w:val="000000"/>
                <w:sz w:val="22"/>
                <w:szCs w:val="22"/>
                <w:lang w:val="en-US"/>
              </w:rPr>
            </w:pPr>
            <w:r w:rsidRPr="00942C19">
              <w:rPr>
                <w:rFonts w:cs="Calibri"/>
                <w:b/>
                <w:bCs/>
                <w:color w:val="000000"/>
                <w:sz w:val="22"/>
                <w:szCs w:val="22"/>
              </w:rPr>
              <w:t>88%</w:t>
            </w:r>
          </w:p>
        </w:tc>
      </w:tr>
    </w:tbl>
    <w:p w:rsidR="00A72BF3" w:rsidRPr="00942C19" w:rsidRDefault="00A72BF3" w:rsidP="00A72BF3">
      <w:pPr>
        <w:jc w:val="center"/>
      </w:pPr>
    </w:p>
    <w:p w:rsidR="00A72BF3" w:rsidRPr="00942C19" w:rsidRDefault="00A72BF3" w:rsidP="00A72BF3">
      <w:pPr>
        <w:pStyle w:val="Heading2"/>
        <w:numPr>
          <w:ilvl w:val="1"/>
          <w:numId w:val="1"/>
        </w:numPr>
        <w:ind w:left="780" w:hanging="780"/>
      </w:pPr>
      <w:bookmarkStart w:id="852" w:name="_Toc357345052"/>
      <w:bookmarkStart w:id="853" w:name="_Toc357714428"/>
      <w:r w:rsidRPr="00942C19">
        <w:t>REGULATORY SURCHARGE</w:t>
      </w:r>
      <w:bookmarkEnd w:id="852"/>
      <w:bookmarkEnd w:id="853"/>
    </w:p>
    <w:p w:rsidR="00A72BF3" w:rsidRPr="00942C19" w:rsidRDefault="00A72BF3" w:rsidP="00A72BF3"/>
    <w:p w:rsidR="004A205B" w:rsidRPr="00942C19" w:rsidRDefault="004A205B" w:rsidP="004A205B">
      <w:pPr>
        <w:pStyle w:val="Heading3"/>
        <w:numPr>
          <w:ilvl w:val="2"/>
          <w:numId w:val="1"/>
        </w:numPr>
        <w:tabs>
          <w:tab w:val="num" w:pos="720"/>
        </w:tabs>
        <w:spacing w:before="0"/>
      </w:pPr>
      <w:r w:rsidRPr="00942C19">
        <w:t>The Commission in the Order dated 21</w:t>
      </w:r>
      <w:r w:rsidRPr="00942C19">
        <w:rPr>
          <w:vertAlign w:val="superscript"/>
        </w:rPr>
        <w:t>st</w:t>
      </w:r>
      <w:r w:rsidRPr="00942C19">
        <w:t xml:space="preserve"> May, 2013 in Petition No. 809 of 2012 had determined a consolidated revenue gap of Rs. 2,487.93 crores consequent to final truing up for FY 2000-01 to 2007-08 in respect of the Distribution Licensees namely DVVNL, MVVNL, PVVNL and PuVVNL.</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720"/>
        </w:tabs>
        <w:spacing w:before="0"/>
        <w:ind w:left="810" w:hanging="810"/>
      </w:pPr>
      <w:r w:rsidRPr="00942C19">
        <w:t>The Hon’ble APTEL in OP No. 1 of 2011 dated 11</w:t>
      </w:r>
      <w:r w:rsidRPr="00942C19">
        <w:rPr>
          <w:vertAlign w:val="superscript"/>
        </w:rPr>
        <w:t>th</w:t>
      </w:r>
      <w:r w:rsidRPr="00942C19">
        <w:t xml:space="preserve"> November, 2011, has emphasized on timely recovery of regulatory assets. The relevant observation of the Hon’ble APTEL in the said matter is as under:</w:t>
      </w:r>
    </w:p>
    <w:p w:rsidR="004A205B" w:rsidRPr="00942C19" w:rsidRDefault="004A205B" w:rsidP="004A205B">
      <w:pPr>
        <w:tabs>
          <w:tab w:val="num" w:pos="720"/>
        </w:tabs>
        <w:ind w:left="810"/>
        <w:rPr>
          <w:i/>
        </w:rPr>
      </w:pPr>
      <w:r w:rsidRPr="00942C19">
        <w:rPr>
          <w:i/>
        </w:rPr>
        <w:t xml:space="preserve">“66…… (iv) </w:t>
      </w:r>
      <w:r w:rsidRPr="00942C19">
        <w:rPr>
          <w:b/>
          <w:i/>
        </w:rPr>
        <w:t>In determination of ARR / Tariff, the revenue gaps ought not to be left and Regulatory Asset</w:t>
      </w:r>
      <w:r w:rsidRPr="00942C19">
        <w:rPr>
          <w:i/>
        </w:rPr>
        <w:t xml:space="preserve"> should not be created as a matter of course except where it is justifiable, in accordance with the Tariff policy and the Regulations. </w:t>
      </w:r>
      <w:r w:rsidRPr="00942C19">
        <w:rPr>
          <w:b/>
          <w:i/>
        </w:rPr>
        <w:t>The recovery of the Regulatory Asset should be time bound and within a period not exceeding three years at the most and preferable within Control period. Carrying Cost of the Regulatory Asset should be allowed to utilities in the ARR of the year in which the Regulatory Assets are created to avoid problem of cash flow to the Distribution Licensee.</w:t>
      </w:r>
      <w:r w:rsidRPr="00942C19">
        <w:rPr>
          <w:i/>
        </w:rPr>
        <w:t xml:space="preserve">” </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720"/>
        </w:tabs>
        <w:spacing w:before="0"/>
        <w:ind w:left="630" w:hanging="630"/>
      </w:pPr>
      <w:r w:rsidRPr="00942C19">
        <w:t>Clause 6.12 of the Distribution Tariff Regulations also stipulates that a regulatory asset may be amortised within a period of three years.</w:t>
      </w:r>
    </w:p>
    <w:p w:rsidR="004A205B" w:rsidRPr="00942C19" w:rsidRDefault="00155FB3" w:rsidP="004A205B">
      <w:pPr>
        <w:pStyle w:val="Heading3"/>
        <w:numPr>
          <w:ilvl w:val="0"/>
          <w:numId w:val="0"/>
        </w:numPr>
        <w:tabs>
          <w:tab w:val="num" w:pos="720"/>
        </w:tabs>
        <w:ind w:left="630"/>
        <w:rPr>
          <w:b/>
          <w:i/>
        </w:rPr>
      </w:pPr>
      <w:r w:rsidRPr="00942C19">
        <w:rPr>
          <w:b/>
          <w:i/>
        </w:rPr>
        <w:t>6.12 Regulatory Asset:</w:t>
      </w:r>
    </w:p>
    <w:p w:rsidR="004A205B" w:rsidRPr="00942C19" w:rsidRDefault="004A205B" w:rsidP="004A205B">
      <w:pPr>
        <w:pStyle w:val="Heading3"/>
        <w:numPr>
          <w:ilvl w:val="0"/>
          <w:numId w:val="0"/>
        </w:numPr>
        <w:tabs>
          <w:tab w:val="num" w:pos="720"/>
        </w:tabs>
        <w:spacing w:before="0"/>
        <w:ind w:left="630"/>
        <w:rPr>
          <w:i/>
        </w:rPr>
      </w:pPr>
      <w:r w:rsidRPr="00942C19">
        <w:rPr>
          <w:i/>
        </w:rPr>
        <w:t>1. Creation of Regulatory Asset only for the purposes of avoiding tariff increase shall not be allowed and it shall only be created to take care of natural causes or force majeure conditions or major tariff shocks. The Commission shall have the discretion of providing regulatory asset.</w:t>
      </w:r>
    </w:p>
    <w:p w:rsidR="004A205B" w:rsidRPr="00942C19" w:rsidRDefault="004A205B" w:rsidP="004A205B">
      <w:pPr>
        <w:pStyle w:val="Heading3"/>
        <w:numPr>
          <w:ilvl w:val="0"/>
          <w:numId w:val="0"/>
        </w:numPr>
        <w:tabs>
          <w:tab w:val="num" w:pos="720"/>
        </w:tabs>
        <w:spacing w:before="0"/>
        <w:ind w:left="630"/>
        <w:rPr>
          <w:i/>
        </w:rPr>
      </w:pPr>
      <w:r w:rsidRPr="00942C19">
        <w:rPr>
          <w:i/>
        </w:rPr>
        <w:t>2. The use of the facility of Regulatory Asset shall not be repetitive.</w:t>
      </w:r>
    </w:p>
    <w:p w:rsidR="004A205B" w:rsidRPr="00942C19" w:rsidRDefault="004A205B" w:rsidP="004A205B">
      <w:pPr>
        <w:pStyle w:val="Heading3"/>
        <w:numPr>
          <w:ilvl w:val="0"/>
          <w:numId w:val="0"/>
        </w:numPr>
        <w:tabs>
          <w:tab w:val="num" w:pos="720"/>
        </w:tabs>
        <w:spacing w:before="0"/>
        <w:ind w:left="630"/>
        <w:rPr>
          <w:i/>
        </w:rPr>
      </w:pPr>
      <w:r w:rsidRPr="00942C19">
        <w:rPr>
          <w:i/>
        </w:rPr>
        <w:t xml:space="preserve">3. Depending on the amount of Regulatory Asset accepted by the Commission, the Commission shall stipulate the amortization and financing of such assets. </w:t>
      </w:r>
      <w:r w:rsidRPr="00942C19">
        <w:rPr>
          <w:b/>
          <w:i/>
        </w:rPr>
        <w:t>Regulatory Asset shall be recovered within a period not exceeding three years immediately following the year in which it is created.” (Emphasis supplied)</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720"/>
        </w:tabs>
        <w:spacing w:before="0"/>
      </w:pPr>
      <w:r w:rsidRPr="00942C19">
        <w:t>The Commission in the Order dated 21</w:t>
      </w:r>
      <w:r w:rsidRPr="00942C19">
        <w:rPr>
          <w:vertAlign w:val="superscript"/>
        </w:rPr>
        <w:t>st</w:t>
      </w:r>
      <w:r w:rsidRPr="00942C19">
        <w:t xml:space="preserve"> May, 2013 had stipulated that the revenue gaps determined therein would be </w:t>
      </w:r>
      <w:r w:rsidR="00903E6E" w:rsidRPr="00942C19">
        <w:t xml:space="preserve">considered </w:t>
      </w:r>
      <w:r w:rsidRPr="00942C19">
        <w:t>in the ARR</w:t>
      </w:r>
      <w:r w:rsidR="00903E6E" w:rsidRPr="00942C19">
        <w:t>s</w:t>
      </w:r>
      <w:r w:rsidRPr="00942C19">
        <w:t xml:space="preserve"> of FY 2013-14 or any other subsequent year for recovery through tariff.</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720"/>
        </w:tabs>
        <w:spacing w:before="0"/>
      </w:pPr>
      <w:r w:rsidRPr="00942C19">
        <w:t>In view of the Distribution Tariff Regulations and the Hon’ble APTEL judgment in OP No. 1 of 2011, the Commission has approved 50% recovery of the revenue gap approved in Order dated 21</w:t>
      </w:r>
      <w:r w:rsidRPr="00942C19">
        <w:rPr>
          <w:vertAlign w:val="superscript"/>
        </w:rPr>
        <w:t>st</w:t>
      </w:r>
      <w:r w:rsidRPr="00942C19">
        <w:t xml:space="preserve"> May, 2013 amounting to Rs. 1,243.96 crores for consolidated Discoms and has allowed its adjustment in the ARR</w:t>
      </w:r>
      <w:r w:rsidR="00903E6E" w:rsidRPr="00942C19">
        <w:t>s</w:t>
      </w:r>
      <w:r w:rsidRPr="00942C19">
        <w:t xml:space="preserve"> for FY 2013-14. Balance 50% of the revenue gap along with carrying cost from the date of the Order (i.e., 21</w:t>
      </w:r>
      <w:r w:rsidRPr="00942C19">
        <w:rPr>
          <w:vertAlign w:val="superscript"/>
        </w:rPr>
        <w:t>st</w:t>
      </w:r>
      <w:r w:rsidRPr="00942C19">
        <w:t xml:space="preserve"> May, 2013) would be allowed to be recovered from the ARR</w:t>
      </w:r>
      <w:r w:rsidR="00903E6E" w:rsidRPr="00942C19">
        <w:t>s</w:t>
      </w:r>
      <w:r w:rsidRPr="00942C19">
        <w:t xml:space="preserve"> of FY 2014-15 or any other subsequent year. </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The mandate of the Commission in the process of determination of ARR / Tariff is to provide ways for bridging of gap, and the revenue gaps ought not to be left and regulatory asset should not be created as a matter of course except where it is justifiable, and in accordance with the Tariff Policy and the Distribution Tariff Regulations</w:t>
      </w:r>
      <w:r w:rsidR="00903E6E" w:rsidRPr="00942C19">
        <w:t>.</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 xml:space="preserve">After providing for the tariff hike and additional subsidy requirement from GoUP, there is a balance revenue gap of Rs. 900.37 crores at consolidated Discoms level. </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It can be seen that the balance recoverable gap for FY 2013-14 is towards the regulatory asset consequent to final truing up for FY 2000-01 to 2007-08.</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 xml:space="preserve">In view of the above, it would be relevant to note that the Delhi Electricity Regulatory Commission, in the cases of TPDDL, BYPL and BRPL, in their Tariff Orders, while approving Annual Revenue Requirement for the MYT period from FY 2012 - 13 to F Y 2014-15, has allowed a regulatory surcharge @ 8% for recovery of past accumulated regulatory asset. </w:t>
      </w:r>
    </w:p>
    <w:p w:rsidR="00155FB3" w:rsidRPr="00942C19" w:rsidRDefault="00155FB3" w:rsidP="00155FB3">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Similarly, the Commission in the case of NPCL, had allowed a regulatory surcharge @ 8% for recovery of past accumulated regulatory asset in the Tariff Order for FY 2012-13 dated 19</w:t>
      </w:r>
      <w:r w:rsidRPr="00942C19">
        <w:rPr>
          <w:vertAlign w:val="superscript"/>
        </w:rPr>
        <w:t>th</w:t>
      </w:r>
      <w:r w:rsidRPr="00942C19">
        <w:t xml:space="preserve"> October, 2012.</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 xml:space="preserve">Thus, for liquidation of the regulatory asset, the Commission has decided to introduce a surcharge of 3.71% over </w:t>
      </w:r>
      <w:r w:rsidR="00155FB3" w:rsidRPr="00942C19">
        <w:rPr>
          <w:b/>
        </w:rPr>
        <w:t>“RATE”</w:t>
      </w:r>
      <w:r w:rsidRPr="00942C19">
        <w:t xml:space="preserve"> as defined in the Rate Schedule for FY 2013-14. </w:t>
      </w:r>
      <w:r w:rsidR="0086176A" w:rsidRPr="00942C19">
        <w:t xml:space="preserve">Such surcharge would be applicable in the supply areas of DVVNL, MVVNL, PVVNL and PuVVNL. </w:t>
      </w:r>
      <w:r w:rsidRPr="00942C19">
        <w:t>The details are provided in the table below:</w:t>
      </w:r>
    </w:p>
    <w:p w:rsidR="004A205B" w:rsidRPr="00942C19" w:rsidRDefault="004A205B" w:rsidP="004A205B">
      <w:pPr>
        <w:pStyle w:val="ListParagraph"/>
      </w:pPr>
    </w:p>
    <w:p w:rsidR="004A205B" w:rsidRPr="00942C19" w:rsidRDefault="004A205B" w:rsidP="004A205B">
      <w:pPr>
        <w:pStyle w:val="Heading3"/>
        <w:numPr>
          <w:ilvl w:val="0"/>
          <w:numId w:val="0"/>
        </w:numPr>
        <w:spacing w:before="0"/>
        <w:ind w:left="936"/>
        <w:jc w:val="center"/>
        <w:rPr>
          <w:b/>
        </w:rPr>
      </w:pPr>
      <w:bookmarkStart w:id="854" w:name="_Toc357719758"/>
      <w:r w:rsidRPr="00942C19">
        <w:rPr>
          <w:rFonts w:asciiTheme="minorHAnsi" w:hAnsiTheme="minorHAnsi" w:cstheme="minorHAnsi"/>
          <w:b/>
          <w:szCs w:val="24"/>
        </w:rPr>
        <w:t xml:space="preserve">Table </w:t>
      </w:r>
      <w:r w:rsidR="000C642E" w:rsidRPr="00942C19">
        <w:rPr>
          <w:rFonts w:asciiTheme="minorHAnsi" w:hAnsiTheme="minorHAnsi" w:cstheme="minorHAnsi"/>
          <w:b/>
          <w:szCs w:val="24"/>
        </w:rPr>
        <w:fldChar w:fldCharType="begin"/>
      </w:r>
      <w:r w:rsidRPr="00942C19">
        <w:rPr>
          <w:rFonts w:asciiTheme="minorHAnsi" w:hAnsiTheme="minorHAnsi" w:cstheme="minorHAnsi"/>
          <w:b/>
          <w:szCs w:val="24"/>
        </w:rPr>
        <w:instrText xml:space="preserve"> STYLEREF 1 \s </w:instrText>
      </w:r>
      <w:r w:rsidR="000C642E" w:rsidRPr="00942C19">
        <w:rPr>
          <w:rFonts w:asciiTheme="minorHAnsi" w:hAnsiTheme="minorHAnsi" w:cstheme="minorHAnsi"/>
          <w:b/>
          <w:szCs w:val="24"/>
        </w:rPr>
        <w:fldChar w:fldCharType="separate"/>
      </w:r>
      <w:r w:rsidRPr="00942C19">
        <w:rPr>
          <w:rFonts w:asciiTheme="minorHAnsi" w:hAnsiTheme="minorHAnsi" w:cstheme="minorHAnsi"/>
          <w:b/>
          <w:noProof/>
          <w:szCs w:val="24"/>
        </w:rPr>
        <w:t>7</w:t>
      </w:r>
      <w:r w:rsidR="000C642E" w:rsidRPr="00942C19">
        <w:rPr>
          <w:rFonts w:asciiTheme="minorHAnsi" w:hAnsiTheme="minorHAnsi" w:cstheme="minorHAnsi"/>
          <w:b/>
          <w:szCs w:val="24"/>
        </w:rPr>
        <w:fldChar w:fldCharType="end"/>
      </w:r>
      <w:r w:rsidRPr="00942C19">
        <w:rPr>
          <w:rFonts w:asciiTheme="minorHAnsi" w:hAnsiTheme="minorHAnsi" w:cstheme="minorHAnsi"/>
          <w:b/>
          <w:szCs w:val="24"/>
        </w:rPr>
        <w:noBreakHyphen/>
      </w:r>
      <w:r w:rsidR="000C642E" w:rsidRPr="00942C19">
        <w:rPr>
          <w:rFonts w:asciiTheme="minorHAnsi" w:hAnsiTheme="minorHAnsi" w:cstheme="minorHAnsi"/>
          <w:b/>
          <w:szCs w:val="24"/>
        </w:rPr>
        <w:fldChar w:fldCharType="begin"/>
      </w:r>
      <w:r w:rsidRPr="00942C19">
        <w:rPr>
          <w:rFonts w:asciiTheme="minorHAnsi" w:hAnsiTheme="minorHAnsi" w:cstheme="minorHAnsi"/>
          <w:b/>
          <w:szCs w:val="24"/>
        </w:rPr>
        <w:instrText xml:space="preserve"> SEQ Table \* ARABIC \s 1 </w:instrText>
      </w:r>
      <w:r w:rsidR="000C642E" w:rsidRPr="00942C19">
        <w:rPr>
          <w:rFonts w:asciiTheme="minorHAnsi" w:hAnsiTheme="minorHAnsi" w:cstheme="minorHAnsi"/>
          <w:b/>
          <w:szCs w:val="24"/>
        </w:rPr>
        <w:fldChar w:fldCharType="separate"/>
      </w:r>
      <w:r w:rsidRPr="00942C19">
        <w:rPr>
          <w:rFonts w:asciiTheme="minorHAnsi" w:hAnsiTheme="minorHAnsi" w:cstheme="minorHAnsi"/>
          <w:b/>
          <w:noProof/>
          <w:szCs w:val="24"/>
        </w:rPr>
        <w:t>4</w:t>
      </w:r>
      <w:r w:rsidR="000C642E" w:rsidRPr="00942C19">
        <w:rPr>
          <w:rFonts w:asciiTheme="minorHAnsi" w:hAnsiTheme="minorHAnsi" w:cstheme="minorHAnsi"/>
          <w:b/>
          <w:szCs w:val="24"/>
        </w:rPr>
        <w:fldChar w:fldCharType="end"/>
      </w:r>
      <w:r w:rsidRPr="00942C19">
        <w:rPr>
          <w:rFonts w:asciiTheme="minorHAnsi" w:hAnsiTheme="minorHAnsi" w:cstheme="minorHAnsi"/>
          <w:b/>
          <w:szCs w:val="24"/>
        </w:rPr>
        <w:t>: REGULATORY SURCHARGE FOR FY 2013-14</w:t>
      </w:r>
      <w:bookmarkEnd w:id="854"/>
      <w:r w:rsidR="003B0035">
        <w:rPr>
          <w:rFonts w:asciiTheme="minorHAnsi" w:hAnsiTheme="minorHAnsi" w:cstheme="minorHAnsi"/>
          <w:b/>
          <w:szCs w:val="24"/>
        </w:rPr>
        <w:t xml:space="preserve"> (Rs Crores)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38"/>
        <w:gridCol w:w="1274"/>
        <w:gridCol w:w="1026"/>
        <w:gridCol w:w="1028"/>
        <w:gridCol w:w="1028"/>
        <w:gridCol w:w="1028"/>
        <w:gridCol w:w="1335"/>
      </w:tblGrid>
      <w:tr w:rsidR="00142BD4" w:rsidRPr="00942C19" w:rsidTr="004E2AB9">
        <w:trPr>
          <w:trHeight w:val="510"/>
          <w:tblHeader/>
        </w:trPr>
        <w:tc>
          <w:tcPr>
            <w:tcW w:w="1249" w:type="pct"/>
            <w:shd w:val="clear" w:color="000000" w:fill="DBE5F1"/>
            <w:vAlign w:val="center"/>
            <w:hideMark/>
          </w:tcPr>
          <w:p w:rsidR="00142BD4" w:rsidRPr="00942C19" w:rsidRDefault="00142BD4" w:rsidP="004E2AB9">
            <w:pPr>
              <w:spacing w:before="0" w:line="240" w:lineRule="auto"/>
              <w:jc w:val="left"/>
              <w:rPr>
                <w:rFonts w:cs="Arial"/>
                <w:b/>
                <w:bCs/>
                <w:color w:val="333399"/>
                <w:kern w:val="32"/>
                <w:sz w:val="20"/>
                <w:szCs w:val="20"/>
                <w:lang w:val="en-US"/>
              </w:rPr>
            </w:pPr>
            <w:r w:rsidRPr="00942C19">
              <w:rPr>
                <w:b/>
                <w:bCs/>
                <w:sz w:val="20"/>
                <w:szCs w:val="20"/>
                <w:lang w:val="en-US"/>
              </w:rPr>
              <w:t>Particulars</w:t>
            </w:r>
          </w:p>
        </w:tc>
        <w:tc>
          <w:tcPr>
            <w:tcW w:w="711" w:type="pct"/>
            <w:shd w:val="clear" w:color="000000" w:fill="DBE5F1"/>
            <w:vAlign w:val="center"/>
            <w:hideMark/>
          </w:tcPr>
          <w:p w:rsidR="00142BD4" w:rsidRPr="00942C19" w:rsidRDefault="00142BD4" w:rsidP="004E2AB9">
            <w:pPr>
              <w:spacing w:before="0" w:line="240" w:lineRule="auto"/>
              <w:jc w:val="right"/>
              <w:rPr>
                <w:rFonts w:cs="Arial"/>
                <w:b/>
                <w:bCs/>
                <w:color w:val="333399"/>
                <w:kern w:val="32"/>
                <w:sz w:val="20"/>
                <w:szCs w:val="20"/>
                <w:lang w:val="en-US"/>
              </w:rPr>
            </w:pPr>
            <w:r w:rsidRPr="00942C19">
              <w:rPr>
                <w:b/>
                <w:bCs/>
                <w:sz w:val="20"/>
                <w:szCs w:val="20"/>
                <w:lang w:val="en-US"/>
              </w:rPr>
              <w:t>Derivation</w:t>
            </w:r>
          </w:p>
        </w:tc>
        <w:tc>
          <w:tcPr>
            <w:tcW w:w="573" w:type="pct"/>
            <w:shd w:val="clear" w:color="000000" w:fill="DBE5F1"/>
            <w:vAlign w:val="center"/>
            <w:hideMark/>
          </w:tcPr>
          <w:p w:rsidR="00142BD4" w:rsidRPr="00942C19" w:rsidRDefault="00142BD4" w:rsidP="004E2AB9">
            <w:pPr>
              <w:spacing w:before="0" w:line="240" w:lineRule="auto"/>
              <w:jc w:val="center"/>
              <w:rPr>
                <w:rFonts w:cs="Arial"/>
                <w:b/>
                <w:bCs/>
                <w:color w:val="333399"/>
                <w:kern w:val="32"/>
                <w:sz w:val="20"/>
                <w:szCs w:val="20"/>
                <w:lang w:val="en-US"/>
              </w:rPr>
            </w:pPr>
            <w:r w:rsidRPr="00942C19">
              <w:rPr>
                <w:b/>
                <w:bCs/>
                <w:sz w:val="20"/>
                <w:szCs w:val="20"/>
                <w:lang w:val="en-US"/>
              </w:rPr>
              <w:t>DVVNL</w:t>
            </w:r>
          </w:p>
        </w:tc>
        <w:tc>
          <w:tcPr>
            <w:tcW w:w="574" w:type="pct"/>
            <w:shd w:val="clear" w:color="000000" w:fill="DBE5F1"/>
            <w:vAlign w:val="center"/>
            <w:hideMark/>
          </w:tcPr>
          <w:p w:rsidR="00142BD4" w:rsidRPr="00942C19" w:rsidRDefault="00142BD4" w:rsidP="004E2AB9">
            <w:pPr>
              <w:spacing w:before="0" w:line="240" w:lineRule="auto"/>
              <w:jc w:val="center"/>
              <w:rPr>
                <w:rFonts w:cs="Arial"/>
                <w:b/>
                <w:bCs/>
                <w:color w:val="333399"/>
                <w:kern w:val="32"/>
                <w:sz w:val="20"/>
                <w:szCs w:val="20"/>
                <w:lang w:val="en-US"/>
              </w:rPr>
            </w:pPr>
            <w:r w:rsidRPr="00942C19">
              <w:rPr>
                <w:b/>
                <w:bCs/>
                <w:sz w:val="20"/>
                <w:szCs w:val="20"/>
                <w:lang w:val="en-US"/>
              </w:rPr>
              <w:t>MVVNL</w:t>
            </w:r>
          </w:p>
        </w:tc>
        <w:tc>
          <w:tcPr>
            <w:tcW w:w="574" w:type="pct"/>
            <w:shd w:val="clear" w:color="000000" w:fill="DBE5F1"/>
            <w:vAlign w:val="center"/>
            <w:hideMark/>
          </w:tcPr>
          <w:p w:rsidR="00142BD4" w:rsidRPr="00942C19" w:rsidRDefault="00142BD4" w:rsidP="004E2AB9">
            <w:pPr>
              <w:spacing w:before="0" w:line="240" w:lineRule="auto"/>
              <w:jc w:val="center"/>
              <w:rPr>
                <w:rFonts w:cs="Arial"/>
                <w:b/>
                <w:bCs/>
                <w:color w:val="333399"/>
                <w:kern w:val="32"/>
                <w:sz w:val="20"/>
                <w:szCs w:val="20"/>
                <w:lang w:val="en-US"/>
              </w:rPr>
            </w:pPr>
            <w:r w:rsidRPr="00942C19">
              <w:rPr>
                <w:b/>
                <w:bCs/>
                <w:sz w:val="20"/>
                <w:szCs w:val="20"/>
                <w:lang w:val="en-US"/>
              </w:rPr>
              <w:t>PVVNL</w:t>
            </w:r>
          </w:p>
        </w:tc>
        <w:tc>
          <w:tcPr>
            <w:tcW w:w="574" w:type="pct"/>
            <w:shd w:val="clear" w:color="000000" w:fill="DBE5F1"/>
            <w:vAlign w:val="center"/>
            <w:hideMark/>
          </w:tcPr>
          <w:p w:rsidR="00142BD4" w:rsidRPr="00942C19" w:rsidRDefault="00142BD4" w:rsidP="004E2AB9">
            <w:pPr>
              <w:spacing w:before="0" w:line="240" w:lineRule="auto"/>
              <w:jc w:val="center"/>
              <w:rPr>
                <w:rFonts w:cs="Arial"/>
                <w:b/>
                <w:bCs/>
                <w:color w:val="333399"/>
                <w:kern w:val="32"/>
                <w:sz w:val="20"/>
                <w:szCs w:val="20"/>
                <w:lang w:val="en-US"/>
              </w:rPr>
            </w:pPr>
            <w:r w:rsidRPr="00942C19">
              <w:rPr>
                <w:b/>
                <w:bCs/>
                <w:sz w:val="20"/>
                <w:szCs w:val="20"/>
                <w:lang w:val="en-US"/>
              </w:rPr>
              <w:t>PuVVNL</w:t>
            </w:r>
          </w:p>
        </w:tc>
        <w:tc>
          <w:tcPr>
            <w:tcW w:w="745" w:type="pct"/>
            <w:shd w:val="clear" w:color="000000" w:fill="DBE5F1"/>
            <w:vAlign w:val="center"/>
            <w:hideMark/>
          </w:tcPr>
          <w:p w:rsidR="00142BD4" w:rsidRPr="00942C19" w:rsidRDefault="00142BD4" w:rsidP="004E2AB9">
            <w:pPr>
              <w:spacing w:before="0" w:line="240" w:lineRule="auto"/>
              <w:jc w:val="center"/>
              <w:rPr>
                <w:rFonts w:cs="Arial"/>
                <w:b/>
                <w:bCs/>
                <w:color w:val="333399"/>
                <w:kern w:val="32"/>
                <w:sz w:val="20"/>
                <w:szCs w:val="20"/>
                <w:lang w:val="en-US"/>
              </w:rPr>
            </w:pPr>
            <w:r w:rsidRPr="00942C19">
              <w:rPr>
                <w:b/>
                <w:bCs/>
                <w:sz w:val="20"/>
                <w:szCs w:val="20"/>
                <w:lang w:val="en-US"/>
              </w:rPr>
              <w:t>Consolidated</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sz w:val="20"/>
                <w:szCs w:val="20"/>
                <w:lang w:val="en-US"/>
              </w:rPr>
            </w:pPr>
            <w:r w:rsidRPr="00942C19">
              <w:rPr>
                <w:sz w:val="20"/>
                <w:szCs w:val="20"/>
                <w:lang w:val="en-US"/>
              </w:rPr>
              <w:t>Annual Revenue Requirement at existing tariff</w:t>
            </w:r>
          </w:p>
        </w:tc>
        <w:tc>
          <w:tcPr>
            <w:tcW w:w="711" w:type="pct"/>
            <w:shd w:val="clear" w:color="auto" w:fill="auto"/>
            <w:vAlign w:val="center"/>
            <w:hideMark/>
          </w:tcPr>
          <w:p w:rsidR="00142BD4" w:rsidRPr="00942C19" w:rsidRDefault="00142BD4" w:rsidP="004E2AB9">
            <w:pPr>
              <w:spacing w:before="0" w:line="240" w:lineRule="auto"/>
              <w:jc w:val="center"/>
              <w:rPr>
                <w:sz w:val="20"/>
                <w:szCs w:val="20"/>
                <w:lang w:val="en-US"/>
              </w:rPr>
            </w:pPr>
            <w:r w:rsidRPr="00942C19">
              <w:rPr>
                <w:sz w:val="20"/>
                <w:szCs w:val="20"/>
                <w:lang w:val="en-US"/>
              </w:rPr>
              <w:t>A</w:t>
            </w:r>
          </w:p>
        </w:tc>
        <w:tc>
          <w:tcPr>
            <w:tcW w:w="573"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2,607</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1,293</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1,428</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2,596</w:t>
            </w:r>
          </w:p>
        </w:tc>
        <w:tc>
          <w:tcPr>
            <w:tcW w:w="745"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7,924</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sz w:val="20"/>
                <w:szCs w:val="20"/>
                <w:lang w:val="en-US"/>
              </w:rPr>
            </w:pPr>
            <w:r w:rsidRPr="00942C19">
              <w:rPr>
                <w:sz w:val="20"/>
                <w:szCs w:val="20"/>
                <w:lang w:val="en-US"/>
              </w:rPr>
              <w:t>Less: GoUP Subsidy</w:t>
            </w:r>
          </w:p>
        </w:tc>
        <w:tc>
          <w:tcPr>
            <w:tcW w:w="711" w:type="pct"/>
            <w:shd w:val="clear" w:color="auto" w:fill="auto"/>
            <w:vAlign w:val="center"/>
            <w:hideMark/>
          </w:tcPr>
          <w:p w:rsidR="00142BD4" w:rsidRPr="00942C19" w:rsidRDefault="00142BD4" w:rsidP="004E2AB9">
            <w:pPr>
              <w:spacing w:before="0" w:line="240" w:lineRule="auto"/>
              <w:jc w:val="center"/>
              <w:rPr>
                <w:sz w:val="20"/>
                <w:szCs w:val="20"/>
                <w:lang w:val="en-US"/>
              </w:rPr>
            </w:pPr>
            <w:r w:rsidRPr="00942C19">
              <w:rPr>
                <w:sz w:val="20"/>
                <w:szCs w:val="20"/>
                <w:lang w:val="en-US"/>
              </w:rPr>
              <w:t>B</w:t>
            </w:r>
          </w:p>
        </w:tc>
        <w:tc>
          <w:tcPr>
            <w:tcW w:w="573"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878</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817</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1,348</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1,621</w:t>
            </w:r>
          </w:p>
        </w:tc>
        <w:tc>
          <w:tcPr>
            <w:tcW w:w="745"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4,664</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sz w:val="20"/>
                <w:szCs w:val="20"/>
                <w:lang w:val="en-US"/>
              </w:rPr>
            </w:pPr>
            <w:r w:rsidRPr="00942C19">
              <w:rPr>
                <w:sz w:val="20"/>
                <w:szCs w:val="20"/>
                <w:lang w:val="en-US"/>
              </w:rPr>
              <w:t>Less: Additional Subsidy Requirement from GoUP</w:t>
            </w:r>
          </w:p>
        </w:tc>
        <w:tc>
          <w:tcPr>
            <w:tcW w:w="711" w:type="pct"/>
            <w:shd w:val="clear" w:color="auto" w:fill="auto"/>
            <w:vAlign w:val="center"/>
            <w:hideMark/>
          </w:tcPr>
          <w:p w:rsidR="00142BD4" w:rsidRPr="00942C19" w:rsidRDefault="00142BD4" w:rsidP="004E2AB9">
            <w:pPr>
              <w:spacing w:before="0" w:line="240" w:lineRule="auto"/>
              <w:jc w:val="center"/>
              <w:rPr>
                <w:sz w:val="20"/>
                <w:szCs w:val="20"/>
                <w:lang w:val="en-US"/>
              </w:rPr>
            </w:pPr>
            <w:r w:rsidRPr="00942C19">
              <w:rPr>
                <w:sz w:val="20"/>
                <w:szCs w:val="20"/>
                <w:lang w:val="en-US"/>
              </w:rPr>
              <w:t>C</w:t>
            </w:r>
          </w:p>
        </w:tc>
        <w:tc>
          <w:tcPr>
            <w:tcW w:w="573"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883</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66</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791</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354</w:t>
            </w:r>
          </w:p>
        </w:tc>
        <w:tc>
          <w:tcPr>
            <w:tcW w:w="745"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2,094</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b/>
                <w:bCs/>
                <w:sz w:val="20"/>
                <w:szCs w:val="20"/>
                <w:lang w:val="en-US"/>
              </w:rPr>
            </w:pPr>
            <w:r w:rsidRPr="00942C19">
              <w:rPr>
                <w:b/>
                <w:bCs/>
                <w:sz w:val="20"/>
                <w:szCs w:val="20"/>
                <w:lang w:val="en-US"/>
              </w:rPr>
              <w:t>Revenue Gap for FY 2013-14</w:t>
            </w:r>
          </w:p>
        </w:tc>
        <w:tc>
          <w:tcPr>
            <w:tcW w:w="711" w:type="pct"/>
            <w:shd w:val="clear" w:color="auto" w:fill="auto"/>
            <w:vAlign w:val="center"/>
            <w:hideMark/>
          </w:tcPr>
          <w:p w:rsidR="00142BD4" w:rsidRPr="00942C19" w:rsidRDefault="00142BD4" w:rsidP="004E2AB9">
            <w:pPr>
              <w:spacing w:before="0" w:line="240" w:lineRule="auto"/>
              <w:jc w:val="center"/>
              <w:rPr>
                <w:b/>
                <w:bCs/>
                <w:sz w:val="20"/>
                <w:szCs w:val="20"/>
                <w:lang w:val="en-US"/>
              </w:rPr>
            </w:pPr>
            <w:r w:rsidRPr="00942C19">
              <w:rPr>
                <w:b/>
                <w:bCs/>
                <w:sz w:val="20"/>
                <w:szCs w:val="20"/>
                <w:lang w:val="en-US"/>
              </w:rPr>
              <w:t>D = A - B - C</w:t>
            </w:r>
          </w:p>
        </w:tc>
        <w:tc>
          <w:tcPr>
            <w:tcW w:w="573"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846</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410</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(710)</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621</w:t>
            </w:r>
          </w:p>
        </w:tc>
        <w:tc>
          <w:tcPr>
            <w:tcW w:w="745"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1,166</w:t>
            </w:r>
          </w:p>
        </w:tc>
      </w:tr>
      <w:tr w:rsidR="00142BD4" w:rsidRPr="00942C19" w:rsidTr="004E2AB9">
        <w:trPr>
          <w:trHeight w:val="510"/>
        </w:trPr>
        <w:tc>
          <w:tcPr>
            <w:tcW w:w="1249" w:type="pct"/>
            <w:shd w:val="clear" w:color="auto" w:fill="auto"/>
            <w:vAlign w:val="center"/>
            <w:hideMark/>
          </w:tcPr>
          <w:p w:rsidR="00142BD4" w:rsidRPr="00942C19" w:rsidRDefault="00142BD4" w:rsidP="004E2AB9">
            <w:pPr>
              <w:spacing w:before="0" w:line="240" w:lineRule="auto"/>
              <w:jc w:val="left"/>
              <w:rPr>
                <w:sz w:val="20"/>
                <w:szCs w:val="20"/>
                <w:lang w:val="en-US"/>
              </w:rPr>
            </w:pPr>
            <w:r w:rsidRPr="00942C19">
              <w:rPr>
                <w:sz w:val="20"/>
                <w:szCs w:val="20"/>
                <w:lang w:val="en-US"/>
              </w:rPr>
              <w:t>Add: 50% of the Gap for FY 2000-01 to 2007-08 as determined by the Commission in its Order dated 21</w:t>
            </w:r>
            <w:r w:rsidRPr="00942C19">
              <w:rPr>
                <w:sz w:val="20"/>
                <w:szCs w:val="20"/>
                <w:vertAlign w:val="superscript"/>
                <w:lang w:val="en-US"/>
              </w:rPr>
              <w:t>st</w:t>
            </w:r>
            <w:r w:rsidRPr="00942C19">
              <w:rPr>
                <w:sz w:val="20"/>
                <w:szCs w:val="20"/>
                <w:lang w:val="en-US"/>
              </w:rPr>
              <w:t xml:space="preserve"> May, 2013</w:t>
            </w:r>
          </w:p>
        </w:tc>
        <w:tc>
          <w:tcPr>
            <w:tcW w:w="711" w:type="pct"/>
            <w:shd w:val="clear" w:color="auto" w:fill="auto"/>
            <w:vAlign w:val="center"/>
            <w:hideMark/>
          </w:tcPr>
          <w:p w:rsidR="00142BD4" w:rsidRPr="00942C19" w:rsidRDefault="00142BD4" w:rsidP="004E2AB9">
            <w:pPr>
              <w:spacing w:before="0" w:line="240" w:lineRule="auto"/>
              <w:jc w:val="center"/>
              <w:rPr>
                <w:sz w:val="20"/>
                <w:szCs w:val="20"/>
                <w:lang w:val="en-US"/>
              </w:rPr>
            </w:pPr>
            <w:r w:rsidRPr="00942C19">
              <w:rPr>
                <w:sz w:val="20"/>
                <w:szCs w:val="20"/>
                <w:lang w:val="en-US"/>
              </w:rPr>
              <w:t>E</w:t>
            </w:r>
          </w:p>
        </w:tc>
        <w:tc>
          <w:tcPr>
            <w:tcW w:w="573"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346</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89</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160</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648</w:t>
            </w:r>
          </w:p>
        </w:tc>
        <w:tc>
          <w:tcPr>
            <w:tcW w:w="745"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1,244</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b/>
                <w:bCs/>
                <w:sz w:val="20"/>
                <w:szCs w:val="20"/>
                <w:lang w:val="en-US"/>
              </w:rPr>
            </w:pPr>
            <w:r w:rsidRPr="00942C19">
              <w:rPr>
                <w:b/>
                <w:bCs/>
                <w:sz w:val="20"/>
                <w:szCs w:val="20"/>
                <w:lang w:val="en-US"/>
              </w:rPr>
              <w:t>Total Gap for FY 2013-14</w:t>
            </w:r>
          </w:p>
        </w:tc>
        <w:tc>
          <w:tcPr>
            <w:tcW w:w="711" w:type="pct"/>
            <w:shd w:val="clear" w:color="auto" w:fill="auto"/>
            <w:vAlign w:val="center"/>
            <w:hideMark/>
          </w:tcPr>
          <w:p w:rsidR="00142BD4" w:rsidRPr="00942C19" w:rsidRDefault="00142BD4" w:rsidP="004E2AB9">
            <w:pPr>
              <w:spacing w:before="0" w:line="240" w:lineRule="auto"/>
              <w:jc w:val="center"/>
              <w:rPr>
                <w:b/>
                <w:bCs/>
                <w:sz w:val="20"/>
                <w:szCs w:val="20"/>
                <w:lang w:val="en-US"/>
              </w:rPr>
            </w:pPr>
            <w:r w:rsidRPr="00942C19">
              <w:rPr>
                <w:b/>
                <w:bCs/>
                <w:sz w:val="20"/>
                <w:szCs w:val="20"/>
                <w:lang w:val="en-US"/>
              </w:rPr>
              <w:t>F = D + E</w:t>
            </w:r>
          </w:p>
        </w:tc>
        <w:tc>
          <w:tcPr>
            <w:tcW w:w="573"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1,192</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498</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(550)</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1,269</w:t>
            </w:r>
          </w:p>
        </w:tc>
        <w:tc>
          <w:tcPr>
            <w:tcW w:w="745"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2,410</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sz w:val="20"/>
                <w:szCs w:val="20"/>
                <w:lang w:val="en-US"/>
              </w:rPr>
            </w:pPr>
            <w:r w:rsidRPr="00942C19">
              <w:rPr>
                <w:sz w:val="20"/>
                <w:szCs w:val="20"/>
                <w:lang w:val="en-US"/>
              </w:rPr>
              <w:t>Less: Additional Revenue from Tariff Hike</w:t>
            </w:r>
          </w:p>
        </w:tc>
        <w:tc>
          <w:tcPr>
            <w:tcW w:w="711" w:type="pct"/>
            <w:shd w:val="clear" w:color="auto" w:fill="auto"/>
            <w:vAlign w:val="center"/>
            <w:hideMark/>
          </w:tcPr>
          <w:p w:rsidR="00142BD4" w:rsidRPr="00942C19" w:rsidRDefault="00142BD4" w:rsidP="004E2AB9">
            <w:pPr>
              <w:spacing w:before="0" w:line="240" w:lineRule="auto"/>
              <w:jc w:val="center"/>
              <w:rPr>
                <w:sz w:val="20"/>
                <w:szCs w:val="20"/>
                <w:lang w:val="en-US"/>
              </w:rPr>
            </w:pPr>
            <w:r w:rsidRPr="00942C19">
              <w:rPr>
                <w:sz w:val="20"/>
                <w:szCs w:val="20"/>
                <w:lang w:val="en-US"/>
              </w:rPr>
              <w:t>G</w:t>
            </w:r>
          </w:p>
        </w:tc>
        <w:tc>
          <w:tcPr>
            <w:tcW w:w="573"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428</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269</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348</w:t>
            </w: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465</w:t>
            </w:r>
          </w:p>
        </w:tc>
        <w:tc>
          <w:tcPr>
            <w:tcW w:w="745" w:type="pct"/>
            <w:shd w:val="clear" w:color="auto" w:fill="auto"/>
            <w:vAlign w:val="center"/>
            <w:hideMark/>
          </w:tcPr>
          <w:p w:rsidR="00142BD4" w:rsidRPr="00942C19" w:rsidRDefault="00142BD4" w:rsidP="004E2AB9">
            <w:pPr>
              <w:spacing w:before="0" w:line="240" w:lineRule="auto"/>
              <w:jc w:val="right"/>
              <w:rPr>
                <w:sz w:val="20"/>
                <w:szCs w:val="20"/>
                <w:lang w:val="en-US"/>
              </w:rPr>
            </w:pPr>
            <w:r w:rsidRPr="00942C19">
              <w:rPr>
                <w:sz w:val="20"/>
                <w:szCs w:val="20"/>
                <w:lang w:val="en-US"/>
              </w:rPr>
              <w:t>1,510</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b/>
                <w:bCs/>
                <w:sz w:val="20"/>
                <w:szCs w:val="20"/>
                <w:lang w:val="en-US"/>
              </w:rPr>
            </w:pPr>
            <w:r w:rsidRPr="00942C19">
              <w:rPr>
                <w:b/>
                <w:bCs/>
                <w:sz w:val="20"/>
                <w:szCs w:val="20"/>
                <w:lang w:val="en-US"/>
              </w:rPr>
              <w:t>Net Gap after Tariff Hike</w:t>
            </w:r>
          </w:p>
        </w:tc>
        <w:tc>
          <w:tcPr>
            <w:tcW w:w="711" w:type="pct"/>
            <w:shd w:val="clear" w:color="auto" w:fill="auto"/>
            <w:vAlign w:val="center"/>
            <w:hideMark/>
          </w:tcPr>
          <w:p w:rsidR="00142BD4" w:rsidRPr="00942C19" w:rsidRDefault="00142BD4" w:rsidP="004E2AB9">
            <w:pPr>
              <w:spacing w:before="0" w:line="240" w:lineRule="auto"/>
              <w:jc w:val="center"/>
              <w:rPr>
                <w:b/>
                <w:bCs/>
                <w:sz w:val="20"/>
                <w:szCs w:val="20"/>
                <w:lang w:val="en-US"/>
              </w:rPr>
            </w:pPr>
            <w:r w:rsidRPr="00942C19">
              <w:rPr>
                <w:b/>
                <w:bCs/>
                <w:sz w:val="20"/>
                <w:szCs w:val="20"/>
                <w:lang w:val="en-US"/>
              </w:rPr>
              <w:t>H= F - G</w:t>
            </w:r>
          </w:p>
        </w:tc>
        <w:tc>
          <w:tcPr>
            <w:tcW w:w="573"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764</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230</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(898)</w:t>
            </w:r>
          </w:p>
        </w:tc>
        <w:tc>
          <w:tcPr>
            <w:tcW w:w="574"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804</w:t>
            </w:r>
          </w:p>
        </w:tc>
        <w:tc>
          <w:tcPr>
            <w:tcW w:w="745" w:type="pct"/>
            <w:shd w:val="clear" w:color="auto" w:fill="auto"/>
            <w:vAlign w:val="center"/>
            <w:hideMark/>
          </w:tcPr>
          <w:p w:rsidR="00142BD4" w:rsidRPr="00942C19" w:rsidRDefault="00142BD4" w:rsidP="004E2AB9">
            <w:pPr>
              <w:spacing w:before="0" w:line="240" w:lineRule="auto"/>
              <w:jc w:val="right"/>
              <w:rPr>
                <w:b/>
                <w:bCs/>
                <w:sz w:val="20"/>
                <w:szCs w:val="20"/>
                <w:lang w:val="en-US"/>
              </w:rPr>
            </w:pPr>
            <w:r w:rsidRPr="00942C19">
              <w:rPr>
                <w:b/>
                <w:bCs/>
                <w:sz w:val="20"/>
                <w:szCs w:val="20"/>
                <w:lang w:val="en-US"/>
              </w:rPr>
              <w:t>900</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sz w:val="20"/>
                <w:szCs w:val="20"/>
                <w:lang w:val="en-US"/>
              </w:rPr>
            </w:pPr>
          </w:p>
        </w:tc>
        <w:tc>
          <w:tcPr>
            <w:tcW w:w="711" w:type="pct"/>
            <w:shd w:val="clear" w:color="auto" w:fill="auto"/>
            <w:vAlign w:val="center"/>
            <w:hideMark/>
          </w:tcPr>
          <w:p w:rsidR="00142BD4" w:rsidRPr="00942C19" w:rsidRDefault="00142BD4" w:rsidP="004E2AB9">
            <w:pPr>
              <w:spacing w:before="0" w:line="240" w:lineRule="auto"/>
              <w:jc w:val="center"/>
              <w:rPr>
                <w:sz w:val="20"/>
                <w:szCs w:val="20"/>
                <w:lang w:val="en-US"/>
              </w:rPr>
            </w:pPr>
          </w:p>
        </w:tc>
        <w:tc>
          <w:tcPr>
            <w:tcW w:w="573" w:type="pct"/>
            <w:shd w:val="clear" w:color="auto" w:fill="auto"/>
            <w:vAlign w:val="center"/>
            <w:hideMark/>
          </w:tcPr>
          <w:p w:rsidR="00142BD4" w:rsidRPr="00942C19" w:rsidRDefault="00142BD4" w:rsidP="004E2AB9">
            <w:pPr>
              <w:spacing w:before="0" w:line="240" w:lineRule="auto"/>
              <w:jc w:val="right"/>
              <w:rPr>
                <w:sz w:val="20"/>
                <w:szCs w:val="20"/>
                <w:lang w:val="en-US"/>
              </w:rPr>
            </w:pP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p>
        </w:tc>
        <w:tc>
          <w:tcPr>
            <w:tcW w:w="574" w:type="pct"/>
            <w:shd w:val="clear" w:color="auto" w:fill="auto"/>
            <w:vAlign w:val="center"/>
            <w:hideMark/>
          </w:tcPr>
          <w:p w:rsidR="00142BD4" w:rsidRPr="00942C19" w:rsidRDefault="00142BD4" w:rsidP="004E2AB9">
            <w:pPr>
              <w:spacing w:before="0" w:line="240" w:lineRule="auto"/>
              <w:jc w:val="right"/>
              <w:rPr>
                <w:sz w:val="20"/>
                <w:szCs w:val="20"/>
                <w:lang w:val="en-US"/>
              </w:rPr>
            </w:pPr>
          </w:p>
        </w:tc>
        <w:tc>
          <w:tcPr>
            <w:tcW w:w="745" w:type="pct"/>
            <w:shd w:val="clear" w:color="auto" w:fill="auto"/>
            <w:vAlign w:val="center"/>
            <w:hideMark/>
          </w:tcPr>
          <w:p w:rsidR="00142BD4" w:rsidRPr="00942C19" w:rsidRDefault="00142BD4" w:rsidP="004E2AB9">
            <w:pPr>
              <w:spacing w:before="0" w:line="240" w:lineRule="auto"/>
              <w:jc w:val="right"/>
              <w:rPr>
                <w:sz w:val="20"/>
                <w:szCs w:val="20"/>
                <w:lang w:val="en-US"/>
              </w:rPr>
            </w:pP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b/>
                <w:sz w:val="20"/>
                <w:szCs w:val="20"/>
                <w:lang w:val="en-US"/>
              </w:rPr>
            </w:pPr>
            <w:r w:rsidRPr="00942C19">
              <w:rPr>
                <w:b/>
                <w:sz w:val="20"/>
                <w:szCs w:val="20"/>
                <w:lang w:val="en-US"/>
              </w:rPr>
              <w:t>Total Revenue at Proposed Tariff</w:t>
            </w:r>
          </w:p>
        </w:tc>
        <w:tc>
          <w:tcPr>
            <w:tcW w:w="711" w:type="pct"/>
            <w:shd w:val="clear" w:color="auto" w:fill="auto"/>
            <w:vAlign w:val="center"/>
            <w:hideMark/>
          </w:tcPr>
          <w:p w:rsidR="00142BD4" w:rsidRPr="00942C19" w:rsidRDefault="00142BD4" w:rsidP="004E2AB9">
            <w:pPr>
              <w:spacing w:before="0" w:line="240" w:lineRule="auto"/>
              <w:jc w:val="center"/>
              <w:rPr>
                <w:b/>
                <w:sz w:val="20"/>
                <w:szCs w:val="20"/>
                <w:lang w:val="en-US"/>
              </w:rPr>
            </w:pPr>
            <w:r w:rsidRPr="00942C19">
              <w:rPr>
                <w:b/>
                <w:sz w:val="20"/>
                <w:szCs w:val="20"/>
                <w:lang w:val="en-US"/>
              </w:rPr>
              <w:t>I</w:t>
            </w:r>
          </w:p>
        </w:tc>
        <w:tc>
          <w:tcPr>
            <w:tcW w:w="573" w:type="pct"/>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6,190</w:t>
            </w:r>
          </w:p>
        </w:tc>
        <w:tc>
          <w:tcPr>
            <w:tcW w:w="574" w:type="pct"/>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6,092</w:t>
            </w:r>
          </w:p>
        </w:tc>
        <w:tc>
          <w:tcPr>
            <w:tcW w:w="574" w:type="pct"/>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10,584</w:t>
            </w:r>
          </w:p>
        </w:tc>
        <w:tc>
          <w:tcPr>
            <w:tcW w:w="574" w:type="pct"/>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6,262</w:t>
            </w:r>
          </w:p>
        </w:tc>
        <w:tc>
          <w:tcPr>
            <w:tcW w:w="745" w:type="pct"/>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29,128</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b/>
                <w:sz w:val="20"/>
                <w:szCs w:val="20"/>
                <w:lang w:val="en-US"/>
              </w:rPr>
            </w:pPr>
            <w:r w:rsidRPr="00942C19">
              <w:rPr>
                <w:b/>
                <w:bCs/>
                <w:sz w:val="20"/>
                <w:szCs w:val="20"/>
                <w:lang w:val="en-US"/>
              </w:rPr>
              <w:t>Regulatory Surcharge for recovery of above Gap (%)</w:t>
            </w:r>
            <w:r w:rsidRPr="00942C19">
              <w:rPr>
                <w:b/>
                <w:bCs/>
                <w:sz w:val="20"/>
                <w:szCs w:val="20"/>
                <w:lang w:val="en-US"/>
              </w:rPr>
              <w:br/>
            </w:r>
            <w:r w:rsidRPr="00942C19">
              <w:rPr>
                <w:b/>
                <w:bCs/>
                <w:i/>
                <w:iCs/>
                <w:sz w:val="20"/>
                <w:szCs w:val="20"/>
                <w:lang w:val="en-US"/>
              </w:rPr>
              <w:t>Effective for 10 months</w:t>
            </w:r>
          </w:p>
        </w:tc>
        <w:tc>
          <w:tcPr>
            <w:tcW w:w="711" w:type="pct"/>
            <w:shd w:val="clear" w:color="auto" w:fill="auto"/>
            <w:vAlign w:val="center"/>
            <w:hideMark/>
          </w:tcPr>
          <w:p w:rsidR="00142BD4" w:rsidRPr="00942C19" w:rsidRDefault="00142BD4" w:rsidP="004E2AB9">
            <w:pPr>
              <w:spacing w:before="0" w:line="240" w:lineRule="auto"/>
              <w:jc w:val="center"/>
              <w:rPr>
                <w:b/>
                <w:sz w:val="20"/>
                <w:szCs w:val="20"/>
                <w:lang w:val="en-US"/>
              </w:rPr>
            </w:pPr>
            <w:r w:rsidRPr="00942C19">
              <w:rPr>
                <w:b/>
                <w:bCs/>
                <w:sz w:val="20"/>
                <w:szCs w:val="20"/>
                <w:lang w:val="en-US"/>
              </w:rPr>
              <w:t>J = ( H / I ) *12/10</w:t>
            </w:r>
          </w:p>
        </w:tc>
        <w:tc>
          <w:tcPr>
            <w:tcW w:w="3040" w:type="pct"/>
            <w:gridSpan w:val="5"/>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3.71%</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b/>
                <w:sz w:val="20"/>
                <w:szCs w:val="20"/>
                <w:lang w:val="en-US"/>
              </w:rPr>
            </w:pPr>
            <w:r w:rsidRPr="00942C19">
              <w:rPr>
                <w:b/>
                <w:sz w:val="20"/>
                <w:szCs w:val="20"/>
                <w:lang w:val="en-US"/>
              </w:rPr>
              <w:t>Revenue from Regulatory Surcharge</w:t>
            </w:r>
          </w:p>
        </w:tc>
        <w:tc>
          <w:tcPr>
            <w:tcW w:w="711" w:type="pct"/>
            <w:shd w:val="clear" w:color="auto" w:fill="auto"/>
            <w:vAlign w:val="center"/>
            <w:hideMark/>
          </w:tcPr>
          <w:p w:rsidR="00142BD4" w:rsidRPr="00942C19" w:rsidRDefault="00142BD4" w:rsidP="004E2AB9">
            <w:pPr>
              <w:spacing w:before="0" w:line="240" w:lineRule="auto"/>
              <w:jc w:val="center"/>
              <w:rPr>
                <w:b/>
                <w:sz w:val="20"/>
                <w:szCs w:val="20"/>
                <w:lang w:val="en-US"/>
              </w:rPr>
            </w:pPr>
            <w:r w:rsidRPr="00942C19">
              <w:rPr>
                <w:b/>
                <w:sz w:val="20"/>
                <w:szCs w:val="20"/>
                <w:lang w:val="en-US"/>
              </w:rPr>
              <w:t>K</w:t>
            </w:r>
          </w:p>
        </w:tc>
        <w:tc>
          <w:tcPr>
            <w:tcW w:w="3040" w:type="pct"/>
            <w:gridSpan w:val="5"/>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900</w:t>
            </w:r>
          </w:p>
        </w:tc>
      </w:tr>
      <w:tr w:rsidR="00142BD4" w:rsidRPr="00942C19" w:rsidTr="004E2AB9">
        <w:trPr>
          <w:trHeight w:val="300"/>
        </w:trPr>
        <w:tc>
          <w:tcPr>
            <w:tcW w:w="1249" w:type="pct"/>
            <w:shd w:val="clear" w:color="auto" w:fill="auto"/>
            <w:vAlign w:val="center"/>
            <w:hideMark/>
          </w:tcPr>
          <w:p w:rsidR="00142BD4" w:rsidRPr="00942C19" w:rsidRDefault="00142BD4" w:rsidP="004E2AB9">
            <w:pPr>
              <w:spacing w:before="0" w:line="240" w:lineRule="auto"/>
              <w:jc w:val="left"/>
              <w:rPr>
                <w:b/>
                <w:sz w:val="20"/>
                <w:szCs w:val="20"/>
                <w:lang w:val="en-US"/>
              </w:rPr>
            </w:pPr>
            <w:r w:rsidRPr="00942C19">
              <w:rPr>
                <w:b/>
                <w:sz w:val="20"/>
                <w:szCs w:val="20"/>
                <w:lang w:val="en-US"/>
              </w:rPr>
              <w:t>Balance Gap for FY 2013-14</w:t>
            </w:r>
          </w:p>
        </w:tc>
        <w:tc>
          <w:tcPr>
            <w:tcW w:w="711" w:type="pct"/>
            <w:shd w:val="clear" w:color="auto" w:fill="auto"/>
            <w:vAlign w:val="center"/>
            <w:hideMark/>
          </w:tcPr>
          <w:p w:rsidR="00142BD4" w:rsidRPr="00942C19" w:rsidRDefault="00142BD4" w:rsidP="004E2AB9">
            <w:pPr>
              <w:spacing w:before="0" w:line="240" w:lineRule="auto"/>
              <w:jc w:val="center"/>
              <w:rPr>
                <w:b/>
                <w:sz w:val="20"/>
                <w:szCs w:val="20"/>
                <w:lang w:val="en-US"/>
              </w:rPr>
            </w:pPr>
            <w:r w:rsidRPr="00942C19">
              <w:rPr>
                <w:b/>
                <w:sz w:val="20"/>
                <w:szCs w:val="20"/>
                <w:lang w:val="en-US"/>
              </w:rPr>
              <w:t>L = H - K</w:t>
            </w:r>
          </w:p>
        </w:tc>
        <w:tc>
          <w:tcPr>
            <w:tcW w:w="3040" w:type="pct"/>
            <w:gridSpan w:val="5"/>
            <w:shd w:val="clear" w:color="auto" w:fill="auto"/>
            <w:vAlign w:val="center"/>
            <w:hideMark/>
          </w:tcPr>
          <w:p w:rsidR="00142BD4" w:rsidRPr="00942C19" w:rsidRDefault="00142BD4" w:rsidP="004E2AB9">
            <w:pPr>
              <w:spacing w:before="0" w:line="240" w:lineRule="auto"/>
              <w:jc w:val="right"/>
              <w:rPr>
                <w:b/>
                <w:sz w:val="20"/>
                <w:szCs w:val="20"/>
                <w:lang w:val="en-US"/>
              </w:rPr>
            </w:pPr>
            <w:r w:rsidRPr="00942C19">
              <w:rPr>
                <w:b/>
                <w:sz w:val="20"/>
                <w:szCs w:val="20"/>
                <w:lang w:val="en-US"/>
              </w:rPr>
              <w:t>-</w:t>
            </w:r>
          </w:p>
        </w:tc>
      </w:tr>
    </w:tbl>
    <w:p w:rsidR="00155FB3" w:rsidRPr="00942C19" w:rsidRDefault="00155FB3" w:rsidP="00155FB3">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rPr>
          <w:rFonts w:asciiTheme="minorHAnsi" w:hAnsiTheme="minorHAnsi" w:cstheme="minorHAnsi"/>
        </w:rPr>
        <w:t xml:space="preserve">The regulatory surcharge </w:t>
      </w:r>
      <w:r w:rsidR="0086176A" w:rsidRPr="00942C19">
        <w:rPr>
          <w:rFonts w:asciiTheme="minorHAnsi" w:hAnsiTheme="minorHAnsi" w:cstheme="minorHAnsi"/>
        </w:rPr>
        <w:t xml:space="preserve">approved herein shall </w:t>
      </w:r>
      <w:r w:rsidRPr="00942C19">
        <w:rPr>
          <w:rFonts w:asciiTheme="minorHAnsi" w:hAnsiTheme="minorHAnsi" w:cstheme="minorHAnsi"/>
        </w:rPr>
        <w:t xml:space="preserve">come into force after seven days from the date of such publication of the regulatory </w:t>
      </w:r>
      <w:r w:rsidR="0086176A" w:rsidRPr="00942C19">
        <w:rPr>
          <w:rFonts w:asciiTheme="minorHAnsi" w:hAnsiTheme="minorHAnsi" w:cstheme="minorHAnsi"/>
        </w:rPr>
        <w:t>surcharge</w:t>
      </w:r>
      <w:r w:rsidRPr="00942C19">
        <w:rPr>
          <w:rFonts w:asciiTheme="minorHAnsi" w:hAnsiTheme="minorHAnsi" w:cstheme="minorHAnsi"/>
        </w:rPr>
        <w:t xml:space="preserve">, and </w:t>
      </w:r>
      <w:r w:rsidR="0086176A" w:rsidRPr="00942C19">
        <w:rPr>
          <w:rFonts w:asciiTheme="minorHAnsi" w:hAnsiTheme="minorHAnsi" w:cstheme="minorHAnsi"/>
        </w:rPr>
        <w:t>shall be in force till 31</w:t>
      </w:r>
      <w:r w:rsidR="00155FB3" w:rsidRPr="00942C19">
        <w:rPr>
          <w:rFonts w:asciiTheme="minorHAnsi" w:hAnsiTheme="minorHAnsi" w:cstheme="minorHAnsi"/>
          <w:vertAlign w:val="superscript"/>
        </w:rPr>
        <w:t>st</w:t>
      </w:r>
      <w:r w:rsidR="0086176A" w:rsidRPr="00942C19">
        <w:rPr>
          <w:rFonts w:asciiTheme="minorHAnsi" w:hAnsiTheme="minorHAnsi" w:cstheme="minorHAnsi"/>
        </w:rPr>
        <w:t xml:space="preserve"> March, 201</w:t>
      </w:r>
      <w:r w:rsidR="004E2AB9">
        <w:rPr>
          <w:rFonts w:asciiTheme="minorHAnsi" w:hAnsiTheme="minorHAnsi" w:cstheme="minorHAnsi"/>
        </w:rPr>
        <w:t>4</w:t>
      </w:r>
      <w:r w:rsidR="0086176A" w:rsidRPr="00942C19">
        <w:rPr>
          <w:rFonts w:asciiTheme="minorHAnsi" w:hAnsiTheme="minorHAnsi" w:cstheme="minorHAnsi"/>
        </w:rPr>
        <w:t xml:space="preserve">, </w:t>
      </w:r>
      <w:r w:rsidRPr="00942C19">
        <w:rPr>
          <w:rFonts w:asciiTheme="minorHAnsi" w:hAnsiTheme="minorHAnsi" w:cstheme="minorHAnsi"/>
        </w:rPr>
        <w:t xml:space="preserve">unless amended or </w:t>
      </w:r>
      <w:r w:rsidR="0086176A" w:rsidRPr="00942C19">
        <w:rPr>
          <w:rFonts w:asciiTheme="minorHAnsi" w:hAnsiTheme="minorHAnsi" w:cstheme="minorHAnsi"/>
        </w:rPr>
        <w:t>extended, by the Commission through an Order</w:t>
      </w:r>
      <w:r w:rsidRPr="00942C19">
        <w:rPr>
          <w:rFonts w:asciiTheme="minorHAnsi" w:hAnsiTheme="minorHAnsi" w:cstheme="minorHAnsi"/>
        </w:rPr>
        <w:t>.</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The UPPCL in its Letter No. UPERC/D(T)/2013-176 dated 06</w:t>
      </w:r>
      <w:r w:rsidRPr="00942C19">
        <w:rPr>
          <w:vertAlign w:val="superscript"/>
        </w:rPr>
        <w:t>th</w:t>
      </w:r>
      <w:r w:rsidRPr="00942C19">
        <w:t xml:space="preserve"> May, 2013 in the matter of allocation of subsidy, had stated that </w:t>
      </w:r>
      <w:r w:rsidRPr="00942C19">
        <w:rPr>
          <w:i/>
        </w:rPr>
        <w:t xml:space="preserve">“the rationale for allocation among Discoms may change such that all Discoms achieve operational surplus together”. </w:t>
      </w:r>
      <w:r w:rsidRPr="00942C19">
        <w:t xml:space="preserve">In this background, the Licensees’ are directed to finalise the allocation of subsidy </w:t>
      </w:r>
      <w:r w:rsidR="00D85259" w:rsidRPr="00942C19">
        <w:t xml:space="preserve">after taking into consideration the regulatory surcharge </w:t>
      </w:r>
      <w:r w:rsidRPr="00942C19">
        <w:t>among them in concurrence with the State Government up to 30</w:t>
      </w:r>
      <w:r w:rsidRPr="00942C19">
        <w:rPr>
          <w:vertAlign w:val="superscript"/>
        </w:rPr>
        <w:t>th</w:t>
      </w:r>
      <w:r w:rsidRPr="00942C19">
        <w:t xml:space="preserve"> November, 2013 and submit a report on the same to the Commission along with the ARR / Tariff Petition for FY 2014-15. </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The Licensee is directed to depict the regulatory surcharge distinctly in the electricity bills of the consumers. The Commission directs the Licensee to create separate accounting fields to capture the amounts collected as regulatory surcharge in both of its financial and commercial statements. This would enable the Licensee to correctly report the amounts collected towards regulatory surcharge.</w:t>
      </w:r>
    </w:p>
    <w:p w:rsidR="004A205B" w:rsidRPr="00942C19" w:rsidRDefault="004A205B" w:rsidP="004A205B">
      <w:pPr>
        <w:pStyle w:val="Heading3"/>
        <w:numPr>
          <w:ilvl w:val="0"/>
          <w:numId w:val="0"/>
        </w:numPr>
        <w:spacing w:before="0"/>
        <w:ind w:left="936"/>
      </w:pPr>
    </w:p>
    <w:p w:rsidR="004A205B" w:rsidRPr="00942C19" w:rsidRDefault="004A205B" w:rsidP="004A205B">
      <w:pPr>
        <w:pStyle w:val="Heading3"/>
        <w:numPr>
          <w:ilvl w:val="2"/>
          <w:numId w:val="1"/>
        </w:numPr>
        <w:tabs>
          <w:tab w:val="num" w:pos="936"/>
        </w:tabs>
        <w:spacing w:before="0"/>
        <w:ind w:left="936" w:hanging="936"/>
      </w:pPr>
      <w:r w:rsidRPr="00942C19">
        <w:t>The Commission directs the Licensee to provide the details of the regulatory surcharge so collected for FY 2013-14 duly certified by the statutory auditor by 30</w:t>
      </w:r>
      <w:r w:rsidRPr="00942C19">
        <w:rPr>
          <w:vertAlign w:val="superscript"/>
        </w:rPr>
        <w:t>th</w:t>
      </w:r>
      <w:r w:rsidRPr="00942C19">
        <w:t xml:space="preserve"> September</w:t>
      </w:r>
      <w:r w:rsidR="00D85259" w:rsidRPr="00942C19">
        <w:t>,</w:t>
      </w:r>
      <w:r w:rsidRPr="00942C19">
        <w:t xml:space="preserve"> 2014.</w:t>
      </w:r>
    </w:p>
    <w:p w:rsidR="00A72BF3" w:rsidRPr="00942C19" w:rsidRDefault="00A72BF3" w:rsidP="00A72BF3">
      <w:pPr>
        <w:spacing w:line="240" w:lineRule="auto"/>
        <w:jc w:val="left"/>
      </w:pPr>
    </w:p>
    <w:p w:rsidR="00A72BF3" w:rsidRPr="00942C19" w:rsidRDefault="00A72BF3" w:rsidP="00A72BF3">
      <w:pPr>
        <w:spacing w:line="240" w:lineRule="auto"/>
        <w:jc w:val="left"/>
        <w:rPr>
          <w:rFonts w:cs="Arial"/>
          <w:b/>
          <w:bCs/>
          <w:color w:val="333399"/>
          <w:kern w:val="32"/>
          <w:szCs w:val="32"/>
        </w:rPr>
      </w:pPr>
      <w:bookmarkStart w:id="855" w:name="_Toc336438751"/>
      <w:bookmarkStart w:id="856" w:name="_Toc337201449"/>
      <w:bookmarkStart w:id="857" w:name="_Toc257717228"/>
    </w:p>
    <w:p w:rsidR="004A205B" w:rsidRPr="00942C19" w:rsidRDefault="004A205B">
      <w:pPr>
        <w:spacing w:before="0" w:line="240" w:lineRule="auto"/>
        <w:jc w:val="left"/>
        <w:rPr>
          <w:rFonts w:cs="Arial"/>
          <w:b/>
          <w:bCs/>
          <w:color w:val="333399"/>
          <w:kern w:val="32"/>
          <w:szCs w:val="32"/>
        </w:rPr>
      </w:pPr>
      <w:bookmarkStart w:id="858" w:name="_Toc357345053"/>
      <w:r w:rsidRPr="00942C19">
        <w:br w:type="page"/>
      </w:r>
    </w:p>
    <w:p w:rsidR="00A72BF3" w:rsidRPr="00942C19" w:rsidRDefault="00A72BF3" w:rsidP="00A72BF3">
      <w:pPr>
        <w:pStyle w:val="Heading1"/>
        <w:numPr>
          <w:ilvl w:val="0"/>
          <w:numId w:val="1"/>
        </w:numPr>
      </w:pPr>
      <w:bookmarkStart w:id="859" w:name="_Toc357714429"/>
      <w:r w:rsidRPr="00942C19">
        <w:t>DIRECTIVES</w:t>
      </w:r>
      <w:bookmarkEnd w:id="855"/>
      <w:bookmarkEnd w:id="856"/>
      <w:bookmarkEnd w:id="858"/>
      <w:bookmarkEnd w:id="859"/>
    </w:p>
    <w:p w:rsidR="00A72BF3" w:rsidRPr="00942C19" w:rsidRDefault="00A72BF3" w:rsidP="00A72BF3">
      <w:pPr>
        <w:pStyle w:val="Heading2"/>
        <w:keepNext/>
        <w:numPr>
          <w:ilvl w:val="1"/>
          <w:numId w:val="1"/>
        </w:numPr>
        <w:autoSpaceDE/>
        <w:autoSpaceDN/>
        <w:adjustRightInd/>
        <w:spacing w:before="0" w:line="276" w:lineRule="auto"/>
        <w:contextualSpacing w:val="0"/>
      </w:pPr>
      <w:bookmarkStart w:id="860" w:name="_Toc337201450"/>
      <w:bookmarkStart w:id="861" w:name="_Toc357345054"/>
      <w:bookmarkStart w:id="862" w:name="_Toc357714430"/>
      <w:r w:rsidRPr="00942C19">
        <w:t xml:space="preserve">DIRECTIVES PROVIDED BY COMMISSION AND THEIR COMPLIANCE BY </w:t>
      </w:r>
      <w:bookmarkEnd w:id="860"/>
      <w:bookmarkEnd w:id="861"/>
      <w:r w:rsidR="009A3804" w:rsidRPr="00942C19">
        <w:t>LICENSEE</w:t>
      </w:r>
      <w:bookmarkEnd w:id="862"/>
    </w:p>
    <w:p w:rsidR="00A72BF3" w:rsidRPr="00942C19" w:rsidRDefault="00A72BF3" w:rsidP="00A72BF3">
      <w:pPr>
        <w:pStyle w:val="Heading3"/>
        <w:numPr>
          <w:ilvl w:val="0"/>
          <w:numId w:val="0"/>
        </w:numPr>
        <w:ind w:left="936"/>
      </w:pPr>
    </w:p>
    <w:p w:rsidR="008B46AF" w:rsidRPr="00942C19" w:rsidRDefault="008B46AF" w:rsidP="008B46AF">
      <w:pPr>
        <w:pStyle w:val="Heading3"/>
        <w:numPr>
          <w:ilvl w:val="2"/>
          <w:numId w:val="1"/>
        </w:numPr>
        <w:spacing w:before="0"/>
      </w:pPr>
      <w:r w:rsidRPr="00942C19">
        <w:t xml:space="preserve">The Commission had issued several directives to the </w:t>
      </w:r>
      <w:r w:rsidR="009A3804" w:rsidRPr="00942C19">
        <w:t>Licensee</w:t>
      </w:r>
      <w:r w:rsidRPr="00942C19">
        <w:t xml:space="preserve"> in the previous Tariff Order. The </w:t>
      </w:r>
      <w:r w:rsidR="009A3804" w:rsidRPr="00942C19">
        <w:t>Licensee</w:t>
      </w:r>
      <w:r w:rsidRPr="00942C19">
        <w:t xml:space="preserve"> has failed to provide any updated status on compliance of the directives.</w:t>
      </w:r>
    </w:p>
    <w:p w:rsidR="008B46AF" w:rsidRPr="00942C19" w:rsidRDefault="008B46AF" w:rsidP="008B46AF">
      <w:pPr>
        <w:pStyle w:val="Heading3"/>
        <w:numPr>
          <w:ilvl w:val="0"/>
          <w:numId w:val="0"/>
        </w:numPr>
        <w:spacing w:before="0"/>
        <w:ind w:left="720"/>
      </w:pPr>
    </w:p>
    <w:p w:rsidR="008B46AF" w:rsidRPr="00942C19" w:rsidRDefault="008B46AF" w:rsidP="008B46AF">
      <w:pPr>
        <w:pStyle w:val="Heading3"/>
        <w:numPr>
          <w:ilvl w:val="2"/>
          <w:numId w:val="1"/>
        </w:numPr>
        <w:spacing w:before="0"/>
      </w:pPr>
      <w:r w:rsidRPr="00942C19">
        <w:t xml:space="preserve">The Commission once again directs the </w:t>
      </w:r>
      <w:r w:rsidR="009A3804" w:rsidRPr="00942C19">
        <w:t>Licensee</w:t>
      </w:r>
      <w:r w:rsidRPr="00942C19">
        <w:t xml:space="preserve"> to comply with the balance directives issued in the previous Tariff Order. The compliance report on the said directives shall be submitted to the Commission within one month from the date of issue of this Tariff Order. </w:t>
      </w:r>
    </w:p>
    <w:p w:rsidR="008B46AF" w:rsidRPr="00942C19" w:rsidRDefault="008B46AF" w:rsidP="008B46AF">
      <w:pPr>
        <w:pStyle w:val="Heading3"/>
        <w:numPr>
          <w:ilvl w:val="0"/>
          <w:numId w:val="0"/>
        </w:numPr>
        <w:spacing w:before="0"/>
        <w:ind w:left="720"/>
      </w:pPr>
    </w:p>
    <w:p w:rsidR="008B46AF" w:rsidRPr="00942C19" w:rsidRDefault="008B46AF" w:rsidP="008B46AF">
      <w:pPr>
        <w:pStyle w:val="Heading3"/>
        <w:numPr>
          <w:ilvl w:val="2"/>
          <w:numId w:val="1"/>
        </w:numPr>
        <w:spacing w:before="0"/>
      </w:pPr>
      <w:r w:rsidRPr="00942C19">
        <w:t xml:space="preserve">Further, some of the directives issued by the Commission in the present Tariff Order are in continuation or similar to the directives issued in the previous Tariff Order. In case the </w:t>
      </w:r>
      <w:r w:rsidR="009A3804" w:rsidRPr="00942C19">
        <w:t>Licensee</w:t>
      </w:r>
      <w:r w:rsidRPr="00942C19">
        <w:t xml:space="preserve">s have not complied with the same earlier, it shall be necessary for them to provide reasons for non-compliance and further comply with the same as per the time-lines prescribed in the present Tariff Order. </w:t>
      </w:r>
    </w:p>
    <w:p w:rsidR="008B46AF" w:rsidRPr="00942C19" w:rsidRDefault="008B46AF" w:rsidP="008B46AF">
      <w:pPr>
        <w:pStyle w:val="Heading3"/>
        <w:numPr>
          <w:ilvl w:val="0"/>
          <w:numId w:val="0"/>
        </w:numPr>
        <w:spacing w:before="0"/>
        <w:ind w:left="720"/>
      </w:pPr>
    </w:p>
    <w:p w:rsidR="008B46AF" w:rsidRPr="00942C19" w:rsidRDefault="008B46AF" w:rsidP="008B46AF">
      <w:pPr>
        <w:pStyle w:val="Heading3"/>
        <w:numPr>
          <w:ilvl w:val="2"/>
          <w:numId w:val="1"/>
        </w:numPr>
        <w:spacing w:before="0"/>
      </w:pPr>
      <w:r w:rsidRPr="00942C19">
        <w:t xml:space="preserve">The directives to the </w:t>
      </w:r>
      <w:r w:rsidR="009A3804" w:rsidRPr="00942C19">
        <w:t>Licensee</w:t>
      </w:r>
      <w:r w:rsidRPr="00942C19">
        <w:t xml:space="preserve"> as issued under the present Tariff Order along with the time frame for compliance are given in the table below: </w:t>
      </w:r>
    </w:p>
    <w:p w:rsidR="008B46AF" w:rsidRPr="00942C19" w:rsidRDefault="008B46AF" w:rsidP="00A72BF3">
      <w:pPr>
        <w:pStyle w:val="Caption"/>
        <w:jc w:val="center"/>
      </w:pPr>
      <w:bookmarkStart w:id="863" w:name="_Toc337201623"/>
      <w:bookmarkStart w:id="864" w:name="_Toc338310730"/>
      <w:bookmarkStart w:id="865" w:name="_Toc338419559"/>
    </w:p>
    <w:p w:rsidR="00A72BF3" w:rsidRPr="00942C19" w:rsidRDefault="00A72BF3" w:rsidP="00A72BF3">
      <w:pPr>
        <w:pStyle w:val="Caption"/>
        <w:jc w:val="center"/>
      </w:pPr>
      <w:bookmarkStart w:id="866" w:name="_Toc357719759"/>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8</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w:t>
      </w:r>
      <w:r w:rsidR="000C642E" w:rsidRPr="00942C19">
        <w:fldChar w:fldCharType="end"/>
      </w:r>
      <w:r w:rsidRPr="00942C19">
        <w:t>: DIRECTIVES</w:t>
      </w:r>
      <w:bookmarkEnd w:id="863"/>
      <w:bookmarkEnd w:id="864"/>
      <w:bookmarkEnd w:id="865"/>
      <w:bookmarkEnd w:id="866"/>
    </w:p>
    <w:tbl>
      <w:tblPr>
        <w:tblW w:w="5098" w:type="pct"/>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23"/>
        <w:gridCol w:w="6806"/>
        <w:gridCol w:w="1704"/>
      </w:tblGrid>
      <w:tr w:rsidR="00A72BF3" w:rsidRPr="00942C19" w:rsidTr="00974DC9">
        <w:trPr>
          <w:trHeight w:val="1340"/>
          <w:tblHeader/>
          <w:jc w:val="center"/>
        </w:trPr>
        <w:tc>
          <w:tcPr>
            <w:tcW w:w="341" w:type="pct"/>
            <w:shd w:val="clear" w:color="000000" w:fill="C5D9F1"/>
            <w:hideMark/>
          </w:tcPr>
          <w:bookmarkEnd w:id="857"/>
          <w:p w:rsidR="00A44CA7" w:rsidRPr="00942C19" w:rsidRDefault="00785E17">
            <w:pPr>
              <w:spacing w:before="60" w:after="60" w:line="240" w:lineRule="auto"/>
              <w:jc w:val="center"/>
              <w:rPr>
                <w:rFonts w:asciiTheme="minorHAnsi" w:hAnsiTheme="minorHAnsi" w:cstheme="minorHAnsi"/>
                <w:b/>
                <w:bCs/>
                <w:color w:val="000000"/>
                <w:lang w:val="en-US"/>
              </w:rPr>
            </w:pPr>
            <w:r w:rsidRPr="00942C19">
              <w:rPr>
                <w:rFonts w:asciiTheme="minorHAnsi" w:hAnsiTheme="minorHAnsi" w:cstheme="minorHAnsi"/>
                <w:b/>
                <w:bCs/>
                <w:color w:val="000000"/>
              </w:rPr>
              <w:t>S. No</w:t>
            </w:r>
          </w:p>
        </w:tc>
        <w:tc>
          <w:tcPr>
            <w:tcW w:w="3726" w:type="pct"/>
            <w:shd w:val="clear" w:color="000000" w:fill="C5D9F1"/>
            <w:hideMark/>
          </w:tcPr>
          <w:p w:rsidR="00A44CA7" w:rsidRPr="00942C19" w:rsidRDefault="00785E17">
            <w:pPr>
              <w:spacing w:before="60" w:after="60" w:line="240" w:lineRule="auto"/>
              <w:rPr>
                <w:rFonts w:asciiTheme="minorHAnsi" w:hAnsiTheme="minorHAnsi" w:cstheme="minorHAnsi"/>
                <w:b/>
                <w:bCs/>
                <w:color w:val="000000"/>
                <w:lang w:val="en-US"/>
              </w:rPr>
            </w:pPr>
            <w:r w:rsidRPr="00942C19">
              <w:rPr>
                <w:rFonts w:asciiTheme="minorHAnsi" w:hAnsiTheme="minorHAnsi" w:cstheme="minorHAnsi"/>
                <w:b/>
                <w:bCs/>
                <w:color w:val="000000"/>
              </w:rPr>
              <w:t>Description of Directive</w:t>
            </w:r>
          </w:p>
        </w:tc>
        <w:tc>
          <w:tcPr>
            <w:tcW w:w="933" w:type="pct"/>
            <w:shd w:val="clear" w:color="000000" w:fill="C5D9F1"/>
            <w:hideMark/>
          </w:tcPr>
          <w:p w:rsidR="00A44CA7" w:rsidRPr="00942C19" w:rsidRDefault="00785E17">
            <w:pPr>
              <w:spacing w:before="60" w:after="60" w:line="240" w:lineRule="auto"/>
              <w:rPr>
                <w:rFonts w:asciiTheme="minorHAnsi" w:hAnsiTheme="minorHAnsi" w:cstheme="minorHAnsi"/>
                <w:b/>
                <w:bCs/>
                <w:color w:val="000000"/>
                <w:lang w:val="en-US"/>
              </w:rPr>
            </w:pPr>
            <w:r w:rsidRPr="00942C19">
              <w:rPr>
                <w:rFonts w:asciiTheme="minorHAnsi" w:hAnsiTheme="minorHAnsi" w:cstheme="minorHAnsi"/>
                <w:b/>
                <w:bCs/>
                <w:color w:val="000000"/>
              </w:rPr>
              <w:t>Time Period for compliance from the date of issue of the Tariff Order</w:t>
            </w:r>
          </w:p>
        </w:tc>
      </w:tr>
      <w:tr w:rsidR="008B46AF" w:rsidRPr="00942C19" w:rsidTr="00974DC9">
        <w:trPr>
          <w:trHeight w:val="557"/>
          <w:jc w:val="center"/>
        </w:trPr>
        <w:tc>
          <w:tcPr>
            <w:tcW w:w="341" w:type="pct"/>
            <w:shd w:val="clear" w:color="auto" w:fill="auto"/>
            <w:noWrap/>
            <w:hideMark/>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w:t>
            </w:r>
          </w:p>
        </w:tc>
        <w:tc>
          <w:tcPr>
            <w:tcW w:w="3726" w:type="pct"/>
            <w:shd w:val="clear" w:color="auto" w:fill="auto"/>
            <w:noWrap/>
            <w:hideMark/>
          </w:tcPr>
          <w:p w:rsidR="00A44CA7" w:rsidRPr="00942C19" w:rsidRDefault="00785E17">
            <w:pPr>
              <w:spacing w:before="60" w:after="60"/>
              <w:rPr>
                <w:rFonts w:asciiTheme="minorHAnsi" w:hAnsiTheme="minorHAnsi" w:cstheme="minorHAnsi"/>
              </w:rPr>
            </w:pPr>
            <w:r w:rsidRPr="00942C19">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933" w:type="pct"/>
            <w:shd w:val="clear" w:color="auto" w:fill="auto"/>
            <w:noWrap/>
            <w:hideMark/>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Immediate</w:t>
            </w:r>
          </w:p>
        </w:tc>
      </w:tr>
      <w:tr w:rsidR="008B46AF" w:rsidRPr="00942C19" w:rsidTr="00974DC9">
        <w:trPr>
          <w:trHeight w:val="55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rPr>
            </w:pPr>
            <w:r w:rsidRPr="00942C19">
              <w:rPr>
                <w:rFonts w:asciiTheme="minorHAnsi" w:hAnsiTheme="minorHAnsi" w:cstheme="minorHAnsi"/>
                <w:color w:val="000000"/>
              </w:rPr>
              <w:t>2</w:t>
            </w:r>
          </w:p>
        </w:tc>
        <w:tc>
          <w:tcPr>
            <w:tcW w:w="3726" w:type="pct"/>
            <w:shd w:val="clear" w:color="auto" w:fill="auto"/>
            <w:noWrap/>
          </w:tcPr>
          <w:p w:rsidR="00A44CA7" w:rsidRPr="00942C19" w:rsidRDefault="00785E17">
            <w:pPr>
              <w:spacing w:before="60" w:after="60"/>
              <w:rPr>
                <w:rFonts w:asciiTheme="minorHAnsi" w:hAnsiTheme="minorHAnsi" w:cstheme="minorHAnsi"/>
                <w:color w:val="000000"/>
              </w:rPr>
            </w:pPr>
            <w:r w:rsidRPr="00942C19">
              <w:rPr>
                <w:rFonts w:asciiTheme="minorHAnsi" w:hAnsiTheme="minorHAnsi" w:cstheme="minorHAnsi"/>
              </w:rPr>
              <w:t xml:space="preserve">The Commission directs the Licensee to file its ARR / Tariff Petition for FY 2014-15 along with </w:t>
            </w:r>
            <w:r w:rsidR="006626F3" w:rsidRPr="00942C19">
              <w:rPr>
                <w:rFonts w:asciiTheme="minorHAnsi" w:hAnsiTheme="minorHAnsi" w:cstheme="minorHAnsi"/>
              </w:rPr>
              <w:t>T</w:t>
            </w:r>
            <w:r w:rsidRPr="00942C19">
              <w:rPr>
                <w:rFonts w:asciiTheme="minorHAnsi" w:hAnsiTheme="minorHAnsi" w:cstheme="minorHAnsi"/>
              </w:rPr>
              <w:t xml:space="preserve">rue up </w:t>
            </w:r>
            <w:r w:rsidR="006626F3" w:rsidRPr="00942C19">
              <w:rPr>
                <w:rFonts w:asciiTheme="minorHAnsi" w:hAnsiTheme="minorHAnsi" w:cstheme="minorHAnsi"/>
              </w:rPr>
              <w:t>P</w:t>
            </w:r>
            <w:r w:rsidRPr="00942C19">
              <w:rPr>
                <w:rFonts w:asciiTheme="minorHAnsi" w:hAnsiTheme="minorHAnsi" w:cstheme="minorHAnsi"/>
              </w:rPr>
              <w:t xml:space="preserve">etition for FY 2011-12 based on audited accounts. </w:t>
            </w:r>
          </w:p>
        </w:tc>
        <w:tc>
          <w:tcPr>
            <w:tcW w:w="933" w:type="pct"/>
            <w:shd w:val="clear" w:color="auto" w:fill="auto"/>
            <w:noWrap/>
          </w:tcPr>
          <w:p w:rsidR="00A44CA7" w:rsidRPr="00942C19" w:rsidRDefault="00785E17">
            <w:pPr>
              <w:spacing w:before="60" w:after="60"/>
              <w:jc w:val="center"/>
              <w:rPr>
                <w:rFonts w:asciiTheme="minorHAnsi" w:hAnsiTheme="minorHAnsi" w:cstheme="minorHAnsi"/>
                <w:color w:val="000000"/>
              </w:rPr>
            </w:pPr>
            <w:r w:rsidRPr="00942C19">
              <w:rPr>
                <w:rFonts w:asciiTheme="minorHAnsi" w:hAnsiTheme="minorHAnsi"/>
                <w:lang w:val="en-US"/>
              </w:rPr>
              <w:t>By 30</w:t>
            </w:r>
            <w:r w:rsidRPr="00942C19">
              <w:rPr>
                <w:rFonts w:asciiTheme="minorHAnsi" w:hAnsiTheme="minorHAnsi"/>
                <w:vertAlign w:val="superscript"/>
                <w:lang w:val="en-US"/>
              </w:rPr>
              <w:t>th</w:t>
            </w:r>
            <w:r w:rsidRPr="00942C19">
              <w:rPr>
                <w:rFonts w:asciiTheme="minorHAnsi" w:hAnsiTheme="minorHAnsi"/>
                <w:lang w:val="en-US"/>
              </w:rPr>
              <w:t xml:space="preserve"> November, 2013</w:t>
            </w:r>
          </w:p>
        </w:tc>
      </w:tr>
      <w:tr w:rsidR="008B46AF" w:rsidRPr="00942C19" w:rsidTr="00974DC9">
        <w:trPr>
          <w:trHeight w:val="55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rPr>
            </w:pPr>
            <w:r w:rsidRPr="00942C19">
              <w:rPr>
                <w:rFonts w:asciiTheme="minorHAnsi" w:hAnsiTheme="minorHAnsi" w:cstheme="minorHAnsi"/>
                <w:color w:val="000000"/>
              </w:rPr>
              <w:t>3</w:t>
            </w:r>
          </w:p>
        </w:tc>
        <w:tc>
          <w:tcPr>
            <w:tcW w:w="3726" w:type="pct"/>
            <w:shd w:val="clear" w:color="auto" w:fill="auto"/>
            <w:noWrap/>
          </w:tcPr>
          <w:p w:rsidR="00A44CA7" w:rsidRPr="00942C19" w:rsidRDefault="00785E17" w:rsidP="004A205B">
            <w:pPr>
              <w:spacing w:before="60" w:after="60"/>
              <w:rPr>
                <w:rFonts w:asciiTheme="minorHAnsi" w:hAnsiTheme="minorHAnsi" w:cstheme="minorHAnsi"/>
              </w:rPr>
            </w:pPr>
            <w:r w:rsidRPr="00942C19">
              <w:rPr>
                <w:rFonts w:asciiTheme="minorHAnsi" w:hAnsiTheme="minorHAnsi" w:cstheme="minorHAnsi"/>
              </w:rPr>
              <w:t xml:space="preserve">The Commission directs </w:t>
            </w:r>
            <w:r w:rsidR="004A205B" w:rsidRPr="00942C19">
              <w:rPr>
                <w:rFonts w:asciiTheme="minorHAnsi" w:hAnsiTheme="minorHAnsi" w:cstheme="minorHAnsi"/>
              </w:rPr>
              <w:t xml:space="preserve">the Licensee </w:t>
            </w:r>
            <w:r w:rsidRPr="00942C19">
              <w:rPr>
                <w:rFonts w:asciiTheme="minorHAnsi" w:hAnsiTheme="minorHAnsi" w:cstheme="minorHAnsi"/>
              </w:rPr>
              <w:t>to submit the supplementary audit report of the AGUP for FY 2009-10 and 2010-11.</w:t>
            </w:r>
          </w:p>
        </w:tc>
        <w:tc>
          <w:tcPr>
            <w:tcW w:w="933"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Within 7 days of the date of its finalization by the AGUP</w:t>
            </w:r>
          </w:p>
        </w:tc>
      </w:tr>
      <w:tr w:rsidR="008B46AF" w:rsidRPr="00942C19" w:rsidTr="00974DC9">
        <w:trPr>
          <w:trHeight w:val="1214"/>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lang w:val="en-US"/>
              </w:rPr>
              <w:t>4</w:t>
            </w:r>
          </w:p>
        </w:tc>
        <w:tc>
          <w:tcPr>
            <w:tcW w:w="3726" w:type="pct"/>
            <w:shd w:val="clear" w:color="auto" w:fill="auto"/>
            <w:noWrap/>
          </w:tcPr>
          <w:p w:rsidR="00A44CA7" w:rsidRPr="00942C19" w:rsidRDefault="00785E17">
            <w:pPr>
              <w:spacing w:before="60" w:after="60"/>
              <w:rPr>
                <w:rFonts w:asciiTheme="minorHAnsi" w:hAnsiTheme="minorHAnsi" w:cstheme="minorHAnsi"/>
                <w:color w:val="000000"/>
              </w:rPr>
            </w:pPr>
            <w:r w:rsidRPr="00942C19">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933" w:type="pct"/>
            <w:shd w:val="clear" w:color="auto" w:fill="auto"/>
            <w:noWrap/>
          </w:tcPr>
          <w:p w:rsidR="00A44CA7" w:rsidRPr="00942C19" w:rsidRDefault="00785E17">
            <w:pPr>
              <w:spacing w:before="60" w:after="60"/>
              <w:jc w:val="center"/>
              <w:rPr>
                <w:rFonts w:asciiTheme="minorHAnsi" w:hAnsiTheme="minorHAnsi" w:cstheme="minorHAnsi"/>
                <w:color w:val="000000"/>
              </w:rPr>
            </w:pPr>
            <w:r w:rsidRPr="00942C19">
              <w:rPr>
                <w:rFonts w:asciiTheme="minorHAnsi" w:hAnsiTheme="minorHAnsi" w:cstheme="minorHAnsi"/>
                <w:color w:val="000000"/>
              </w:rPr>
              <w:t>Along with the petition for FY 2014-15</w:t>
            </w:r>
          </w:p>
        </w:tc>
      </w:tr>
      <w:tr w:rsidR="008B46AF" w:rsidRPr="00942C19" w:rsidTr="00974DC9">
        <w:trPr>
          <w:trHeight w:val="55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lang w:val="en-US"/>
              </w:rPr>
              <w:t>5</w:t>
            </w:r>
          </w:p>
        </w:tc>
        <w:tc>
          <w:tcPr>
            <w:tcW w:w="3726" w:type="pct"/>
            <w:shd w:val="clear" w:color="auto" w:fill="auto"/>
            <w:noWrap/>
          </w:tcPr>
          <w:p w:rsidR="00A44CA7" w:rsidRPr="00942C19" w:rsidRDefault="006626F3">
            <w:pPr>
              <w:spacing w:before="60" w:after="60"/>
              <w:rPr>
                <w:rFonts w:asciiTheme="minorHAnsi" w:hAnsiTheme="minorHAnsi" w:cstheme="minorHAnsi"/>
                <w:color w:val="000000"/>
              </w:rPr>
            </w:pPr>
            <w:r w:rsidRPr="00942C19">
              <w:rPr>
                <w:rFonts w:asciiTheme="minorHAnsi" w:hAnsiTheme="minorHAnsi" w:cstheme="minorHAnsi"/>
                <w:color w:val="000000"/>
              </w:rPr>
              <w:t xml:space="preserve">The Commission directs the Licensee to pressingly pursue the GoUP for finalisation of the </w:t>
            </w:r>
            <w:r w:rsidR="00A24A40" w:rsidRPr="00942C19">
              <w:rPr>
                <w:rFonts w:asciiTheme="minorHAnsi" w:hAnsiTheme="minorHAnsi" w:cstheme="minorHAnsi"/>
                <w:color w:val="000000"/>
              </w:rPr>
              <w:t>Transfer Scheme</w:t>
            </w:r>
            <w:r w:rsidRPr="00942C19">
              <w:rPr>
                <w:rFonts w:asciiTheme="minorHAnsi" w:hAnsiTheme="minorHAnsi" w:cstheme="minorHAnsi"/>
                <w:color w:val="000000"/>
              </w:rPr>
              <w:t xml:space="preserve"> and submit a copy of the same.</w:t>
            </w:r>
          </w:p>
        </w:tc>
        <w:tc>
          <w:tcPr>
            <w:tcW w:w="933" w:type="pct"/>
            <w:shd w:val="clear" w:color="auto" w:fill="auto"/>
            <w:noWrap/>
          </w:tcPr>
          <w:p w:rsidR="00A44CA7" w:rsidRPr="00942C19" w:rsidRDefault="006626F3">
            <w:pPr>
              <w:spacing w:before="60" w:after="60"/>
              <w:jc w:val="center"/>
              <w:rPr>
                <w:rFonts w:asciiTheme="minorHAnsi" w:hAnsiTheme="minorHAnsi" w:cstheme="minorHAnsi"/>
                <w:lang w:val="en-US"/>
              </w:rPr>
            </w:pPr>
            <w:r w:rsidRPr="00942C19">
              <w:rPr>
                <w:rFonts w:asciiTheme="minorHAnsi" w:hAnsiTheme="minorHAnsi" w:cstheme="minorHAnsi"/>
                <w:color w:val="000000"/>
              </w:rPr>
              <w:t>Within 3 months</w:t>
            </w:r>
          </w:p>
        </w:tc>
      </w:tr>
      <w:tr w:rsidR="008B46AF" w:rsidRPr="00942C19" w:rsidTr="00974DC9">
        <w:trPr>
          <w:trHeight w:val="55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rPr>
            </w:pPr>
            <w:r w:rsidRPr="00942C19">
              <w:rPr>
                <w:rFonts w:asciiTheme="minorHAnsi" w:hAnsiTheme="minorHAnsi" w:cstheme="minorHAnsi"/>
                <w:color w:val="000000"/>
              </w:rPr>
              <w:t>6</w:t>
            </w:r>
          </w:p>
        </w:tc>
        <w:tc>
          <w:tcPr>
            <w:tcW w:w="3726" w:type="pct"/>
            <w:shd w:val="clear" w:color="auto" w:fill="auto"/>
            <w:noWrap/>
          </w:tcPr>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 xml:space="preserve">The Commission reiterates its direction to the Licensee to ensure proper maintenance of detailed fixed assets registers as specified in the Distribution Tariff Regulations.  </w:t>
            </w:r>
          </w:p>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 xml:space="preserve">As the fixed asset registers are pending since the creation of Discom, the Commission directs the Licensee to submit a status report and provide the proposed timelines / milestones for clearing the backlog. </w:t>
            </w:r>
          </w:p>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 xml:space="preserve">The Commission understands that clearing the backlog would take substantive time. In order to ensure that fixed asset registers are timely and regularly prepared going forward, the Commission directs the Licensee to prepare the fixed asset registers duly accounting for the yearly capitalisations from FY 2012-13 onwards. The capitalisation for the period before that may be shown on gross level basis. This dispensation is merely to ensure that the proper asset registers capturing all necessary details of the asset, including the costs incurred, date of commissioning, location of asset, and all other technical details are maintained for the ensuing years. However, the Licensee would also be required to clear the backlog in a time bound manner. Upon finalisation of the </w:t>
            </w:r>
            <w:r w:rsidR="00A24A40" w:rsidRPr="00942C19">
              <w:rPr>
                <w:rFonts w:asciiTheme="minorHAnsi" w:hAnsiTheme="minorHAnsi" w:cstheme="minorHAnsi"/>
              </w:rPr>
              <w:t>Transfer Scheme</w:t>
            </w:r>
            <w:r w:rsidRPr="00942C19">
              <w:rPr>
                <w:rFonts w:asciiTheme="minorHAnsi" w:hAnsiTheme="minorHAnsi" w:cstheme="minorHAnsi"/>
              </w:rPr>
              <w:t xml:space="preserve"> and clearing of backlog, the Licensee may update the fixed asset registers appropriately by passing necessary adjustments. </w:t>
            </w:r>
          </w:p>
        </w:tc>
        <w:tc>
          <w:tcPr>
            <w:tcW w:w="933" w:type="pct"/>
            <w:shd w:val="clear" w:color="auto" w:fill="auto"/>
            <w:noWrap/>
          </w:tcPr>
          <w:p w:rsidR="00A44CA7" w:rsidRPr="00942C19" w:rsidRDefault="00785E17">
            <w:pPr>
              <w:spacing w:before="60" w:after="60"/>
              <w:jc w:val="center"/>
              <w:rPr>
                <w:rFonts w:asciiTheme="minorHAnsi" w:hAnsiTheme="minorHAnsi"/>
                <w:lang w:val="en-US"/>
              </w:rPr>
            </w:pPr>
            <w:r w:rsidRPr="00942C19">
              <w:rPr>
                <w:rFonts w:asciiTheme="minorHAnsi" w:hAnsiTheme="minorHAnsi"/>
                <w:lang w:val="en-US"/>
              </w:rPr>
              <w:t>Immediate</w:t>
            </w:r>
          </w:p>
        </w:tc>
      </w:tr>
      <w:tr w:rsidR="008B46AF" w:rsidRPr="00942C19" w:rsidTr="00974DC9">
        <w:trPr>
          <w:trHeight w:val="55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rPr>
              <w:t>7</w:t>
            </w:r>
          </w:p>
        </w:tc>
        <w:tc>
          <w:tcPr>
            <w:tcW w:w="3726" w:type="pct"/>
            <w:shd w:val="clear" w:color="auto" w:fill="auto"/>
            <w:noWrap/>
          </w:tcPr>
          <w:p w:rsidR="00A44CA7" w:rsidRPr="00942C19" w:rsidRDefault="00785E1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933" w:type="pct"/>
            <w:shd w:val="clear" w:color="auto" w:fill="auto"/>
            <w:noWrap/>
          </w:tcPr>
          <w:p w:rsidR="00A44CA7" w:rsidRPr="00942C19" w:rsidRDefault="00785E17">
            <w:pPr>
              <w:spacing w:before="60" w:after="60"/>
              <w:jc w:val="center"/>
              <w:rPr>
                <w:rFonts w:asciiTheme="minorHAnsi" w:eastAsia="Arial Unicode MS" w:hAnsiTheme="minorHAnsi" w:cstheme="minorHAnsi"/>
                <w:b/>
                <w:bCs/>
                <w:color w:val="000000"/>
              </w:rPr>
            </w:pPr>
            <w:r w:rsidRPr="00942C19">
              <w:rPr>
                <w:rFonts w:asciiTheme="minorHAnsi" w:hAnsiTheme="minorHAnsi" w:cstheme="minorHAnsi"/>
                <w:color w:val="000000"/>
              </w:rPr>
              <w:t xml:space="preserve">Within 1 month </w:t>
            </w:r>
          </w:p>
        </w:tc>
      </w:tr>
      <w:tr w:rsidR="008B46AF" w:rsidRPr="00942C19" w:rsidTr="00974DC9">
        <w:trPr>
          <w:trHeight w:val="593"/>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rPr>
              <w:t>8</w:t>
            </w:r>
          </w:p>
        </w:tc>
        <w:tc>
          <w:tcPr>
            <w:tcW w:w="3726" w:type="pct"/>
            <w:shd w:val="clear" w:color="auto" w:fill="auto"/>
            <w:noWrap/>
          </w:tcPr>
          <w:p w:rsidR="00A44CA7" w:rsidRPr="00942C19" w:rsidRDefault="00785E1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frame an appropriate policy on capitalization of (i) employee costs, and (ii) A&amp;G expenses.</w:t>
            </w:r>
          </w:p>
        </w:tc>
        <w:tc>
          <w:tcPr>
            <w:tcW w:w="933" w:type="pct"/>
            <w:shd w:val="clear" w:color="auto" w:fill="auto"/>
            <w:noWrap/>
          </w:tcPr>
          <w:p w:rsidR="00A44CA7" w:rsidRPr="00942C19" w:rsidRDefault="00785E17">
            <w:pPr>
              <w:spacing w:before="60" w:after="60"/>
              <w:jc w:val="center"/>
              <w:rPr>
                <w:rFonts w:asciiTheme="minorHAnsi" w:hAnsiTheme="minorHAnsi" w:cstheme="minorHAnsi"/>
                <w:lang w:val="en-US"/>
              </w:rPr>
            </w:pPr>
            <w:r w:rsidRPr="00942C19">
              <w:rPr>
                <w:rFonts w:asciiTheme="minorHAnsi" w:hAnsiTheme="minorHAnsi" w:cstheme="minorHAnsi"/>
              </w:rPr>
              <w:t>Along with the petition for FY 2014-15</w:t>
            </w:r>
          </w:p>
        </w:tc>
      </w:tr>
      <w:tr w:rsidR="008B46AF" w:rsidRPr="00942C19" w:rsidTr="00974DC9">
        <w:trPr>
          <w:trHeight w:val="593"/>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lang w:val="en-US"/>
              </w:rPr>
              <w:t>9</w:t>
            </w:r>
          </w:p>
        </w:tc>
        <w:tc>
          <w:tcPr>
            <w:tcW w:w="3726" w:type="pct"/>
            <w:shd w:val="clear" w:color="auto" w:fill="auto"/>
            <w:noWrap/>
          </w:tcPr>
          <w:p w:rsidR="00A44CA7" w:rsidRPr="00942C19" w:rsidRDefault="00785E1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submit Fresh Actuarial Valuation Study Report in respect to employee expenses.</w:t>
            </w:r>
          </w:p>
        </w:tc>
        <w:tc>
          <w:tcPr>
            <w:tcW w:w="933" w:type="pct"/>
            <w:shd w:val="clear" w:color="auto" w:fill="auto"/>
            <w:noWrap/>
          </w:tcPr>
          <w:p w:rsidR="00A44CA7" w:rsidRPr="00942C19" w:rsidRDefault="00785E17">
            <w:pPr>
              <w:spacing w:before="60" w:after="60"/>
              <w:jc w:val="center"/>
              <w:rPr>
                <w:rFonts w:asciiTheme="minorHAnsi" w:hAnsiTheme="minorHAnsi" w:cstheme="minorHAnsi"/>
                <w:lang w:val="en-US"/>
              </w:rPr>
            </w:pPr>
            <w:r w:rsidRPr="00942C19">
              <w:rPr>
                <w:rFonts w:asciiTheme="minorHAnsi" w:hAnsiTheme="minorHAnsi" w:cstheme="minorHAnsi"/>
              </w:rPr>
              <w:t>Along with the petition for FY 2014-15</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color w:val="000000"/>
              </w:rPr>
            </w:pPr>
            <w:r w:rsidRPr="00942C19">
              <w:rPr>
                <w:rFonts w:asciiTheme="minorHAnsi" w:hAnsiTheme="minorHAnsi" w:cstheme="minorHAnsi"/>
                <w:color w:val="000000"/>
              </w:rPr>
              <w:t>10</w:t>
            </w:r>
          </w:p>
        </w:tc>
        <w:tc>
          <w:tcPr>
            <w:tcW w:w="3726" w:type="pct"/>
            <w:shd w:val="clear" w:color="auto" w:fill="auto"/>
            <w:noWrap/>
          </w:tcPr>
          <w:p w:rsidR="00A44CA7" w:rsidRPr="00942C19" w:rsidRDefault="00785E1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submit statutory auditor certificate towards pay revision impacts which are uncontrollable in nature in FY 2008-09, 2009-10, 2010-11 and 2011-12.</w:t>
            </w:r>
          </w:p>
        </w:tc>
        <w:tc>
          <w:tcPr>
            <w:tcW w:w="933" w:type="pct"/>
            <w:shd w:val="clear" w:color="auto" w:fill="auto"/>
            <w:noWrap/>
          </w:tcPr>
          <w:p w:rsidR="00A44CA7" w:rsidRPr="00942C19" w:rsidRDefault="00785E17">
            <w:pPr>
              <w:spacing w:before="60" w:after="60"/>
              <w:jc w:val="center"/>
              <w:rPr>
                <w:rFonts w:asciiTheme="minorHAnsi" w:hAnsiTheme="minorHAnsi" w:cstheme="minorHAnsi"/>
                <w:lang w:val="en-US"/>
              </w:rPr>
            </w:pPr>
            <w:r w:rsidRPr="00942C19">
              <w:rPr>
                <w:rFonts w:asciiTheme="minorHAnsi" w:hAnsiTheme="minorHAnsi" w:cstheme="minorHAnsi"/>
              </w:rPr>
              <w:t xml:space="preserve">Within 1 month </w:t>
            </w:r>
          </w:p>
        </w:tc>
      </w:tr>
      <w:tr w:rsidR="008B46AF" w:rsidRPr="00942C19" w:rsidTr="00974DC9">
        <w:trPr>
          <w:trHeight w:val="28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11</w:t>
            </w:r>
          </w:p>
        </w:tc>
        <w:tc>
          <w:tcPr>
            <w:tcW w:w="3726" w:type="pct"/>
            <w:shd w:val="clear" w:color="auto" w:fill="auto"/>
            <w:noWrap/>
            <w:hideMark/>
          </w:tcPr>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As lack of approved transparent policy on identifying and writing off bad debts is hindering allowance of bad debts as an ARR component; the Commission directs t</w:t>
            </w:r>
            <w:r w:rsidR="006626F3" w:rsidRPr="00942C19">
              <w:rPr>
                <w:rFonts w:asciiTheme="minorHAnsi" w:hAnsiTheme="minorHAnsi" w:cstheme="minorHAnsi"/>
              </w:rPr>
              <w:t>he</w:t>
            </w:r>
            <w:r w:rsidRPr="00942C19">
              <w:rPr>
                <w:rFonts w:asciiTheme="minorHAnsi" w:hAnsiTheme="minorHAnsi" w:cstheme="minorHAnsi"/>
              </w:rPr>
              <w:t xml:space="preserve"> Licensee to submit ten sample cases of LT &amp; HT consumers where orders have been issued for writing off bad debts, clearly depicting the procedure adopted for writing off bad debts along with policy framework for managing bad debts for </w:t>
            </w:r>
            <w:r w:rsidR="006626F3" w:rsidRPr="00942C19">
              <w:rPr>
                <w:rFonts w:asciiTheme="minorHAnsi" w:hAnsiTheme="minorHAnsi" w:cstheme="minorHAnsi"/>
              </w:rPr>
              <w:t xml:space="preserve">the Commission’s </w:t>
            </w:r>
            <w:r w:rsidRPr="00942C19">
              <w:rPr>
                <w:rFonts w:asciiTheme="minorHAnsi" w:hAnsiTheme="minorHAnsi" w:cstheme="minorHAnsi"/>
              </w:rPr>
              <w:t xml:space="preserve">perusal. </w:t>
            </w:r>
          </w:p>
        </w:tc>
        <w:tc>
          <w:tcPr>
            <w:tcW w:w="933" w:type="pct"/>
            <w:shd w:val="clear" w:color="auto" w:fill="auto"/>
            <w:noWrap/>
            <w:hideMark/>
          </w:tcPr>
          <w:p w:rsidR="00A44CA7" w:rsidRPr="00942C19" w:rsidRDefault="006626F3">
            <w:pPr>
              <w:spacing w:before="60" w:after="60"/>
              <w:jc w:val="center"/>
              <w:rPr>
                <w:rFonts w:asciiTheme="minorHAnsi" w:hAnsiTheme="minorHAnsi" w:cstheme="minorHAnsi"/>
              </w:rPr>
            </w:pPr>
            <w:r w:rsidRPr="00942C19">
              <w:rPr>
                <w:rFonts w:asciiTheme="minorHAnsi" w:hAnsiTheme="minorHAnsi" w:cstheme="minorHAnsi"/>
              </w:rPr>
              <w:t>Within 1 month</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12</w:t>
            </w:r>
          </w:p>
        </w:tc>
        <w:tc>
          <w:tcPr>
            <w:tcW w:w="3726" w:type="pct"/>
            <w:shd w:val="clear" w:color="auto" w:fill="auto"/>
            <w:noWrap/>
            <w:hideMark/>
          </w:tcPr>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 xml:space="preserve">The Commission directs the Licensee to evolve principles for prudent segregation of ARR towards wheeling function and retail supply function embedded in the distribution function in accordance with </w:t>
            </w:r>
            <w:r w:rsidR="006626F3" w:rsidRPr="00942C19">
              <w:rPr>
                <w:rFonts w:asciiTheme="minorHAnsi" w:hAnsiTheme="minorHAnsi" w:cstheme="minorHAnsi"/>
              </w:rPr>
              <w:t xml:space="preserve">Clause </w:t>
            </w:r>
            <w:r w:rsidRPr="00942C19">
              <w:rPr>
                <w:rFonts w:asciiTheme="minorHAnsi" w:hAnsiTheme="minorHAnsi" w:cstheme="minorHAnsi"/>
              </w:rPr>
              <w:t>2.1.2 of the Distribution Tariff Regulations.</w:t>
            </w:r>
          </w:p>
        </w:tc>
        <w:tc>
          <w:tcPr>
            <w:tcW w:w="933" w:type="pct"/>
            <w:shd w:val="clear" w:color="auto" w:fill="auto"/>
            <w:noWrap/>
            <w:hideMark/>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Within 4 months</w:t>
            </w:r>
          </w:p>
        </w:tc>
      </w:tr>
      <w:tr w:rsidR="008B46AF" w:rsidRPr="00942C19" w:rsidTr="00974DC9">
        <w:trPr>
          <w:trHeight w:val="1583"/>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13</w:t>
            </w:r>
          </w:p>
        </w:tc>
        <w:tc>
          <w:tcPr>
            <w:tcW w:w="3726" w:type="pct"/>
            <w:shd w:val="clear" w:color="auto" w:fill="auto"/>
            <w:noWrap/>
          </w:tcPr>
          <w:p w:rsidR="00A44CA7" w:rsidRPr="00942C19" w:rsidRDefault="00785E1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 xml:space="preserve">The Commission directs the Licensee to submit a long term business plan in accordance with </w:t>
            </w:r>
            <w:r w:rsidR="006626F3" w:rsidRPr="00942C19">
              <w:rPr>
                <w:rFonts w:asciiTheme="minorHAnsi" w:eastAsiaTheme="minorHAnsi" w:hAnsiTheme="minorHAnsi" w:cs="Tahoma"/>
                <w:lang w:val="en-IN"/>
              </w:rPr>
              <w:t xml:space="preserve">Clause </w:t>
            </w:r>
            <w:r w:rsidRPr="00942C19">
              <w:rPr>
                <w:rFonts w:asciiTheme="minorHAnsi" w:eastAsiaTheme="minorHAnsi" w:hAnsiTheme="minorHAnsi" w:cs="Tahoma"/>
                <w:lang w:val="en-IN"/>
              </w:rPr>
              <w:t>2.1.7 of the Distribution Tariff Regulations.</w:t>
            </w:r>
          </w:p>
          <w:p w:rsidR="00A44CA7" w:rsidRPr="00942C19" w:rsidRDefault="00785E17">
            <w:pPr>
              <w:autoSpaceDE w:val="0"/>
              <w:autoSpaceDN w:val="0"/>
              <w:adjustRightInd w:val="0"/>
              <w:spacing w:before="60" w:after="60"/>
              <w:rPr>
                <w:rFonts w:asciiTheme="minorHAnsi" w:hAnsiTheme="minorHAnsi" w:cstheme="minorHAnsi"/>
              </w:rPr>
            </w:pPr>
            <w:r w:rsidRPr="00942C19">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933" w:type="pct"/>
            <w:shd w:val="clear" w:color="auto" w:fill="auto"/>
            <w:noWrap/>
          </w:tcPr>
          <w:p w:rsidR="00A44CA7" w:rsidRPr="00942C19" w:rsidRDefault="00785E17">
            <w:pPr>
              <w:spacing w:before="60" w:after="60"/>
              <w:jc w:val="center"/>
              <w:rPr>
                <w:rFonts w:asciiTheme="minorHAnsi" w:hAnsiTheme="minorHAnsi"/>
                <w:lang w:val="en-US"/>
              </w:rPr>
            </w:pPr>
            <w:r w:rsidRPr="00942C19">
              <w:rPr>
                <w:rFonts w:asciiTheme="minorHAnsi" w:hAnsiTheme="minorHAnsi"/>
                <w:lang w:val="en-US"/>
              </w:rPr>
              <w:t>Within 3 months</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14</w:t>
            </w:r>
          </w:p>
        </w:tc>
        <w:tc>
          <w:tcPr>
            <w:tcW w:w="3726" w:type="pct"/>
            <w:shd w:val="clear" w:color="auto" w:fill="auto"/>
            <w:noWrap/>
          </w:tcPr>
          <w:p w:rsidR="00A44CA7" w:rsidRPr="00942C19" w:rsidRDefault="00785E1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 xml:space="preserve">The Commission directs the Licensee to conduct benchmarking studies to determine the desired performance standards in accordance with </w:t>
            </w:r>
            <w:r w:rsidR="006626F3" w:rsidRPr="00942C19">
              <w:rPr>
                <w:rFonts w:asciiTheme="minorHAnsi" w:eastAsiaTheme="minorHAnsi" w:hAnsiTheme="minorHAnsi" w:cs="Tahoma"/>
                <w:lang w:val="en-IN"/>
              </w:rPr>
              <w:t xml:space="preserve">Clause </w:t>
            </w:r>
            <w:r w:rsidRPr="00942C19">
              <w:rPr>
                <w:rFonts w:asciiTheme="minorHAnsi" w:eastAsiaTheme="minorHAnsi" w:hAnsiTheme="minorHAnsi" w:cs="Tahoma"/>
                <w:lang w:val="en-IN"/>
              </w:rPr>
              <w:t>2.1.8 of the Distribution Tariff Regulations.</w:t>
            </w:r>
          </w:p>
        </w:tc>
        <w:tc>
          <w:tcPr>
            <w:tcW w:w="933" w:type="pct"/>
            <w:shd w:val="clear" w:color="auto" w:fill="auto"/>
            <w:noWrap/>
          </w:tcPr>
          <w:p w:rsidR="00A44CA7" w:rsidRPr="00942C19" w:rsidRDefault="00785E17">
            <w:pPr>
              <w:spacing w:before="60" w:after="60"/>
              <w:jc w:val="center"/>
              <w:rPr>
                <w:rFonts w:asciiTheme="minorHAnsi" w:hAnsiTheme="minorHAnsi"/>
                <w:lang w:val="en-US"/>
              </w:rPr>
            </w:pPr>
            <w:r w:rsidRPr="00942C19">
              <w:rPr>
                <w:rFonts w:asciiTheme="minorHAnsi" w:hAnsiTheme="minorHAnsi"/>
                <w:lang w:val="en-US"/>
              </w:rPr>
              <w:t>Within 3 months</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15</w:t>
            </w:r>
          </w:p>
        </w:tc>
        <w:tc>
          <w:tcPr>
            <w:tcW w:w="3726" w:type="pct"/>
            <w:shd w:val="clear" w:color="auto" w:fill="auto"/>
            <w:noWrap/>
          </w:tcPr>
          <w:p w:rsidR="00A44CA7" w:rsidRPr="00942C19" w:rsidRDefault="00785E1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 xml:space="preserve">The Commission directs the Licensee to conduct proper loss estimate studies for </w:t>
            </w:r>
            <w:r w:rsidRPr="00942C19">
              <w:rPr>
                <w:rFonts w:asciiTheme="minorHAnsi" w:hAnsiTheme="minorHAnsi" w:cs="Tahoma"/>
              </w:rPr>
              <w:t>assessment of technical and commercial losses</w:t>
            </w:r>
            <w:r w:rsidRPr="00942C19">
              <w:rPr>
                <w:rFonts w:asciiTheme="minorHAnsi" w:eastAsiaTheme="minorHAnsi" w:hAnsiTheme="minorHAnsi" w:cs="Tahoma"/>
                <w:lang w:val="en-IN"/>
              </w:rPr>
              <w:t xml:space="preserve"> under its supervision so that the Commission may set the base line losses in accordance with </w:t>
            </w:r>
            <w:r w:rsidR="006626F3" w:rsidRPr="00942C19">
              <w:rPr>
                <w:rFonts w:asciiTheme="minorHAnsi" w:eastAsiaTheme="minorHAnsi" w:hAnsiTheme="minorHAnsi" w:cs="Tahoma"/>
                <w:lang w:val="en-IN"/>
              </w:rPr>
              <w:t xml:space="preserve">Clause </w:t>
            </w:r>
            <w:r w:rsidRPr="00942C19">
              <w:rPr>
                <w:rFonts w:asciiTheme="minorHAnsi" w:eastAsiaTheme="minorHAnsi" w:hAnsiTheme="minorHAnsi" w:cs="Tahoma"/>
                <w:lang w:val="en-IN"/>
              </w:rPr>
              <w:t xml:space="preserve">3.2.3 and </w:t>
            </w:r>
            <w:r w:rsidR="006626F3" w:rsidRPr="00942C19">
              <w:rPr>
                <w:rFonts w:asciiTheme="minorHAnsi" w:eastAsiaTheme="minorHAnsi" w:hAnsiTheme="minorHAnsi" w:cs="Tahoma"/>
                <w:lang w:val="en-IN"/>
              </w:rPr>
              <w:t xml:space="preserve">Clause </w:t>
            </w:r>
            <w:r w:rsidRPr="00942C19">
              <w:rPr>
                <w:rFonts w:asciiTheme="minorHAnsi" w:eastAsiaTheme="minorHAnsi" w:hAnsiTheme="minorHAnsi" w:cs="Tahoma"/>
                <w:lang w:val="en-IN"/>
              </w:rPr>
              <w:t>3.2.4 of the Distribution Tariff Regulations and submit the report to the Commission.</w:t>
            </w:r>
          </w:p>
          <w:p w:rsidR="00A44CA7" w:rsidRPr="00942C19" w:rsidRDefault="00785E17">
            <w:pPr>
              <w:autoSpaceDE w:val="0"/>
              <w:autoSpaceDN w:val="0"/>
              <w:adjustRightInd w:val="0"/>
              <w:spacing w:before="60" w:after="60"/>
              <w:rPr>
                <w:rFonts w:asciiTheme="minorHAnsi" w:eastAsiaTheme="minorHAnsi" w:hAnsiTheme="minorHAnsi" w:cs="Tahoma"/>
                <w:lang w:val="en-IN"/>
              </w:rPr>
            </w:pPr>
            <w:r w:rsidRPr="00942C19">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933" w:type="pct"/>
            <w:shd w:val="clear" w:color="auto" w:fill="auto"/>
            <w:noWrap/>
          </w:tcPr>
          <w:p w:rsidR="00A44CA7" w:rsidRPr="00942C19" w:rsidRDefault="00785E17">
            <w:pPr>
              <w:spacing w:before="60" w:after="60"/>
              <w:jc w:val="center"/>
              <w:rPr>
                <w:rFonts w:asciiTheme="minorHAnsi" w:hAnsiTheme="minorHAnsi"/>
                <w:lang w:val="en-US"/>
              </w:rPr>
            </w:pPr>
            <w:r w:rsidRPr="00942C19">
              <w:rPr>
                <w:rFonts w:asciiTheme="minorHAnsi" w:hAnsiTheme="minorHAnsi"/>
                <w:lang w:val="en-US"/>
              </w:rPr>
              <w:t>Within 3 months</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16</w:t>
            </w:r>
          </w:p>
        </w:tc>
        <w:tc>
          <w:tcPr>
            <w:tcW w:w="3726" w:type="pct"/>
            <w:shd w:val="clear" w:color="auto" w:fill="auto"/>
            <w:noWrap/>
          </w:tcPr>
          <w:p w:rsidR="00A44CA7" w:rsidRPr="00942C19" w:rsidRDefault="00785E1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 xml:space="preserve">The Commission directs the Licensee to submit completion report in respect of all capital projects which have achieved the Commercial Operation Date during FY 2011-12 in accordance with </w:t>
            </w:r>
            <w:r w:rsidR="006626F3" w:rsidRPr="00942C19">
              <w:rPr>
                <w:rFonts w:asciiTheme="minorHAnsi" w:eastAsiaTheme="minorHAnsi" w:hAnsiTheme="minorHAnsi" w:cs="Tahoma"/>
                <w:lang w:val="en-IN"/>
              </w:rPr>
              <w:t xml:space="preserve">Clause </w:t>
            </w:r>
            <w:r w:rsidRPr="00942C19">
              <w:rPr>
                <w:rFonts w:asciiTheme="minorHAnsi" w:eastAsiaTheme="minorHAnsi" w:hAnsiTheme="minorHAnsi" w:cs="Tahoma"/>
                <w:lang w:val="en-IN"/>
              </w:rPr>
              <w:t>4.5.7 of the Distribution Tariff Regulations.</w:t>
            </w:r>
          </w:p>
        </w:tc>
        <w:tc>
          <w:tcPr>
            <w:tcW w:w="933" w:type="pct"/>
            <w:shd w:val="clear" w:color="auto" w:fill="auto"/>
            <w:noWrap/>
          </w:tcPr>
          <w:p w:rsidR="00A44CA7" w:rsidRPr="00942C19" w:rsidRDefault="00785E17">
            <w:pPr>
              <w:spacing w:before="60" w:after="60"/>
              <w:jc w:val="center"/>
              <w:rPr>
                <w:rFonts w:asciiTheme="minorHAnsi" w:hAnsiTheme="minorHAnsi"/>
                <w:lang w:val="en-US"/>
              </w:rPr>
            </w:pPr>
            <w:r w:rsidRPr="00942C19">
              <w:rPr>
                <w:rFonts w:asciiTheme="minorHAnsi" w:hAnsiTheme="minorHAnsi"/>
                <w:lang w:val="en-US"/>
              </w:rPr>
              <w:t>Along with the true up petition for FY 2011-12</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17</w:t>
            </w:r>
          </w:p>
        </w:tc>
        <w:tc>
          <w:tcPr>
            <w:tcW w:w="3726" w:type="pct"/>
            <w:shd w:val="clear" w:color="auto" w:fill="auto"/>
            <w:noWrap/>
          </w:tcPr>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The Commission direct</w:t>
            </w:r>
            <w:r w:rsidR="00E07785" w:rsidRPr="00942C19">
              <w:rPr>
                <w:rFonts w:asciiTheme="minorHAnsi" w:hAnsiTheme="minorHAnsi" w:cstheme="minorHAnsi"/>
              </w:rPr>
              <w:t xml:space="preserve">s the </w:t>
            </w:r>
            <w:r w:rsidRPr="00942C19">
              <w:rPr>
                <w:rFonts w:asciiTheme="minorHAnsi" w:hAnsiTheme="minorHAnsi" w:cstheme="minorHAnsi"/>
              </w:rPr>
              <w:t xml:space="preserve">Licensee to conduct Cost of Service studies </w:t>
            </w:r>
            <w:r w:rsidR="00E07785" w:rsidRPr="00942C19">
              <w:rPr>
                <w:rFonts w:asciiTheme="minorHAnsi" w:hAnsiTheme="minorHAnsi" w:cstheme="minorHAnsi"/>
              </w:rPr>
              <w:t xml:space="preserve">which would serve as a </w:t>
            </w:r>
            <w:r w:rsidRPr="00942C19">
              <w:rPr>
                <w:rFonts w:asciiTheme="minorHAnsi" w:hAnsiTheme="minorHAnsi" w:cstheme="minorHAnsi"/>
              </w:rPr>
              <w:t>tool for alignment of costs and charges and submit details regarding the cost of service studies for each category or voltage level.</w:t>
            </w:r>
          </w:p>
        </w:tc>
        <w:tc>
          <w:tcPr>
            <w:tcW w:w="933"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Within 6 months</w:t>
            </w:r>
          </w:p>
        </w:tc>
      </w:tr>
      <w:tr w:rsidR="00974DC9" w:rsidRPr="00942C19" w:rsidTr="00974DC9">
        <w:trPr>
          <w:trHeight w:val="647"/>
          <w:jc w:val="center"/>
        </w:trPr>
        <w:tc>
          <w:tcPr>
            <w:tcW w:w="341" w:type="pct"/>
            <w:shd w:val="clear" w:color="auto" w:fill="auto"/>
            <w:noWrap/>
          </w:tcPr>
          <w:p w:rsidR="00974DC9" w:rsidRPr="00942C19" w:rsidRDefault="00974DC9">
            <w:pPr>
              <w:spacing w:before="60" w:after="60"/>
              <w:jc w:val="center"/>
              <w:rPr>
                <w:rFonts w:asciiTheme="minorHAnsi" w:hAnsiTheme="minorHAnsi" w:cstheme="minorHAnsi"/>
              </w:rPr>
            </w:pPr>
            <w:r w:rsidRPr="00942C19">
              <w:rPr>
                <w:rFonts w:asciiTheme="minorHAnsi" w:hAnsiTheme="minorHAnsi" w:cstheme="minorHAnsi"/>
              </w:rPr>
              <w:t>18</w:t>
            </w:r>
          </w:p>
        </w:tc>
        <w:tc>
          <w:tcPr>
            <w:tcW w:w="3726" w:type="pct"/>
            <w:shd w:val="clear" w:color="auto" w:fill="auto"/>
            <w:noWrap/>
          </w:tcPr>
          <w:p w:rsidR="00974DC9" w:rsidRPr="00204E8C" w:rsidRDefault="00974DC9" w:rsidP="00974DC9">
            <w:pPr>
              <w:spacing w:before="60" w:after="60"/>
              <w:rPr>
                <w:rFonts w:asciiTheme="minorHAnsi" w:hAnsiTheme="minorHAnsi" w:cstheme="minorHAnsi"/>
              </w:rPr>
            </w:pPr>
            <w:r w:rsidRPr="00204E8C">
              <w:rPr>
                <w:rFonts w:asciiTheme="minorHAnsi" w:hAnsiTheme="minorHAnsi" w:cstheme="minorHAnsi"/>
              </w:rPr>
              <w:t xml:space="preserve">Commission directs the Licensee to submit a road map for 100% metering in its licensed area. However, based on the ground realities, </w:t>
            </w:r>
            <w:r w:rsidRPr="00204E8C">
              <w:rPr>
                <w:rFonts w:asciiTheme="minorHAnsi" w:hAnsiTheme="minorHAnsi" w:cs="Tahoma"/>
              </w:rPr>
              <w:t xml:space="preserve">if the Distribution Licensee seeks exemption towards its metering obligation for any particular category of consumers, it must provide the Commission revised norms specific for </w:t>
            </w:r>
            <w:r>
              <w:rPr>
                <w:rFonts w:asciiTheme="minorHAnsi" w:hAnsiTheme="minorHAnsi" w:cs="Tahoma"/>
              </w:rPr>
              <w:t>its supply area</w:t>
            </w:r>
            <w:r w:rsidRPr="00204E8C">
              <w:rPr>
                <w:rFonts w:asciiTheme="minorHAnsi" w:hAnsiTheme="minorHAnsi" w:cs="Tahoma"/>
              </w:rPr>
              <w:t>, based on fresh studies, for assessment of consumption for these categories. Sales forecast for un-metered categories shall be validated with norms approved by the Commission on the basis of above study carried out by the Licensee.</w:t>
            </w:r>
          </w:p>
        </w:tc>
        <w:tc>
          <w:tcPr>
            <w:tcW w:w="933" w:type="pct"/>
            <w:shd w:val="clear" w:color="auto" w:fill="auto"/>
            <w:noWrap/>
          </w:tcPr>
          <w:p w:rsidR="00974DC9" w:rsidRPr="00942C19" w:rsidRDefault="00974DC9">
            <w:pPr>
              <w:spacing w:before="60" w:after="60"/>
              <w:jc w:val="center"/>
              <w:rPr>
                <w:rFonts w:asciiTheme="minorHAnsi" w:hAnsiTheme="minorHAnsi" w:cstheme="minorHAnsi"/>
              </w:rPr>
            </w:pPr>
            <w:r w:rsidRPr="00942C19">
              <w:rPr>
                <w:rFonts w:asciiTheme="minorHAnsi" w:hAnsiTheme="minorHAnsi" w:cstheme="minorHAnsi"/>
              </w:rPr>
              <w:t>Within 2 months</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19</w:t>
            </w:r>
          </w:p>
        </w:tc>
        <w:tc>
          <w:tcPr>
            <w:tcW w:w="3726" w:type="pct"/>
            <w:shd w:val="clear" w:color="auto" w:fill="auto"/>
            <w:noWrap/>
          </w:tcPr>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 xml:space="preserve">The Commission directs the Licensee to install electronic meters in the residential consumers under LMV-10 category and submit a progress report every </w:t>
            </w:r>
            <w:r w:rsidR="00E07785" w:rsidRPr="00942C19">
              <w:rPr>
                <w:rFonts w:asciiTheme="minorHAnsi" w:hAnsiTheme="minorHAnsi" w:cstheme="minorHAnsi"/>
              </w:rPr>
              <w:t>month</w:t>
            </w:r>
            <w:r w:rsidRPr="00942C19">
              <w:rPr>
                <w:rFonts w:asciiTheme="minorHAnsi" w:hAnsiTheme="minorHAnsi" w:cstheme="minorHAnsi"/>
              </w:rPr>
              <w:t>.</w:t>
            </w:r>
          </w:p>
        </w:tc>
        <w:tc>
          <w:tcPr>
            <w:tcW w:w="933"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 xml:space="preserve">Within one month </w:t>
            </w:r>
          </w:p>
        </w:tc>
      </w:tr>
      <w:tr w:rsidR="008B46AF" w:rsidRPr="00942C19" w:rsidTr="00974DC9">
        <w:trPr>
          <w:trHeight w:val="647"/>
          <w:jc w:val="center"/>
        </w:trPr>
        <w:tc>
          <w:tcPr>
            <w:tcW w:w="341"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20</w:t>
            </w:r>
          </w:p>
        </w:tc>
        <w:tc>
          <w:tcPr>
            <w:tcW w:w="3726" w:type="pct"/>
            <w:shd w:val="clear" w:color="auto" w:fill="auto"/>
            <w:noWrap/>
          </w:tcPr>
          <w:p w:rsidR="00A44CA7" w:rsidRPr="00942C19" w:rsidRDefault="00785E17">
            <w:pPr>
              <w:autoSpaceDE w:val="0"/>
              <w:autoSpaceDN w:val="0"/>
              <w:adjustRightInd w:val="0"/>
              <w:spacing w:before="60" w:after="60"/>
              <w:rPr>
                <w:rFonts w:asciiTheme="minorHAnsi" w:hAnsiTheme="minorHAnsi" w:cstheme="minorHAnsi"/>
              </w:rPr>
            </w:pPr>
            <w:r w:rsidRPr="00942C19">
              <w:rPr>
                <w:rFonts w:asciiTheme="minorHAnsi" w:hAnsiTheme="minorHAnsi" w:cs="Tahoma"/>
                <w:lang w:val="en-IN"/>
              </w:rPr>
              <w:t xml:space="preserve">The Commission directs the Licensee to submit data related to its peak demand and off peak demand in MW along with its sales projections in accordance with </w:t>
            </w:r>
            <w:r w:rsidR="00A24A40" w:rsidRPr="00942C19">
              <w:rPr>
                <w:rFonts w:asciiTheme="minorHAnsi" w:hAnsiTheme="minorHAnsi" w:cs="Tahoma"/>
                <w:lang w:val="en-IN"/>
              </w:rPr>
              <w:t xml:space="preserve">Clause </w:t>
            </w:r>
            <w:r w:rsidRPr="00942C19">
              <w:rPr>
                <w:rFonts w:asciiTheme="minorHAnsi" w:hAnsiTheme="minorHAnsi" w:cs="Tahoma"/>
                <w:lang w:val="en-IN"/>
              </w:rPr>
              <w:t>3.1.4 of the Distribution Tariff Regulations.</w:t>
            </w:r>
          </w:p>
        </w:tc>
        <w:tc>
          <w:tcPr>
            <w:tcW w:w="933"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Along with the petition for FY 2014-15</w:t>
            </w:r>
          </w:p>
        </w:tc>
      </w:tr>
      <w:tr w:rsidR="00A24A40" w:rsidRPr="00942C19" w:rsidTr="00974DC9">
        <w:trPr>
          <w:trHeight w:val="647"/>
          <w:jc w:val="center"/>
        </w:trPr>
        <w:tc>
          <w:tcPr>
            <w:tcW w:w="341" w:type="pct"/>
            <w:shd w:val="clear" w:color="auto" w:fill="auto"/>
            <w:noWrap/>
          </w:tcPr>
          <w:p w:rsidR="00A24A40" w:rsidRPr="00942C19" w:rsidRDefault="00A24A40" w:rsidP="006626F3">
            <w:pPr>
              <w:spacing w:before="60" w:after="60"/>
              <w:jc w:val="center"/>
              <w:rPr>
                <w:rFonts w:asciiTheme="minorHAnsi" w:hAnsiTheme="minorHAnsi" w:cstheme="minorHAnsi"/>
              </w:rPr>
            </w:pPr>
            <w:r w:rsidRPr="00942C19">
              <w:rPr>
                <w:rFonts w:asciiTheme="minorHAnsi" w:hAnsiTheme="minorHAnsi" w:cstheme="minorHAnsi"/>
              </w:rPr>
              <w:t>21</w:t>
            </w:r>
          </w:p>
        </w:tc>
        <w:tc>
          <w:tcPr>
            <w:tcW w:w="3726" w:type="pct"/>
            <w:shd w:val="clear" w:color="auto" w:fill="auto"/>
            <w:noWrap/>
          </w:tcPr>
          <w:p w:rsidR="00A24A40" w:rsidRPr="00942C19" w:rsidRDefault="00A24A40" w:rsidP="006626F3">
            <w:pPr>
              <w:autoSpaceDE w:val="0"/>
              <w:autoSpaceDN w:val="0"/>
              <w:adjustRightInd w:val="0"/>
              <w:spacing w:before="60" w:after="60"/>
              <w:rPr>
                <w:rFonts w:asciiTheme="minorHAnsi" w:hAnsiTheme="minorHAnsi" w:cs="Tahoma"/>
                <w:lang w:val="en-IN"/>
              </w:rPr>
            </w:pPr>
            <w:r w:rsidRPr="00942C19">
              <w:rPr>
                <w:rFonts w:asciiTheme="minorHAnsi" w:hAnsiTheme="minorHAnsi" w:cs="Tahoma"/>
                <w:lang w:val="en-IN"/>
              </w:rPr>
              <w:t>The Commission directs the Licensee to reconcile the inter-unit balances lying un-reconciled either itself or through independent chartered accountant firms.</w:t>
            </w:r>
          </w:p>
        </w:tc>
        <w:tc>
          <w:tcPr>
            <w:tcW w:w="933" w:type="pct"/>
            <w:shd w:val="clear" w:color="auto" w:fill="auto"/>
            <w:noWrap/>
          </w:tcPr>
          <w:p w:rsidR="00A24A40" w:rsidRPr="00942C19" w:rsidRDefault="00A24A40" w:rsidP="006626F3">
            <w:pPr>
              <w:spacing w:before="60" w:after="60"/>
              <w:jc w:val="center"/>
              <w:rPr>
                <w:rFonts w:asciiTheme="minorHAnsi" w:hAnsiTheme="minorHAnsi" w:cstheme="minorHAnsi"/>
              </w:rPr>
            </w:pPr>
            <w:r w:rsidRPr="00942C19">
              <w:rPr>
                <w:rFonts w:asciiTheme="minorHAnsi" w:hAnsiTheme="minorHAnsi" w:cs="Tahoma"/>
                <w:lang w:val="en-IN"/>
              </w:rPr>
              <w:t>Along with the petition for FY 2014-15</w:t>
            </w:r>
          </w:p>
        </w:tc>
      </w:tr>
      <w:tr w:rsidR="00A730F2" w:rsidRPr="00942C19" w:rsidTr="00974DC9">
        <w:trPr>
          <w:trHeight w:val="647"/>
          <w:jc w:val="center"/>
        </w:trPr>
        <w:tc>
          <w:tcPr>
            <w:tcW w:w="341" w:type="pct"/>
            <w:shd w:val="clear" w:color="auto" w:fill="auto"/>
            <w:noWrap/>
          </w:tcPr>
          <w:p w:rsidR="00A730F2" w:rsidRPr="00942C19" w:rsidRDefault="00A730F2" w:rsidP="006626F3">
            <w:pPr>
              <w:spacing w:before="60" w:after="60"/>
              <w:jc w:val="center"/>
              <w:rPr>
                <w:rFonts w:asciiTheme="minorHAnsi" w:hAnsiTheme="minorHAnsi" w:cstheme="minorHAnsi"/>
              </w:rPr>
            </w:pPr>
            <w:r w:rsidRPr="00942C19">
              <w:rPr>
                <w:rFonts w:asciiTheme="minorHAnsi" w:hAnsiTheme="minorHAnsi" w:cstheme="minorHAnsi"/>
              </w:rPr>
              <w:t>22</w:t>
            </w:r>
          </w:p>
        </w:tc>
        <w:tc>
          <w:tcPr>
            <w:tcW w:w="3726" w:type="pct"/>
            <w:shd w:val="clear" w:color="auto" w:fill="auto"/>
            <w:noWrap/>
          </w:tcPr>
          <w:p w:rsidR="00A44CA7" w:rsidRPr="00942C19" w:rsidRDefault="00785E17">
            <w:pPr>
              <w:spacing w:before="60" w:after="60"/>
              <w:rPr>
                <w:rFonts w:asciiTheme="minorHAnsi" w:hAnsiTheme="minorHAnsi" w:cstheme="minorHAnsi"/>
              </w:rPr>
            </w:pPr>
            <w:r w:rsidRPr="00942C19">
              <w:rPr>
                <w:rFonts w:asciiTheme="minorHAnsi" w:hAnsiTheme="minorHAnsi" w:cstheme="minorHAnsi"/>
              </w:rPr>
              <w:t>The Commission directs the Licensee to file submissions in respect of FPPCA in a timely and regular manner.</w:t>
            </w:r>
          </w:p>
        </w:tc>
        <w:tc>
          <w:tcPr>
            <w:tcW w:w="933" w:type="pct"/>
            <w:shd w:val="clear" w:color="auto" w:fill="auto"/>
            <w:noWrap/>
          </w:tcPr>
          <w:p w:rsidR="00A44CA7" w:rsidRPr="00942C19" w:rsidRDefault="00785E17">
            <w:pPr>
              <w:spacing w:before="60" w:after="60"/>
              <w:jc w:val="center"/>
              <w:rPr>
                <w:rFonts w:asciiTheme="minorHAnsi" w:hAnsiTheme="minorHAnsi" w:cstheme="minorHAnsi"/>
              </w:rPr>
            </w:pPr>
            <w:r w:rsidRPr="00942C19">
              <w:rPr>
                <w:rFonts w:asciiTheme="minorHAnsi" w:hAnsiTheme="minorHAnsi" w:cstheme="minorHAnsi"/>
              </w:rPr>
              <w:t>Every quarter as per the time frame prescribed in the Regulations</w:t>
            </w:r>
          </w:p>
        </w:tc>
      </w:tr>
      <w:tr w:rsidR="00C02823" w:rsidRPr="00942C19" w:rsidTr="00974DC9">
        <w:trPr>
          <w:trHeight w:val="647"/>
          <w:jc w:val="center"/>
        </w:trPr>
        <w:tc>
          <w:tcPr>
            <w:tcW w:w="341" w:type="pct"/>
            <w:shd w:val="clear" w:color="auto" w:fill="auto"/>
            <w:noWrap/>
          </w:tcPr>
          <w:p w:rsidR="00C02823" w:rsidRPr="00942C19" w:rsidRDefault="00C02823" w:rsidP="006626F3">
            <w:pPr>
              <w:spacing w:before="60" w:after="60"/>
              <w:jc w:val="center"/>
              <w:rPr>
                <w:rFonts w:asciiTheme="minorHAnsi" w:hAnsiTheme="minorHAnsi" w:cstheme="minorHAnsi"/>
              </w:rPr>
            </w:pPr>
            <w:r w:rsidRPr="00942C19">
              <w:rPr>
                <w:rFonts w:asciiTheme="minorHAnsi" w:hAnsiTheme="minorHAnsi" w:cstheme="minorHAnsi"/>
              </w:rPr>
              <w:t>23</w:t>
            </w:r>
          </w:p>
        </w:tc>
        <w:tc>
          <w:tcPr>
            <w:tcW w:w="3726" w:type="pct"/>
            <w:shd w:val="clear" w:color="auto" w:fill="auto"/>
            <w:noWrap/>
          </w:tcPr>
          <w:p w:rsidR="00C02823" w:rsidRPr="00942C19" w:rsidRDefault="00C02823">
            <w:pPr>
              <w:spacing w:before="60" w:after="60"/>
              <w:rPr>
                <w:rFonts w:asciiTheme="minorHAnsi" w:hAnsiTheme="minorHAnsi" w:cstheme="minorHAnsi"/>
              </w:rPr>
            </w:pPr>
            <w:r w:rsidRPr="00942C19">
              <w:rPr>
                <w:rFonts w:asciiTheme="minorHAnsi" w:hAnsiTheme="minorHAnsi" w:cstheme="minorHAnsi"/>
              </w:rPr>
              <w:t>The Commission directs the Licensee to depict the regulatory surcharge distinctly in the electricity bills of the consumers and create separate accounting fields to capture the amounts collected as regulatory surcharge in both of its financial and commercial statements. The Commission directs the Licensee to provide the details of the regulatory surcharge so collected for FY 2013-14 duly certified by the statutory auditor.</w:t>
            </w:r>
          </w:p>
        </w:tc>
        <w:tc>
          <w:tcPr>
            <w:tcW w:w="933" w:type="pct"/>
            <w:shd w:val="clear" w:color="auto" w:fill="auto"/>
            <w:noWrap/>
          </w:tcPr>
          <w:p w:rsidR="00C02823" w:rsidRPr="00942C19" w:rsidRDefault="00C02823">
            <w:pPr>
              <w:spacing w:before="60" w:after="60"/>
              <w:jc w:val="center"/>
              <w:rPr>
                <w:rFonts w:asciiTheme="minorHAnsi" w:hAnsiTheme="minorHAnsi" w:cstheme="minorHAnsi"/>
              </w:rPr>
            </w:pPr>
            <w:r w:rsidRPr="00942C19">
              <w:rPr>
                <w:rFonts w:asciiTheme="minorHAnsi" w:hAnsiTheme="minorHAnsi" w:cstheme="minorHAnsi"/>
              </w:rPr>
              <w:t>By 30</w:t>
            </w:r>
            <w:r w:rsidRPr="00942C19">
              <w:rPr>
                <w:rFonts w:asciiTheme="minorHAnsi" w:hAnsiTheme="minorHAnsi" w:cstheme="minorHAnsi"/>
                <w:vertAlign w:val="superscript"/>
              </w:rPr>
              <w:t>th</w:t>
            </w:r>
            <w:r w:rsidRPr="00942C19">
              <w:rPr>
                <w:rFonts w:asciiTheme="minorHAnsi" w:hAnsiTheme="minorHAnsi" w:cstheme="minorHAnsi"/>
              </w:rPr>
              <w:t xml:space="preserve"> September 2014</w:t>
            </w:r>
          </w:p>
        </w:tc>
      </w:tr>
      <w:tr w:rsidR="00C02823" w:rsidRPr="00942C19" w:rsidTr="00974DC9">
        <w:trPr>
          <w:trHeight w:val="647"/>
          <w:jc w:val="center"/>
        </w:trPr>
        <w:tc>
          <w:tcPr>
            <w:tcW w:w="341" w:type="pct"/>
            <w:shd w:val="clear" w:color="auto" w:fill="auto"/>
            <w:noWrap/>
          </w:tcPr>
          <w:p w:rsidR="00C02823" w:rsidRPr="00942C19" w:rsidRDefault="00C02823" w:rsidP="006626F3">
            <w:pPr>
              <w:spacing w:before="60" w:after="60"/>
              <w:jc w:val="center"/>
              <w:rPr>
                <w:rFonts w:asciiTheme="minorHAnsi" w:hAnsiTheme="minorHAnsi" w:cstheme="minorHAnsi"/>
              </w:rPr>
            </w:pPr>
            <w:r w:rsidRPr="00942C19">
              <w:rPr>
                <w:rFonts w:asciiTheme="minorHAnsi" w:hAnsiTheme="minorHAnsi" w:cstheme="minorHAnsi"/>
              </w:rPr>
              <w:t>24</w:t>
            </w:r>
          </w:p>
        </w:tc>
        <w:tc>
          <w:tcPr>
            <w:tcW w:w="3726" w:type="pct"/>
            <w:shd w:val="clear" w:color="auto" w:fill="auto"/>
            <w:noWrap/>
          </w:tcPr>
          <w:p w:rsidR="00C02823" w:rsidRPr="00942C19" w:rsidRDefault="00C02823">
            <w:pPr>
              <w:spacing w:before="60" w:after="60"/>
              <w:rPr>
                <w:rFonts w:asciiTheme="minorHAnsi" w:hAnsiTheme="minorHAnsi" w:cstheme="minorHAnsi"/>
              </w:rPr>
            </w:pPr>
            <w:r w:rsidRPr="00942C19">
              <w:rPr>
                <w:rFonts w:asciiTheme="minorHAnsi" w:hAnsiTheme="minorHAnsi" w:cstheme="minorHAnsi"/>
              </w:rPr>
              <w:t>The Commission directs the Licensee to finalise the allocation of subsidy</w:t>
            </w:r>
            <w:r w:rsidR="00D85259" w:rsidRPr="00942C19">
              <w:rPr>
                <w:rFonts w:asciiTheme="minorHAnsi" w:hAnsiTheme="minorHAnsi" w:cstheme="minorHAnsi"/>
              </w:rPr>
              <w:t xml:space="preserve"> </w:t>
            </w:r>
            <w:r w:rsidR="00D85259" w:rsidRPr="00942C19">
              <w:t>after taking into consideration the regulatory surcharge</w:t>
            </w:r>
            <w:r w:rsidRPr="00942C19">
              <w:rPr>
                <w:rFonts w:asciiTheme="minorHAnsi" w:hAnsiTheme="minorHAnsi" w:cstheme="minorHAnsi"/>
              </w:rPr>
              <w:t xml:space="preserve"> among all the four Discoms namely DVVNL, MVVNL, PVVNL and PuVVNL in concurrence with the State Government up to 30</w:t>
            </w:r>
            <w:r w:rsidRPr="00942C19">
              <w:rPr>
                <w:rFonts w:asciiTheme="minorHAnsi" w:hAnsiTheme="minorHAnsi" w:cstheme="minorHAnsi"/>
                <w:vertAlign w:val="superscript"/>
              </w:rPr>
              <w:t>th</w:t>
            </w:r>
            <w:r w:rsidRPr="00942C19">
              <w:rPr>
                <w:rFonts w:asciiTheme="minorHAnsi" w:hAnsiTheme="minorHAnsi" w:cstheme="minorHAnsi"/>
              </w:rPr>
              <w:t xml:space="preserve"> November, 2013 and submit a report on the same to the Commission.</w:t>
            </w:r>
          </w:p>
        </w:tc>
        <w:tc>
          <w:tcPr>
            <w:tcW w:w="933" w:type="pct"/>
            <w:shd w:val="clear" w:color="auto" w:fill="auto"/>
            <w:noWrap/>
          </w:tcPr>
          <w:p w:rsidR="00C02823" w:rsidRPr="00942C19" w:rsidRDefault="00C02823">
            <w:pPr>
              <w:spacing w:before="60" w:after="60"/>
              <w:jc w:val="center"/>
              <w:rPr>
                <w:rFonts w:asciiTheme="minorHAnsi" w:hAnsiTheme="minorHAnsi" w:cstheme="minorHAnsi"/>
              </w:rPr>
            </w:pPr>
            <w:r w:rsidRPr="00942C19">
              <w:rPr>
                <w:rFonts w:asciiTheme="minorHAnsi" w:hAnsiTheme="minorHAnsi" w:cstheme="minorHAnsi"/>
              </w:rPr>
              <w:t>Along with the petition for FY 2014-15</w:t>
            </w:r>
          </w:p>
        </w:tc>
      </w:tr>
    </w:tbl>
    <w:p w:rsidR="00155FB3" w:rsidRPr="00942C19" w:rsidRDefault="00155FB3" w:rsidP="00155FB3">
      <w:pPr>
        <w:spacing w:before="0"/>
        <w:jc w:val="center"/>
      </w:pPr>
    </w:p>
    <w:p w:rsidR="00B736BC" w:rsidRPr="00942C19" w:rsidRDefault="008B46AF">
      <w:pPr>
        <w:pStyle w:val="Heading3"/>
        <w:numPr>
          <w:ilvl w:val="2"/>
          <w:numId w:val="1"/>
        </w:numPr>
        <w:spacing w:before="0"/>
      </w:pPr>
      <w:r w:rsidRPr="00942C19">
        <w:t xml:space="preserve">The Commission would like to mention here that the list given above may not be exhaustive and the </w:t>
      </w:r>
      <w:r w:rsidR="009A3804" w:rsidRPr="00942C19">
        <w:t>Licensee</w:t>
      </w:r>
      <w:r w:rsidRPr="00942C19">
        <w:t xml:space="preserve"> is directed comply with all directives given in the text of this Order.</w:t>
      </w:r>
    </w:p>
    <w:p w:rsidR="00B736BC" w:rsidRPr="00942C19" w:rsidRDefault="00B736BC">
      <w:pPr>
        <w:pStyle w:val="Heading3"/>
        <w:numPr>
          <w:ilvl w:val="0"/>
          <w:numId w:val="0"/>
        </w:numPr>
        <w:spacing w:before="0"/>
        <w:ind w:left="720"/>
      </w:pPr>
    </w:p>
    <w:p w:rsidR="00B736BC" w:rsidRPr="00942C19" w:rsidRDefault="008B46AF">
      <w:pPr>
        <w:pStyle w:val="Heading3"/>
        <w:numPr>
          <w:ilvl w:val="2"/>
          <w:numId w:val="1"/>
        </w:numPr>
        <w:spacing w:before="0"/>
      </w:pPr>
      <w:r w:rsidRPr="00942C19">
        <w:t xml:space="preserve">The Commission directs the </w:t>
      </w:r>
      <w:r w:rsidR="009A3804" w:rsidRPr="00942C19">
        <w:t>Licensee</w:t>
      </w:r>
      <w:r w:rsidRPr="00942C19">
        <w:t xml:space="preserve"> to follow the directions scrupulously and send the periodical reports by 30th of every month about the compliance of these directions in the format titled ‘Action Taken </w:t>
      </w:r>
      <w:r w:rsidR="00785E17" w:rsidRPr="00942C19">
        <w:t>Report on the Directions Issued by the Commission’ provided at Annexure 10.7 o</w:t>
      </w:r>
      <w:r w:rsidRPr="00942C19">
        <w:t>f this Order.</w:t>
      </w:r>
    </w:p>
    <w:p w:rsidR="00A72BF3" w:rsidRPr="00942C19" w:rsidRDefault="00A72BF3" w:rsidP="00A72BF3">
      <w:pPr>
        <w:spacing w:line="240" w:lineRule="auto"/>
        <w:jc w:val="left"/>
        <w:rPr>
          <w:rFonts w:cs="Arial"/>
          <w:b/>
          <w:bCs/>
          <w:color w:val="333399"/>
          <w:kern w:val="32"/>
          <w:szCs w:val="32"/>
        </w:rPr>
      </w:pPr>
      <w:bookmarkStart w:id="867" w:name="_Toc257717229"/>
      <w:bookmarkStart w:id="868" w:name="_Toc336438752"/>
      <w:bookmarkStart w:id="869" w:name="_Toc337201451"/>
      <w:r w:rsidRPr="00942C19">
        <w:br w:type="page"/>
      </w:r>
    </w:p>
    <w:p w:rsidR="00A72BF3" w:rsidRPr="00942C19" w:rsidRDefault="00A72BF3" w:rsidP="00E31CC7">
      <w:pPr>
        <w:pStyle w:val="Heading1"/>
        <w:numPr>
          <w:ilvl w:val="0"/>
          <w:numId w:val="1"/>
        </w:numPr>
        <w:spacing w:line="276" w:lineRule="auto"/>
      </w:pPr>
      <w:bookmarkStart w:id="870" w:name="_Toc357345055"/>
      <w:bookmarkStart w:id="871" w:name="_Toc357714431"/>
      <w:r w:rsidRPr="00942C19">
        <w:t>APPLICABILITY OF THE ORDER</w:t>
      </w:r>
      <w:bookmarkEnd w:id="867"/>
      <w:bookmarkEnd w:id="868"/>
      <w:bookmarkEnd w:id="869"/>
      <w:bookmarkEnd w:id="870"/>
      <w:bookmarkEnd w:id="871"/>
    </w:p>
    <w:p w:rsidR="00A44CA7" w:rsidRPr="00942C19" w:rsidRDefault="00A44CA7">
      <w:pPr>
        <w:pStyle w:val="Heading3"/>
        <w:numPr>
          <w:ilvl w:val="0"/>
          <w:numId w:val="0"/>
        </w:numPr>
        <w:spacing w:before="0"/>
        <w:ind w:left="576"/>
        <w:rPr>
          <w:b/>
        </w:rPr>
      </w:pPr>
      <w:bookmarkStart w:id="872" w:name="_Toc357356183"/>
    </w:p>
    <w:p w:rsidR="00A44CA7" w:rsidRPr="00942C19" w:rsidRDefault="00A72BF3">
      <w:pPr>
        <w:pStyle w:val="Heading3"/>
        <w:numPr>
          <w:ilvl w:val="1"/>
          <w:numId w:val="1"/>
        </w:numPr>
        <w:spacing w:before="0"/>
        <w:rPr>
          <w:b/>
        </w:rPr>
      </w:pPr>
      <w:r w:rsidRPr="00942C19">
        <w:t xml:space="preserve">The </w:t>
      </w:r>
      <w:r w:rsidR="009A3804" w:rsidRPr="00942C19">
        <w:t>Licensee</w:t>
      </w:r>
      <w:r w:rsidRPr="00942C19">
        <w:t xml:space="preserve">, in accordance to Section 139 of the Uttar Pradesh Electricity Regulatory Commission (Conduct of Business) Regulations 2004, shall publish </w:t>
      </w:r>
      <w:r w:rsidR="00E07785" w:rsidRPr="00942C19">
        <w:rPr>
          <w:rFonts w:asciiTheme="minorHAnsi" w:hAnsiTheme="minorHAnsi" w:cstheme="minorHAnsi"/>
        </w:rPr>
        <w:t xml:space="preserve">the approved tariffs </w:t>
      </w:r>
      <w:r w:rsidR="00583702" w:rsidRPr="00942C19">
        <w:rPr>
          <w:rFonts w:asciiTheme="minorHAnsi" w:hAnsiTheme="minorHAnsi" w:cstheme="minorHAnsi"/>
        </w:rPr>
        <w:t xml:space="preserve">and regulatory surcharge </w:t>
      </w:r>
      <w:r w:rsidR="00E07785" w:rsidRPr="00942C19">
        <w:rPr>
          <w:rFonts w:asciiTheme="minorHAnsi" w:hAnsiTheme="minorHAnsi" w:cstheme="minorHAnsi"/>
        </w:rPr>
        <w:t>within three days from the date of this Order</w:t>
      </w:r>
      <w:r w:rsidR="00E07785" w:rsidRPr="00942C19">
        <w:t xml:space="preserve">. The </w:t>
      </w:r>
      <w:r w:rsidR="009A3804" w:rsidRPr="00942C19">
        <w:t>Licensee</w:t>
      </w:r>
      <w:r w:rsidRPr="00942C19">
        <w:t xml:space="preserve"> shall ensure that the same is published in at</w:t>
      </w:r>
      <w:r w:rsidR="00921892" w:rsidRPr="00942C19">
        <w:t xml:space="preserve"> </w:t>
      </w:r>
      <w:r w:rsidRPr="00942C19">
        <w:t xml:space="preserve">least two daily newspapers (one English and one Hindi) having </w:t>
      </w:r>
      <w:r w:rsidR="00443498" w:rsidRPr="00942C19">
        <w:t xml:space="preserve">wide </w:t>
      </w:r>
      <w:r w:rsidRPr="00942C19">
        <w:t xml:space="preserve">circulation in the area of supply. </w:t>
      </w:r>
      <w:r w:rsidR="00E07785" w:rsidRPr="00942C19">
        <w:rPr>
          <w:rFonts w:asciiTheme="minorHAnsi" w:hAnsiTheme="minorHAnsi" w:cstheme="minorHAnsi"/>
        </w:rPr>
        <w:t xml:space="preserve">The tariffs so published shall become the notified tariffs </w:t>
      </w:r>
      <w:r w:rsidR="00443498" w:rsidRPr="00942C19">
        <w:t xml:space="preserve">applicable in the area of supply </w:t>
      </w:r>
      <w:r w:rsidR="00E07785" w:rsidRPr="00942C19">
        <w:rPr>
          <w:rFonts w:asciiTheme="minorHAnsi" w:hAnsiTheme="minorHAnsi" w:cstheme="minorHAnsi"/>
        </w:rPr>
        <w:t>and shall come into force after seven days from the date of such publication of the tariffs, and unless amended or revoked, shall continue to be in force till issuance of the next Tariff Order.</w:t>
      </w:r>
      <w:bookmarkEnd w:id="872"/>
      <w:r w:rsidR="004A205B" w:rsidRPr="00942C19">
        <w:rPr>
          <w:rFonts w:asciiTheme="minorHAnsi" w:hAnsiTheme="minorHAnsi" w:cstheme="minorHAnsi"/>
        </w:rPr>
        <w:t xml:space="preserve"> The regulatory surcharge so published shall come into force after seven days from the date of its publication and shall be in force till 31st March, 201</w:t>
      </w:r>
      <w:r w:rsidR="00D85259" w:rsidRPr="00942C19">
        <w:rPr>
          <w:rFonts w:asciiTheme="minorHAnsi" w:hAnsiTheme="minorHAnsi" w:cstheme="minorHAnsi"/>
        </w:rPr>
        <w:t>4</w:t>
      </w:r>
      <w:r w:rsidR="004A205B" w:rsidRPr="00942C19">
        <w:rPr>
          <w:rFonts w:asciiTheme="minorHAnsi" w:hAnsiTheme="minorHAnsi" w:cstheme="minorHAnsi"/>
        </w:rPr>
        <w:t>, unless amended or extended by the Commission through an Order.</w:t>
      </w:r>
    </w:p>
    <w:p w:rsidR="00A72BF3" w:rsidRPr="00942C19" w:rsidRDefault="00A72BF3" w:rsidP="00A72BF3"/>
    <w:p w:rsidR="00E07785" w:rsidRPr="00942C19" w:rsidRDefault="00E07785" w:rsidP="00A72BF3"/>
    <w:p w:rsidR="00A72BF3" w:rsidRPr="00942C19" w:rsidRDefault="00A72BF3" w:rsidP="00A72BF3">
      <w:pPr>
        <w:rPr>
          <w:rFonts w:asciiTheme="minorHAnsi" w:hAnsiTheme="minorHAnsi" w:cstheme="minorHAnsi"/>
          <w:sz w:val="28"/>
          <w:szCs w:val="28"/>
        </w:rPr>
      </w:pPr>
    </w:p>
    <w:p w:rsidR="00A44CA7" w:rsidRPr="00942C19" w:rsidRDefault="00A72BF3">
      <w:pPr>
        <w:spacing w:before="0" w:line="360" w:lineRule="auto"/>
        <w:ind w:left="1440" w:hanging="1530"/>
        <w:jc w:val="center"/>
        <w:rPr>
          <w:rFonts w:asciiTheme="minorHAnsi" w:hAnsiTheme="minorHAnsi" w:cstheme="minorHAnsi"/>
          <w:b/>
          <w:sz w:val="28"/>
          <w:szCs w:val="28"/>
        </w:rPr>
      </w:pPr>
      <w:r w:rsidRPr="00942C19">
        <w:rPr>
          <w:rFonts w:asciiTheme="minorHAnsi" w:hAnsiTheme="minorHAnsi" w:cstheme="minorHAnsi"/>
          <w:b/>
          <w:sz w:val="28"/>
          <w:szCs w:val="28"/>
        </w:rPr>
        <w:t xml:space="preserve">               </w:t>
      </w:r>
      <w:r w:rsidR="00E07785" w:rsidRPr="00942C19">
        <w:rPr>
          <w:rFonts w:asciiTheme="minorHAnsi" w:hAnsiTheme="minorHAnsi" w:cstheme="minorHAnsi"/>
          <w:b/>
          <w:sz w:val="28"/>
          <w:szCs w:val="28"/>
        </w:rPr>
        <w:tab/>
      </w:r>
      <w:r w:rsidRPr="00942C19">
        <w:rPr>
          <w:rFonts w:asciiTheme="minorHAnsi" w:hAnsiTheme="minorHAnsi" w:cstheme="minorHAnsi"/>
          <w:b/>
          <w:sz w:val="28"/>
          <w:szCs w:val="28"/>
        </w:rPr>
        <w:t xml:space="preserve">(Meenakshi Singh) </w:t>
      </w:r>
      <w:r w:rsidRPr="00942C19">
        <w:rPr>
          <w:rFonts w:asciiTheme="minorHAnsi" w:hAnsiTheme="minorHAnsi" w:cstheme="minorHAnsi"/>
          <w:b/>
          <w:sz w:val="28"/>
          <w:szCs w:val="28"/>
        </w:rPr>
        <w:tab/>
        <w:t xml:space="preserve">                            (Shree Ram)</w:t>
      </w:r>
      <w:r w:rsidRPr="00942C19">
        <w:rPr>
          <w:rFonts w:asciiTheme="minorHAnsi" w:hAnsiTheme="minorHAnsi" w:cstheme="minorHAnsi"/>
          <w:b/>
          <w:sz w:val="28"/>
          <w:szCs w:val="28"/>
        </w:rPr>
        <w:tab/>
        <w:t xml:space="preserve">      </w:t>
      </w:r>
      <w:r w:rsidRPr="00942C19">
        <w:rPr>
          <w:rFonts w:asciiTheme="minorHAnsi" w:hAnsiTheme="minorHAnsi" w:cstheme="minorHAnsi"/>
          <w:b/>
          <w:sz w:val="28"/>
          <w:szCs w:val="28"/>
        </w:rPr>
        <w:tab/>
      </w:r>
    </w:p>
    <w:p w:rsidR="00A44CA7" w:rsidRPr="00942C19" w:rsidRDefault="00A72BF3">
      <w:pPr>
        <w:spacing w:before="0"/>
        <w:jc w:val="center"/>
        <w:rPr>
          <w:rFonts w:asciiTheme="minorHAnsi" w:hAnsiTheme="minorHAnsi" w:cstheme="minorHAnsi"/>
          <w:sz w:val="28"/>
          <w:szCs w:val="28"/>
        </w:rPr>
      </w:pPr>
      <w:r w:rsidRPr="00942C19">
        <w:rPr>
          <w:rFonts w:asciiTheme="minorHAnsi" w:hAnsiTheme="minorHAnsi" w:cstheme="minorHAnsi"/>
          <w:b/>
          <w:sz w:val="28"/>
          <w:szCs w:val="28"/>
        </w:rPr>
        <w:t xml:space="preserve">                      </w:t>
      </w:r>
      <w:r w:rsidR="00E07785" w:rsidRPr="00942C19">
        <w:rPr>
          <w:rFonts w:asciiTheme="minorHAnsi" w:hAnsiTheme="minorHAnsi" w:cstheme="minorHAnsi"/>
          <w:b/>
          <w:sz w:val="28"/>
          <w:szCs w:val="28"/>
        </w:rPr>
        <w:tab/>
        <w:t xml:space="preserve">      </w:t>
      </w:r>
      <w:r w:rsidRPr="00942C19">
        <w:rPr>
          <w:rFonts w:asciiTheme="minorHAnsi" w:hAnsiTheme="minorHAnsi" w:cstheme="minorHAnsi"/>
          <w:b/>
          <w:sz w:val="28"/>
          <w:szCs w:val="28"/>
        </w:rPr>
        <w:t>Member</w:t>
      </w:r>
      <w:r w:rsidRPr="00942C19">
        <w:rPr>
          <w:rFonts w:asciiTheme="minorHAnsi" w:hAnsiTheme="minorHAnsi" w:cstheme="minorHAnsi"/>
          <w:b/>
          <w:sz w:val="28"/>
          <w:szCs w:val="28"/>
        </w:rPr>
        <w:tab/>
      </w:r>
      <w:r w:rsidRPr="00942C19">
        <w:rPr>
          <w:rFonts w:asciiTheme="minorHAnsi" w:hAnsiTheme="minorHAnsi" w:cstheme="minorHAnsi"/>
          <w:b/>
          <w:sz w:val="28"/>
          <w:szCs w:val="28"/>
        </w:rPr>
        <w:tab/>
        <w:t xml:space="preserve">                     </w:t>
      </w:r>
      <w:r w:rsidRPr="00942C19">
        <w:rPr>
          <w:rFonts w:asciiTheme="minorHAnsi" w:hAnsiTheme="minorHAnsi" w:cstheme="minorHAnsi"/>
          <w:b/>
          <w:sz w:val="28"/>
          <w:szCs w:val="28"/>
        </w:rPr>
        <w:tab/>
        <w:t xml:space="preserve">                    Member</w:t>
      </w:r>
      <w:r w:rsidRPr="00942C19">
        <w:rPr>
          <w:rFonts w:asciiTheme="minorHAnsi" w:hAnsiTheme="minorHAnsi" w:cstheme="minorHAnsi"/>
          <w:b/>
          <w:sz w:val="28"/>
          <w:szCs w:val="28"/>
        </w:rPr>
        <w:tab/>
      </w:r>
      <w:r w:rsidRPr="00942C19">
        <w:rPr>
          <w:rFonts w:asciiTheme="minorHAnsi" w:hAnsiTheme="minorHAnsi" w:cstheme="minorHAnsi"/>
          <w:b/>
          <w:sz w:val="28"/>
          <w:szCs w:val="28"/>
        </w:rPr>
        <w:tab/>
      </w:r>
      <w:r w:rsidRPr="00942C19">
        <w:rPr>
          <w:rFonts w:asciiTheme="minorHAnsi" w:hAnsiTheme="minorHAnsi" w:cstheme="minorHAnsi"/>
          <w:b/>
          <w:sz w:val="28"/>
          <w:szCs w:val="28"/>
        </w:rPr>
        <w:tab/>
        <w:t xml:space="preserve">     </w:t>
      </w:r>
    </w:p>
    <w:p w:rsidR="00A72BF3" w:rsidRPr="00942C19" w:rsidRDefault="00A72BF3" w:rsidP="00A72BF3">
      <w:pPr>
        <w:rPr>
          <w:rFonts w:asciiTheme="minorHAnsi" w:hAnsiTheme="minorHAnsi" w:cstheme="minorHAnsi"/>
          <w:sz w:val="28"/>
          <w:szCs w:val="28"/>
        </w:rPr>
      </w:pPr>
    </w:p>
    <w:p w:rsidR="00A72BF3" w:rsidRPr="00942C19" w:rsidRDefault="00A72BF3" w:rsidP="00A72BF3">
      <w:r w:rsidRPr="00942C19">
        <w:t>Dated: 31</w:t>
      </w:r>
      <w:r w:rsidRPr="00942C19">
        <w:rPr>
          <w:vertAlign w:val="superscript"/>
        </w:rPr>
        <w:t>st</w:t>
      </w:r>
      <w:r w:rsidRPr="00942C19">
        <w:t xml:space="preserve"> May, 2013</w:t>
      </w:r>
    </w:p>
    <w:p w:rsidR="00A72BF3" w:rsidRPr="00942C19" w:rsidRDefault="00A72BF3" w:rsidP="00A72BF3">
      <w:pPr>
        <w:spacing w:before="0" w:line="240" w:lineRule="auto"/>
        <w:jc w:val="left"/>
        <w:rPr>
          <w:rFonts w:asciiTheme="minorHAnsi" w:hAnsiTheme="minorHAnsi" w:cs="Arial"/>
          <w:b/>
          <w:bCs/>
        </w:rPr>
      </w:pPr>
      <w:r w:rsidRPr="00942C19">
        <w:t>Lucknow</w:t>
      </w:r>
      <w:r w:rsidR="00443498" w:rsidRPr="00942C19">
        <w:t>.</w:t>
      </w:r>
    </w:p>
    <w:p w:rsidR="00A72BF3" w:rsidRPr="00942C19" w:rsidRDefault="00A72BF3">
      <w:pPr>
        <w:spacing w:before="0" w:line="240" w:lineRule="auto"/>
        <w:jc w:val="left"/>
        <w:rPr>
          <w:rFonts w:asciiTheme="minorHAnsi" w:hAnsiTheme="minorHAnsi" w:cs="Arial"/>
          <w:b/>
          <w:bCs/>
        </w:rPr>
      </w:pPr>
      <w:r w:rsidRPr="00942C19">
        <w:rPr>
          <w:rFonts w:asciiTheme="minorHAnsi" w:hAnsiTheme="minorHAnsi"/>
          <w:b/>
        </w:rPr>
        <w:br w:type="page"/>
      </w:r>
    </w:p>
    <w:p w:rsidR="000C1B5D" w:rsidRPr="00942C19" w:rsidRDefault="000C1B5D" w:rsidP="000C1B5D">
      <w:pPr>
        <w:pStyle w:val="Heading1"/>
        <w:numPr>
          <w:ilvl w:val="0"/>
          <w:numId w:val="1"/>
        </w:numPr>
        <w:spacing w:line="276" w:lineRule="auto"/>
      </w:pPr>
      <w:bookmarkStart w:id="873" w:name="_Toc357714432"/>
      <w:r w:rsidRPr="00942C19">
        <w:t>ANNEXURE</w:t>
      </w:r>
      <w:bookmarkEnd w:id="873"/>
    </w:p>
    <w:p w:rsidR="00F0647B" w:rsidRPr="00942C19" w:rsidRDefault="00F0647B" w:rsidP="00F0647B">
      <w:pPr>
        <w:pStyle w:val="Heading1"/>
        <w:numPr>
          <w:ilvl w:val="1"/>
          <w:numId w:val="1"/>
        </w:numPr>
        <w:spacing w:line="276" w:lineRule="auto"/>
        <w:rPr>
          <w:color w:val="auto"/>
        </w:rPr>
      </w:pPr>
      <w:bookmarkStart w:id="874" w:name="_Toc357714433"/>
      <w:r w:rsidRPr="00942C19">
        <w:rPr>
          <w:color w:val="auto"/>
        </w:rPr>
        <w:t>COMMISSION FORECAST OF CONSUMPTION PARAMETERS FOR FY 2013-14</w:t>
      </w:r>
      <w:bookmarkEnd w:id="874"/>
    </w:p>
    <w:p w:rsidR="000C1B5D" w:rsidRPr="00942C19" w:rsidRDefault="000C1B5D">
      <w:pPr>
        <w:spacing w:before="0" w:line="240" w:lineRule="auto"/>
        <w:jc w:val="left"/>
        <w:rPr>
          <w:rFonts w:asciiTheme="minorHAnsi" w:hAnsiTheme="minorHAnsi" w:cs="Arial"/>
          <w:b/>
          <w:bCs/>
        </w:rPr>
      </w:pPr>
    </w:p>
    <w:p w:rsidR="000C1B5D" w:rsidRPr="00942C19" w:rsidRDefault="000C1B5D">
      <w:pPr>
        <w:spacing w:before="0" w:line="240" w:lineRule="auto"/>
        <w:jc w:val="left"/>
        <w:rPr>
          <w:rFonts w:asciiTheme="minorHAnsi" w:hAnsiTheme="minorHAnsi" w:cs="Arial"/>
          <w:b/>
          <w:bCs/>
        </w:rPr>
      </w:pPr>
      <w:r w:rsidRPr="00942C19">
        <w:rPr>
          <w:rFonts w:asciiTheme="minorHAnsi" w:hAnsiTheme="minorHAnsi"/>
          <w:b/>
        </w:rPr>
        <w:br w:type="page"/>
      </w:r>
    </w:p>
    <w:p w:rsidR="00F0647B" w:rsidRPr="00942C19" w:rsidRDefault="00F0647B" w:rsidP="00F0647B">
      <w:pPr>
        <w:pStyle w:val="Caption"/>
        <w:jc w:val="center"/>
        <w:sectPr w:rsidR="00F0647B" w:rsidRPr="00942C19" w:rsidSect="00C652DB">
          <w:headerReference w:type="default" r:id="rId34"/>
          <w:footerReference w:type="even" r:id="rId35"/>
          <w:footerReference w:type="default" r:id="rId36"/>
          <w:pgSz w:w="11909" w:h="16834" w:code="9"/>
          <w:pgMar w:top="990" w:right="1440" w:bottom="1440" w:left="1728" w:header="1008" w:footer="1008" w:gutter="0"/>
          <w:cols w:space="720"/>
        </w:sectPr>
      </w:pPr>
    </w:p>
    <w:p w:rsidR="00F0647B" w:rsidRPr="00942C19" w:rsidRDefault="00785E17" w:rsidP="00F0647B">
      <w:pPr>
        <w:pStyle w:val="Caption"/>
        <w:jc w:val="center"/>
      </w:pPr>
      <w:bookmarkStart w:id="875" w:name="_Toc357719760"/>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10.1</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1</w:t>
      </w:r>
      <w:r w:rsidR="000C642E" w:rsidRPr="00942C19">
        <w:fldChar w:fldCharType="end"/>
      </w:r>
      <w:r w:rsidRPr="00942C19">
        <w:t>: COMMISSION’S APPROVAL OF NUMBER OF CONSUMERS FOR FY 2013-14</w:t>
      </w:r>
      <w:bookmarkEnd w:id="875"/>
    </w:p>
    <w:tbl>
      <w:tblPr>
        <w:tblW w:w="493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733"/>
        <w:gridCol w:w="1305"/>
        <w:gridCol w:w="1308"/>
        <w:gridCol w:w="1304"/>
        <w:gridCol w:w="1307"/>
        <w:gridCol w:w="1304"/>
        <w:gridCol w:w="1307"/>
        <w:gridCol w:w="1304"/>
        <w:gridCol w:w="1307"/>
      </w:tblGrid>
      <w:tr w:rsidR="001341A4" w:rsidRPr="00942C19" w:rsidTr="001341A4">
        <w:trPr>
          <w:trHeight w:val="596"/>
          <w:tblHeader/>
        </w:trPr>
        <w:tc>
          <w:tcPr>
            <w:tcW w:w="1316" w:type="pct"/>
            <w:shd w:val="clear" w:color="000000" w:fill="DCE6F1"/>
            <w:noWrap/>
            <w:vAlign w:val="center"/>
            <w:hideMark/>
          </w:tcPr>
          <w:p w:rsidR="00F0647B" w:rsidRPr="00942C19" w:rsidRDefault="00F0647B"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Consumer categories</w:t>
            </w:r>
          </w:p>
        </w:tc>
        <w:tc>
          <w:tcPr>
            <w:tcW w:w="460"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FY 08-09</w:t>
            </w:r>
          </w:p>
        </w:tc>
        <w:tc>
          <w:tcPr>
            <w:tcW w:w="461"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FY 09-10</w:t>
            </w:r>
          </w:p>
        </w:tc>
        <w:tc>
          <w:tcPr>
            <w:tcW w:w="460"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FY 10-11</w:t>
            </w:r>
          </w:p>
        </w:tc>
        <w:tc>
          <w:tcPr>
            <w:tcW w:w="461"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FY 11-12</w:t>
            </w:r>
          </w:p>
        </w:tc>
        <w:tc>
          <w:tcPr>
            <w:tcW w:w="460"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FY 12-13</w:t>
            </w:r>
          </w:p>
        </w:tc>
        <w:tc>
          <w:tcPr>
            <w:tcW w:w="461"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5-yr CAGR</w:t>
            </w:r>
          </w:p>
        </w:tc>
        <w:tc>
          <w:tcPr>
            <w:tcW w:w="460"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Adopted growth rate</w:t>
            </w:r>
          </w:p>
        </w:tc>
        <w:tc>
          <w:tcPr>
            <w:tcW w:w="461" w:type="pct"/>
            <w:shd w:val="clear" w:color="000000" w:fill="DCE6F1"/>
            <w:vAlign w:val="center"/>
            <w:hideMark/>
          </w:tcPr>
          <w:p w:rsidR="00F0647B" w:rsidRPr="00942C19" w:rsidRDefault="00F0647B" w:rsidP="00F0647B">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lang w:val="en-IN" w:eastAsia="en-IN"/>
              </w:rPr>
              <w:t>Approved for FY 13-14</w:t>
            </w:r>
          </w:p>
        </w:tc>
      </w:tr>
      <w:tr w:rsidR="001341A4" w:rsidRPr="00942C19" w:rsidTr="001341A4">
        <w:trPr>
          <w:trHeight w:val="300"/>
        </w:trPr>
        <w:tc>
          <w:tcPr>
            <w:tcW w:w="1316" w:type="pct"/>
            <w:shd w:val="clear" w:color="auto" w:fill="auto"/>
            <w:noWrap/>
            <w:hideMark/>
          </w:tcPr>
          <w:p w:rsidR="00F0647B" w:rsidRPr="00942C19" w:rsidRDefault="00F0647B"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LMV-1: Domestic</w:t>
            </w:r>
          </w:p>
        </w:tc>
        <w:tc>
          <w:tcPr>
            <w:tcW w:w="460"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1"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1"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1"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1" w:type="pct"/>
            <w:shd w:val="clear" w:color="auto" w:fill="auto"/>
            <w:noWrap/>
            <w:vAlign w:val="bottom"/>
            <w:hideMark/>
          </w:tcPr>
          <w:p w:rsidR="00F0647B" w:rsidRPr="00942C19" w:rsidRDefault="00F0647B"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771177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835212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835115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831834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848471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868975</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124384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161459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235539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309094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343094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377404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Bulk Load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31252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932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Other 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1115669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1118561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1185186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1211129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1308019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1386500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BPL</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22470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52836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138360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189960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208956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229852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2064952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2168999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2394226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2542039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2708563</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2862755</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LMV-2:Non-Domestic</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13074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15962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18751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21412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23981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27909</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5705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22579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12043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13215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14272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15537</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Advertising</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3867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6981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6981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7051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7192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Other 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214161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196971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213204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227180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243980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252062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232940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239380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250979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268788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289284</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302700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 xml:space="preserve">LMV-3: Public Lamps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Unmetered - Gram Panchayat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316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586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1525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1708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1879</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Unmetered - Nagar Palika &amp; Panchayat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4702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4336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4075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4287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4287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4287</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Unmetered - Nagar Nigam</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437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974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46</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Metered - Gram Panchayat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Metered - Nagar Palika &amp; Panchayat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Metered - Nagar Nigam</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5162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5234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5766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6002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6197</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6384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LMV-4: Institutions</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Public</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6348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6901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9198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12911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14460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15906</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Private</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1879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2860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3074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2946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3064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3462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8227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9761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12272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15857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17524</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19368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LMV-5: Private Tube Wells</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115607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120720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126178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126701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129802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133615</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2677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5892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7574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302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311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320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(metered)</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5517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6616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5324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6623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6822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7163</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123801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133228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139076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133626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136934</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141098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LMV 6: Small and Medium Power</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Power Loom: Rural</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8813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2950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3371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1574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1621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1670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Power Loom: Urban</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3931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5378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2822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9889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11076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12405</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Others: Rural</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7094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7148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8898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11212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12557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14485</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Others: Urban</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10037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11162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11244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11421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11992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12538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29875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26638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26335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34096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37246</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41098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 xml:space="preserve">LMV-7: Public Water Works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Jal Nigam</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298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307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339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355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382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406</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Jal Sansthan</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Other PWWs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174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Jal Nigam</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172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146</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Jal Sansthan</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491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573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563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599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613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647</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Other PWWs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379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301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437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404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452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507</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1401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1449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1578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1669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1784</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1928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LMV-8: State Tube Wells</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Metered STW</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387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509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1059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1186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1328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Unmetered STW</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9132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8497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8455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8128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8534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8961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Unmetered Laghu Dal Nahar</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9175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8943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9010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9197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9730</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10299</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 xml:space="preserve">LMV-9: Temporary Supply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Metered: Individual residential</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1128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2301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1687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1856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1841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Metered: Others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Unmetered: Ceremonies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1014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Unmetered: Temp shops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1249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1152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2360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1712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1883</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1971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LMV-10: Departmental Employees</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Class IV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4920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3319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3293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3446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3511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3578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Class III</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10036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6089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5770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3752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3827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3904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Junior Engineers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227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1410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616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2782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3116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3490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Assistant Engineers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759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106</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Executive Engineers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336</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472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591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589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658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735</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Deputy General Manager</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CGM/GM</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274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Pensioners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3689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7110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10861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10935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12247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13717</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(LMV-10)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19334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19457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21237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21609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23469</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25539</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HV-1: Non-Industrial Bulk Loads</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11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178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465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476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524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576</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Above 11 kV &amp; up to 66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Above 66 kV &amp; up to 132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Above 132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At 11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Above 11 kV &amp; up to 66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(HV-1)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217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485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482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530</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582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HV-2: Large and Heavy Power</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11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735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650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824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899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1007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1128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Above 11 kV &amp; up to 66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18%</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123</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Above 66 kV &amp; up to 132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Urban: Above 132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-60%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At 11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70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103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127</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Rural: Above 11 kV &amp; up to 66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(HV-2)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889</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817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935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1126</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1260</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1410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HV-3: Railway Traction</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At 132 kV and above</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19%</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Below 132 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Metro traction</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(HV-3)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HV-4: Lift Irrigation</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At 11kV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5%</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13</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Above 11kV &amp; up to 66kV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3</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22%</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4</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Above 66 kV &amp; up to 132kV</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(HV-4)</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15</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17</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17</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18</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18</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Bulk &amp; Extra State</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Extra state &amp; others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Bulk supply - NPCL</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Bulk supply - KESCO</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ind w:firstLineChars="100" w:firstLine="220"/>
              <w:contextualSpacing/>
              <w:jc w:val="left"/>
              <w:rPr>
                <w:rFonts w:cs="Calibri"/>
                <w:i/>
                <w:iCs/>
                <w:color w:val="000000"/>
                <w:sz w:val="22"/>
                <w:szCs w:val="22"/>
                <w:lang w:val="en-IN" w:eastAsia="en-IN"/>
              </w:rPr>
            </w:pPr>
            <w:r w:rsidRPr="00942C19">
              <w:rPr>
                <w:rFonts w:cs="Calibri"/>
                <w:i/>
                <w:iCs/>
                <w:color w:val="000000"/>
                <w:sz w:val="22"/>
                <w:szCs w:val="22"/>
                <w:lang w:val="en-IN" w:eastAsia="en-IN"/>
              </w:rPr>
              <w:t>Bulk supply - Others</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color w:val="000000"/>
                <w:sz w:val="22"/>
                <w:szCs w:val="22"/>
                <w:lang w:val="en-IN" w:eastAsia="en-IN"/>
              </w:rPr>
            </w:pPr>
            <w:r w:rsidRPr="00942C19">
              <w:rPr>
                <w:rFonts w:cs="Calibri"/>
                <w:color w:val="000000"/>
                <w:sz w:val="22"/>
                <w:szCs w:val="22"/>
              </w:rPr>
              <w:t>0</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SUBTOTAL (Bulk &amp; Extra State)</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1</w:t>
            </w: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color w:val="000000"/>
                <w:sz w:val="22"/>
                <w:szCs w:val="22"/>
                <w:lang w:val="en-IN" w:eastAsia="en-IN"/>
              </w:rPr>
            </w:pPr>
            <w:r w:rsidRPr="00942C19">
              <w:rPr>
                <w:rFonts w:cs="Calibri"/>
                <w:color w:val="000000"/>
                <w:sz w:val="22"/>
                <w:szCs w:val="22"/>
                <w:lang w:val="en-IN" w:eastAsia="en-IN"/>
              </w:rPr>
              <w:t> </w:t>
            </w: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0"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c>
          <w:tcPr>
            <w:tcW w:w="461" w:type="pct"/>
            <w:shd w:val="clear" w:color="auto" w:fill="auto"/>
            <w:noWrap/>
            <w:vAlign w:val="center"/>
            <w:hideMark/>
          </w:tcPr>
          <w:p w:rsidR="00155FB3" w:rsidRPr="00942C19" w:rsidRDefault="00155FB3" w:rsidP="00155FB3">
            <w:pPr>
              <w:spacing w:before="0" w:line="240" w:lineRule="auto"/>
              <w:contextualSpacing/>
              <w:jc w:val="center"/>
              <w:rPr>
                <w:rFonts w:cs="Calibri"/>
                <w:color w:val="000000"/>
                <w:sz w:val="22"/>
                <w:szCs w:val="22"/>
                <w:lang w:val="en-IN" w:eastAsia="en-IN"/>
              </w:rPr>
            </w:pPr>
          </w:p>
        </w:tc>
      </w:tr>
      <w:tr w:rsidR="001341A4" w:rsidRPr="00942C19" w:rsidTr="001341A4">
        <w:trPr>
          <w:trHeight w:val="300"/>
        </w:trPr>
        <w:tc>
          <w:tcPr>
            <w:tcW w:w="1316" w:type="pct"/>
            <w:shd w:val="clear" w:color="auto" w:fill="auto"/>
            <w:noWrap/>
            <w:hideMark/>
          </w:tcPr>
          <w:p w:rsidR="001341A4" w:rsidRPr="00942C19" w:rsidRDefault="001341A4" w:rsidP="00F0647B">
            <w:pPr>
              <w:spacing w:before="0" w:line="240" w:lineRule="auto"/>
              <w:contextualSpacing/>
              <w:jc w:val="left"/>
              <w:rPr>
                <w:rFonts w:cs="Calibri"/>
                <w:b/>
                <w:bCs/>
                <w:color w:val="000000"/>
                <w:sz w:val="22"/>
                <w:szCs w:val="22"/>
                <w:lang w:val="en-IN" w:eastAsia="en-IN"/>
              </w:rPr>
            </w:pPr>
            <w:r w:rsidRPr="00942C19">
              <w:rPr>
                <w:rFonts w:cs="Calibri"/>
                <w:b/>
                <w:bCs/>
                <w:color w:val="000000"/>
                <w:sz w:val="22"/>
                <w:szCs w:val="22"/>
                <w:lang w:val="en-IN" w:eastAsia="en-IN"/>
              </w:rPr>
              <w:t>GRAND TOTAL</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2497024</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2615291</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2864278</w:t>
            </w: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3036223</w:t>
            </w:r>
          </w:p>
        </w:tc>
        <w:tc>
          <w:tcPr>
            <w:tcW w:w="460"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3234427</w:t>
            </w:r>
          </w:p>
        </w:tc>
        <w:tc>
          <w:tcPr>
            <w:tcW w:w="461"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0" w:type="pct"/>
            <w:shd w:val="clear" w:color="auto" w:fill="auto"/>
            <w:noWrap/>
            <w:vAlign w:val="center"/>
            <w:hideMark/>
          </w:tcPr>
          <w:p w:rsidR="0084795B" w:rsidRPr="00942C19" w:rsidRDefault="0084795B">
            <w:pPr>
              <w:spacing w:before="0" w:line="240" w:lineRule="auto"/>
              <w:contextualSpacing/>
              <w:jc w:val="center"/>
              <w:rPr>
                <w:rFonts w:cs="Calibri"/>
                <w:b/>
                <w:bCs/>
                <w:color w:val="000000"/>
                <w:sz w:val="22"/>
                <w:szCs w:val="22"/>
                <w:lang w:val="en-IN" w:eastAsia="en-IN"/>
              </w:rPr>
            </w:pPr>
          </w:p>
        </w:tc>
        <w:tc>
          <w:tcPr>
            <w:tcW w:w="461" w:type="pct"/>
            <w:shd w:val="clear" w:color="auto" w:fill="auto"/>
            <w:noWrap/>
            <w:vAlign w:val="center"/>
            <w:hideMark/>
          </w:tcPr>
          <w:p w:rsidR="0084795B" w:rsidRPr="00942C19" w:rsidRDefault="001341A4">
            <w:pPr>
              <w:spacing w:before="0" w:line="240" w:lineRule="auto"/>
              <w:contextualSpacing/>
              <w:jc w:val="center"/>
              <w:rPr>
                <w:rFonts w:cs="Calibri"/>
                <w:b/>
                <w:bCs/>
                <w:color w:val="000000"/>
                <w:sz w:val="22"/>
                <w:szCs w:val="22"/>
                <w:lang w:val="en-IN" w:eastAsia="en-IN"/>
              </w:rPr>
            </w:pPr>
            <w:r w:rsidRPr="00942C19">
              <w:rPr>
                <w:rFonts w:cs="Calibri"/>
                <w:b/>
                <w:bCs/>
                <w:color w:val="000000"/>
                <w:sz w:val="22"/>
                <w:szCs w:val="22"/>
              </w:rPr>
              <w:t>3415153</w:t>
            </w:r>
          </w:p>
        </w:tc>
      </w:tr>
    </w:tbl>
    <w:p w:rsidR="00F0647B" w:rsidRPr="00942C19" w:rsidRDefault="00F0647B" w:rsidP="00965EE4">
      <w:pPr>
        <w:pStyle w:val="Caption"/>
        <w:spacing w:before="0"/>
        <w:jc w:val="center"/>
      </w:pPr>
      <w:r w:rsidRPr="00942C19">
        <w:rPr>
          <w:rFonts w:asciiTheme="minorHAnsi" w:hAnsiTheme="minorHAnsi"/>
          <w:b w:val="0"/>
          <w:szCs w:val="24"/>
        </w:rPr>
        <w:br w:type="page"/>
      </w:r>
      <w:bookmarkStart w:id="876" w:name="_Toc357719761"/>
      <w:r w:rsidR="00785E17" w:rsidRPr="00942C19">
        <w:t xml:space="preserve">TABLE </w:t>
      </w:r>
      <w:r w:rsidR="000C642E" w:rsidRPr="00942C19">
        <w:fldChar w:fldCharType="begin"/>
      </w:r>
      <w:r w:rsidR="00785E17" w:rsidRPr="00942C19">
        <w:instrText xml:space="preserve"> STYLEREF 1 \s </w:instrText>
      </w:r>
      <w:r w:rsidR="000C642E" w:rsidRPr="00942C19">
        <w:fldChar w:fldCharType="separate"/>
      </w:r>
      <w:r w:rsidR="00984AA4" w:rsidRPr="00942C19">
        <w:rPr>
          <w:noProof/>
        </w:rPr>
        <w:t>10.1</w:t>
      </w:r>
      <w:r w:rsidR="000C642E" w:rsidRPr="00942C19">
        <w:fldChar w:fldCharType="end"/>
      </w:r>
      <w:r w:rsidR="00785E17" w:rsidRPr="00942C19">
        <w:noBreakHyphen/>
      </w:r>
      <w:r w:rsidR="000C642E" w:rsidRPr="00942C19">
        <w:fldChar w:fldCharType="begin"/>
      </w:r>
      <w:r w:rsidR="00785E17" w:rsidRPr="00942C19">
        <w:instrText xml:space="preserve"> SEQ Table \* ARABIC \s 1 </w:instrText>
      </w:r>
      <w:r w:rsidR="000C642E" w:rsidRPr="00942C19">
        <w:fldChar w:fldCharType="separate"/>
      </w:r>
      <w:r w:rsidR="00984AA4" w:rsidRPr="00942C19">
        <w:rPr>
          <w:noProof/>
        </w:rPr>
        <w:t>2</w:t>
      </w:r>
      <w:r w:rsidR="000C642E" w:rsidRPr="00942C19">
        <w:fldChar w:fldCharType="end"/>
      </w:r>
      <w:r w:rsidR="00785E17" w:rsidRPr="00942C19">
        <w:t>: COMMISSION’S APPROVAL OF CONNECTED LOAD (KW) FOR FY 2013-14</w:t>
      </w:r>
      <w:bookmarkEnd w:id="876"/>
    </w:p>
    <w:tbl>
      <w:tblPr>
        <w:tblW w:w="509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148"/>
        <w:gridCol w:w="1312"/>
        <w:gridCol w:w="1313"/>
        <w:gridCol w:w="1313"/>
        <w:gridCol w:w="1313"/>
        <w:gridCol w:w="1313"/>
        <w:gridCol w:w="1313"/>
        <w:gridCol w:w="1313"/>
        <w:gridCol w:w="1313"/>
      </w:tblGrid>
      <w:tr w:rsidR="00D72448" w:rsidRPr="00942C19" w:rsidTr="00942C19">
        <w:trPr>
          <w:trHeight w:val="328"/>
          <w:tblHeader/>
        </w:trPr>
        <w:tc>
          <w:tcPr>
            <w:tcW w:w="1416" w:type="pct"/>
            <w:shd w:val="clear" w:color="000000" w:fill="DCE6F1"/>
            <w:noWrap/>
            <w:vAlign w:val="center"/>
            <w:hideMark/>
          </w:tcPr>
          <w:p w:rsidR="00F0647B" w:rsidRPr="00942C19" w:rsidRDefault="00F0647B"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Consumer categories</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08-09</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09-10</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10-11</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11-12</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12-13</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5-yr CAGR</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Adopted growth rate</w:t>
            </w:r>
          </w:p>
        </w:tc>
        <w:tc>
          <w:tcPr>
            <w:tcW w:w="448" w:type="pct"/>
            <w:shd w:val="clear" w:color="000000" w:fill="DCE6F1"/>
            <w:vAlign w:val="center"/>
            <w:hideMark/>
          </w:tcPr>
          <w:p w:rsidR="00F0647B" w:rsidRPr="00942C19" w:rsidRDefault="00F0647B" w:rsidP="00F0647B">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Approved for FY 13-14</w:t>
            </w:r>
          </w:p>
        </w:tc>
      </w:tr>
      <w:tr w:rsidR="009E7A0C" w:rsidRPr="00942C19" w:rsidTr="00942C19">
        <w:trPr>
          <w:trHeight w:val="300"/>
        </w:trPr>
        <w:tc>
          <w:tcPr>
            <w:tcW w:w="1416" w:type="pct"/>
            <w:shd w:val="clear" w:color="auto" w:fill="auto"/>
            <w:noWrap/>
            <w:hideMark/>
          </w:tcPr>
          <w:p w:rsidR="00F0647B" w:rsidRPr="00942C19" w:rsidRDefault="00F0647B"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LMV-1: Domestic</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bottom"/>
            <w:hideMark/>
          </w:tcPr>
          <w:p w:rsidR="00F0647B" w:rsidRPr="00942C19" w:rsidRDefault="00F0647B"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1181115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1171365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1166007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1177968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1201527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1225558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106562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156211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205881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266734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331943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365138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Load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56193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20100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23576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22234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22901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23588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 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1431594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1491701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1820355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1880740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2031199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2216847</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BPL</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13844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29329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102840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167065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183772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229852</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(LMV-1)</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2789308</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2868706</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3318659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3514741</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3771342</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4060982</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LMV-2:Non-Domestic</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20127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25778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31198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35570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39900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44758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11967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47139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32148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36342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39249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42389</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Advertising</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6180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11503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11503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11618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11618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 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468294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451604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534083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566132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611177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659807</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(LMV-2)</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500388</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530701</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608932</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649547</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701945</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758572</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 xml:space="preserve">LMV-3: Public Lamps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 Gram Panchayat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4187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5179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5469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9419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10549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11815</w:t>
            </w:r>
          </w:p>
        </w:tc>
      </w:tr>
      <w:tr w:rsidR="009E7A0C" w:rsidRPr="00942C19" w:rsidTr="00942C19">
        <w:trPr>
          <w:trHeight w:val="183"/>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 Nagar Palika &amp; Panchayat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16566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18135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17157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17824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18050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18278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 Nagar Nigam</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21334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14870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15259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3253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3481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3724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 Gram Panchayat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190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3024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3387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3793</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 Nagar Palika &amp; Panchayat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7433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5564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4356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7835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7913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8309</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 Nagar Nigam</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4322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19842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28000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44392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49719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55685</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54032</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63614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70265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85747</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93099</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101605</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LMV-4: Institutions</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Public</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106487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98203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87425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90593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137442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208519</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Private</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22448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28020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25171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23089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25088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27260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128935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126223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112596</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113682</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162530</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235779</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LMV-5: Private Tube Wells</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458815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473903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516468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525467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538326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560270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14771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22241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26579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945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1174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1233</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(metered)</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22683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26631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22558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31591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32539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35610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496269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522775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565605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558003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572039</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597114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 6: Small and Medium Power</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Power Loom: Rural</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45889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24680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28207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11258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13566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14244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Power Loom: Urban</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31308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44846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24897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44870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97715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105532</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Others: Rural</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54048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51283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68944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79754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97298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112703</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Others: Urban</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123261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133635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142838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156433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164255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176478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(LMV-6)</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254506</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254445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264886</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292315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372833</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408957</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 xml:space="preserve">LMV-7: Public Water Works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Jal Nigam</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6572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6671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7419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9717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10452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11242</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Jal Sansthan</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815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1422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553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1261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1388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Other PWWs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1182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2070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1872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5619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6293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7048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Jal Nigam</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6910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6312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6752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9338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11617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13228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Jal Sansthan</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19680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20991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29083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31622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32336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36610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Other PWWs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10840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9371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14385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20472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22929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25680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(LMV-7)</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45284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46229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60933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77321</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84888</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95197</w:t>
            </w:r>
          </w:p>
        </w:tc>
      </w:tr>
      <w:tr w:rsidR="009E7A0C" w:rsidRPr="00942C19" w:rsidTr="00965EE4">
        <w:trPr>
          <w:trHeight w:val="194"/>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LMV-8: State Tube Wells</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STW</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6587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8682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14376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20231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21242</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STW</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116358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126867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117983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122801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128941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132294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Laghu Dal Nahar</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1665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3408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4061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3458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3458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3458</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(LMV-8)</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118023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136863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130726</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140635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152630</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156994</w:t>
            </w:r>
          </w:p>
        </w:tc>
      </w:tr>
      <w:tr w:rsidR="009E7A0C" w:rsidRPr="00942C19" w:rsidTr="00965EE4">
        <w:trPr>
          <w:trHeight w:val="178"/>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 xml:space="preserve">LMV-9: Temporary Supply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Individual residential</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1644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4159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7137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4889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7594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7974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Others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Ceremonies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2933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1190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584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613</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Temp shops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4577</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4384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8327</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5399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8178</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8587</w:t>
            </w:r>
          </w:p>
        </w:tc>
      </w:tr>
      <w:tr w:rsidR="009E7A0C" w:rsidRPr="00942C19" w:rsidTr="00965EE4">
        <w:trPr>
          <w:trHeight w:val="124"/>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LMV-10: Departmental Employees</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Class IV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11690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23802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7831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8368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25181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25684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Class III</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28196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19861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20522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12811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13612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13884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Junior Engineers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623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5187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2779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12254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14057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15743</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Assistant Engineers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472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2627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377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471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495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519</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Executive Engineers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966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1228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1091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1122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1711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1916</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Deputy General Manager</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37</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CGM/GM</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908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Pensioners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7685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20002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34000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40147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44965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50360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(LMV-10)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49669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73683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66642</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75214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100062</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108152</w:t>
            </w:r>
          </w:p>
        </w:tc>
      </w:tr>
      <w:tr w:rsidR="009E7A0C" w:rsidRPr="00942C19" w:rsidTr="00965EE4">
        <w:trPr>
          <w:trHeight w:val="155"/>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HV-1: Non-Industrial Bulk Loads</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11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57539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165943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184764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203240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223564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11 kV &amp; up to 66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13763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6034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3230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3262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3295</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66 kV &amp; up to 132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8750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8750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463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486</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132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2040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2040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At 11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8165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317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Above 11 kV &amp; up to 66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308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(HV-1)</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90565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183084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188664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207179</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227559</w:t>
            </w:r>
          </w:p>
        </w:tc>
      </w:tr>
      <w:tr w:rsidR="009E7A0C" w:rsidRPr="00942C19" w:rsidTr="00965EE4">
        <w:trPr>
          <w:trHeight w:val="109"/>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HV-2: Large and Heavy Power</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11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264410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230426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262152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298340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334141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354277</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11 kV &amp; up to 66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36971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35339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35238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58478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65495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75561</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66 kV &amp; up to 132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26020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22907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27458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41861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46884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49229</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132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9974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6769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4545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4590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At 11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12044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16094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16162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21067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23384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24554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Above 11 kV &amp; up to 66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693</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(HV-2)</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349419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312228</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345510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424246</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474450</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508210</w:t>
            </w:r>
          </w:p>
        </w:tc>
      </w:tr>
      <w:tr w:rsidR="009E7A0C" w:rsidRPr="00942C19" w:rsidTr="00965EE4">
        <w:trPr>
          <w:trHeight w:val="148"/>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HV-3: Railway Traction</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At 132 kV and above</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12600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12681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325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12925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13049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13701</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Below 132 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Metro traction</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(HV-3)</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12600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12681</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325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12925</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13049</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13701</w:t>
            </w:r>
          </w:p>
        </w:tc>
      </w:tr>
      <w:tr w:rsidR="009E7A0C" w:rsidRPr="00942C19" w:rsidTr="00965EE4">
        <w:trPr>
          <w:trHeight w:val="132"/>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HV-4: Lift Irrigation</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At 11kV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16609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14042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21159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8559</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8987</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9436</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Above 11kV &amp; up to 66kV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8422</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9991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11991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13310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13976</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Above 66 kV &amp; up to 132kV</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188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2250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2250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2498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2772</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(HV-4)</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25609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22651</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33400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22800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24794</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26184</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Bulk &amp; Extra State</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Extra state &amp; others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500000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5000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-68%</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5000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supply - NPCL</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supply - KESCO</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supply - Others</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w:t>
            </w:r>
          </w:p>
        </w:tc>
        <w:tc>
          <w:tcPr>
            <w:tcW w:w="448" w:type="pct"/>
            <w:shd w:val="clear" w:color="auto" w:fill="auto"/>
            <w:noWrap/>
            <w:vAlign w:val="center"/>
            <w:hideMark/>
          </w:tcPr>
          <w:p w:rsidR="0084795B" w:rsidRPr="00942C19" w:rsidRDefault="009E7A0C">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(Bulk &amp; Extra State)</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500000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5000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5000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5000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5000</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5000</w:t>
            </w:r>
          </w:p>
        </w:tc>
      </w:tr>
      <w:tr w:rsidR="009E7A0C" w:rsidRPr="00942C19" w:rsidTr="00965EE4">
        <w:trPr>
          <w:trHeight w:val="218"/>
        </w:trPr>
        <w:tc>
          <w:tcPr>
            <w:tcW w:w="1416" w:type="pct"/>
            <w:shd w:val="clear" w:color="auto" w:fill="auto"/>
            <w:noWrap/>
            <w:hideMark/>
          </w:tcPr>
          <w:p w:rsidR="009E7A0C" w:rsidRPr="00942C19" w:rsidRDefault="009E7A0C" w:rsidP="00F0647B">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c>
          <w:tcPr>
            <w:tcW w:w="448" w:type="pct"/>
            <w:shd w:val="clear" w:color="auto" w:fill="auto"/>
            <w:noWrap/>
            <w:vAlign w:val="center"/>
            <w:hideMark/>
          </w:tcPr>
          <w:p w:rsidR="00155FB3" w:rsidRPr="00942C19" w:rsidRDefault="00155FB3" w:rsidP="00155FB3">
            <w:pPr>
              <w:spacing w:before="0" w:line="240" w:lineRule="auto"/>
              <w:jc w:val="center"/>
              <w:rPr>
                <w:rFonts w:cs="Calibri"/>
                <w:color w:val="000000"/>
                <w:sz w:val="22"/>
                <w:szCs w:val="22"/>
                <w:lang w:val="en-IN" w:eastAsia="en-IN"/>
              </w:rPr>
            </w:pPr>
          </w:p>
        </w:tc>
      </w:tr>
      <w:tr w:rsidR="009E7A0C" w:rsidRPr="00942C19" w:rsidTr="00942C19">
        <w:trPr>
          <w:trHeight w:val="300"/>
        </w:trPr>
        <w:tc>
          <w:tcPr>
            <w:tcW w:w="1416" w:type="pct"/>
            <w:shd w:val="clear" w:color="auto" w:fill="auto"/>
            <w:noWrap/>
            <w:hideMark/>
          </w:tcPr>
          <w:p w:rsidR="009E7A0C" w:rsidRPr="00942C19" w:rsidRDefault="009E7A0C" w:rsidP="00F0647B">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GRAND TOTAL</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5328619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5070748</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5774890</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6166239</w:t>
            </w: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6744020</w:t>
            </w: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84795B">
            <w:pPr>
              <w:spacing w:before="0" w:line="240" w:lineRule="auto"/>
              <w:jc w:val="center"/>
              <w:rPr>
                <w:rFonts w:cs="Calibri"/>
                <w:b/>
                <w:bCs/>
                <w:color w:val="000000"/>
                <w:sz w:val="22"/>
                <w:szCs w:val="22"/>
                <w:lang w:val="en-IN" w:eastAsia="en-IN"/>
              </w:rPr>
            </w:pPr>
          </w:p>
        </w:tc>
        <w:tc>
          <w:tcPr>
            <w:tcW w:w="448" w:type="pct"/>
            <w:shd w:val="clear" w:color="auto" w:fill="auto"/>
            <w:noWrap/>
            <w:vAlign w:val="center"/>
            <w:hideMark/>
          </w:tcPr>
          <w:p w:rsidR="0084795B" w:rsidRPr="00942C19" w:rsidRDefault="009E7A0C">
            <w:pPr>
              <w:spacing w:before="0" w:line="240" w:lineRule="auto"/>
              <w:jc w:val="center"/>
              <w:rPr>
                <w:rFonts w:cs="Calibri"/>
                <w:b/>
                <w:bCs/>
                <w:color w:val="000000"/>
                <w:sz w:val="22"/>
                <w:szCs w:val="22"/>
                <w:lang w:val="en-IN" w:eastAsia="en-IN"/>
              </w:rPr>
            </w:pPr>
            <w:r w:rsidRPr="00942C19">
              <w:rPr>
                <w:rFonts w:cs="Calibri"/>
                <w:b/>
                <w:bCs/>
                <w:color w:val="000000"/>
                <w:sz w:val="22"/>
                <w:szCs w:val="22"/>
              </w:rPr>
              <w:t>7312594</w:t>
            </w:r>
          </w:p>
        </w:tc>
      </w:tr>
    </w:tbl>
    <w:p w:rsidR="00F0647B" w:rsidRPr="00942C19" w:rsidRDefault="00F0647B">
      <w:pPr>
        <w:spacing w:before="0" w:line="240" w:lineRule="auto"/>
        <w:jc w:val="left"/>
        <w:rPr>
          <w:rFonts w:asciiTheme="minorHAnsi" w:hAnsiTheme="minorHAnsi" w:cs="Arial"/>
          <w:b/>
          <w:bCs/>
        </w:rPr>
      </w:pPr>
      <w:r w:rsidRPr="00942C19">
        <w:rPr>
          <w:rFonts w:asciiTheme="minorHAnsi" w:hAnsiTheme="minorHAnsi"/>
          <w:b/>
        </w:rPr>
        <w:br w:type="page"/>
      </w:r>
    </w:p>
    <w:p w:rsidR="00F0647B" w:rsidRPr="00942C19" w:rsidRDefault="00F0647B" w:rsidP="00F0647B">
      <w:pPr>
        <w:pStyle w:val="Caption"/>
        <w:jc w:val="center"/>
        <w:sectPr w:rsidR="00F0647B" w:rsidRPr="00942C19" w:rsidSect="00942C19">
          <w:headerReference w:type="default" r:id="rId37"/>
          <w:footerReference w:type="default" r:id="rId38"/>
          <w:pgSz w:w="16834" w:h="11909" w:orient="landscape" w:code="9"/>
          <w:pgMar w:top="1729" w:right="1241" w:bottom="1440" w:left="1440" w:header="1008" w:footer="1008" w:gutter="0"/>
          <w:cols w:space="720"/>
        </w:sectPr>
      </w:pPr>
    </w:p>
    <w:p w:rsidR="00F0647B" w:rsidRPr="00942C19" w:rsidRDefault="00785E17" w:rsidP="00F0647B">
      <w:pPr>
        <w:pStyle w:val="Caption"/>
        <w:jc w:val="center"/>
      </w:pPr>
      <w:bookmarkStart w:id="877" w:name="_Toc357719762"/>
      <w:r w:rsidRPr="00942C19">
        <w:t xml:space="preserve">TABLE </w:t>
      </w:r>
      <w:r w:rsidR="000C642E" w:rsidRPr="00942C19">
        <w:fldChar w:fldCharType="begin"/>
      </w:r>
      <w:r w:rsidRPr="00942C19">
        <w:instrText xml:space="preserve"> STYLEREF 1 \s </w:instrText>
      </w:r>
      <w:r w:rsidR="000C642E" w:rsidRPr="00942C19">
        <w:fldChar w:fldCharType="separate"/>
      </w:r>
      <w:r w:rsidR="00984AA4" w:rsidRPr="00942C19">
        <w:rPr>
          <w:noProof/>
        </w:rPr>
        <w:t>10.1</w:t>
      </w:r>
      <w:r w:rsidR="000C642E" w:rsidRPr="00942C19">
        <w:fldChar w:fldCharType="end"/>
      </w:r>
      <w:r w:rsidRPr="00942C19">
        <w:noBreakHyphen/>
      </w:r>
      <w:r w:rsidR="000C642E" w:rsidRPr="00942C19">
        <w:fldChar w:fldCharType="begin"/>
      </w:r>
      <w:r w:rsidRPr="00942C19">
        <w:instrText xml:space="preserve"> SEQ Table \* ARABIC \s 1 </w:instrText>
      </w:r>
      <w:r w:rsidR="000C642E" w:rsidRPr="00942C19">
        <w:fldChar w:fldCharType="separate"/>
      </w:r>
      <w:r w:rsidR="00984AA4" w:rsidRPr="00942C19">
        <w:rPr>
          <w:noProof/>
        </w:rPr>
        <w:t>3</w:t>
      </w:r>
      <w:r w:rsidR="000C642E" w:rsidRPr="00942C19">
        <w:fldChar w:fldCharType="end"/>
      </w:r>
      <w:r w:rsidRPr="00942C19">
        <w:t>: COMMISSION’S APPROVAL OF ENERGY SALES (MU) FOR FY 2013-14</w:t>
      </w:r>
      <w:bookmarkEnd w:id="877"/>
    </w:p>
    <w:tbl>
      <w:tblPr>
        <w:tblW w:w="536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731"/>
        <w:gridCol w:w="980"/>
        <w:gridCol w:w="982"/>
        <w:gridCol w:w="793"/>
        <w:gridCol w:w="853"/>
        <w:gridCol w:w="982"/>
        <w:gridCol w:w="1285"/>
      </w:tblGrid>
      <w:tr w:rsidR="00D72448" w:rsidRPr="00942C19" w:rsidTr="00942C19">
        <w:trPr>
          <w:trHeight w:val="417"/>
          <w:tblHeader/>
        </w:trPr>
        <w:tc>
          <w:tcPr>
            <w:tcW w:w="1942" w:type="pct"/>
            <w:shd w:val="clear" w:color="000000" w:fill="DCE6F1"/>
            <w:noWrap/>
            <w:vAlign w:val="center"/>
            <w:hideMark/>
          </w:tcPr>
          <w:p w:rsidR="00331B21" w:rsidRPr="00942C19" w:rsidRDefault="00331B21"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Consumer categories</w:t>
            </w:r>
          </w:p>
        </w:tc>
        <w:tc>
          <w:tcPr>
            <w:tcW w:w="510" w:type="pct"/>
            <w:shd w:val="clear" w:color="000000" w:fill="DCE6F1"/>
            <w:vAlign w:val="center"/>
            <w:hideMark/>
          </w:tcPr>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FY </w:t>
            </w:r>
          </w:p>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08-09</w:t>
            </w:r>
          </w:p>
        </w:tc>
        <w:tc>
          <w:tcPr>
            <w:tcW w:w="511" w:type="pct"/>
            <w:shd w:val="clear" w:color="000000" w:fill="DCE6F1"/>
            <w:vAlign w:val="center"/>
            <w:hideMark/>
          </w:tcPr>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FY </w:t>
            </w:r>
          </w:p>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09-10</w:t>
            </w:r>
          </w:p>
        </w:tc>
        <w:tc>
          <w:tcPr>
            <w:tcW w:w="413" w:type="pct"/>
            <w:shd w:val="clear" w:color="000000" w:fill="DCE6F1"/>
            <w:vAlign w:val="center"/>
            <w:hideMark/>
          </w:tcPr>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FY </w:t>
            </w:r>
          </w:p>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10-11</w:t>
            </w:r>
          </w:p>
        </w:tc>
        <w:tc>
          <w:tcPr>
            <w:tcW w:w="444" w:type="pct"/>
            <w:shd w:val="clear" w:color="000000" w:fill="DCE6F1"/>
            <w:vAlign w:val="center"/>
            <w:hideMark/>
          </w:tcPr>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FY </w:t>
            </w:r>
          </w:p>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11-12</w:t>
            </w:r>
          </w:p>
        </w:tc>
        <w:tc>
          <w:tcPr>
            <w:tcW w:w="511" w:type="pct"/>
            <w:shd w:val="clear" w:color="000000" w:fill="DCE6F1"/>
            <w:vAlign w:val="center"/>
            <w:hideMark/>
          </w:tcPr>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FY </w:t>
            </w:r>
          </w:p>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12-13</w:t>
            </w:r>
          </w:p>
        </w:tc>
        <w:tc>
          <w:tcPr>
            <w:tcW w:w="670" w:type="pct"/>
            <w:shd w:val="clear" w:color="000000" w:fill="DCE6F1"/>
            <w:vAlign w:val="center"/>
            <w:hideMark/>
          </w:tcPr>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 xml:space="preserve">Approved for </w:t>
            </w:r>
          </w:p>
          <w:p w:rsidR="00331B21" w:rsidRPr="00942C19" w:rsidRDefault="00331B21"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lang w:val="en-IN" w:eastAsia="en-IN"/>
              </w:rPr>
              <w:t>FY 13-14</w:t>
            </w:r>
          </w:p>
        </w:tc>
      </w:tr>
      <w:tr w:rsidR="009E7A0C" w:rsidRPr="00942C19" w:rsidTr="00942C19">
        <w:trPr>
          <w:trHeight w:val="188"/>
        </w:trPr>
        <w:tc>
          <w:tcPr>
            <w:tcW w:w="1942" w:type="pct"/>
            <w:shd w:val="clear" w:color="auto" w:fill="auto"/>
            <w:noWrap/>
            <w:hideMark/>
          </w:tcPr>
          <w:p w:rsidR="00331B21" w:rsidRPr="00942C19" w:rsidRDefault="00331B21"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LMV-1: Domestic</w:t>
            </w:r>
          </w:p>
        </w:tc>
        <w:tc>
          <w:tcPr>
            <w:tcW w:w="510" w:type="pct"/>
            <w:shd w:val="clear" w:color="auto" w:fill="auto"/>
            <w:noWrap/>
            <w:vAlign w:val="bottom"/>
            <w:hideMark/>
          </w:tcPr>
          <w:p w:rsidR="00331B21" w:rsidRPr="00942C19" w:rsidRDefault="00331B21"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1" w:type="pct"/>
            <w:shd w:val="clear" w:color="auto" w:fill="auto"/>
            <w:noWrap/>
            <w:vAlign w:val="bottom"/>
            <w:hideMark/>
          </w:tcPr>
          <w:p w:rsidR="00331B21" w:rsidRPr="00942C19" w:rsidRDefault="00331B21"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13" w:type="pct"/>
            <w:shd w:val="clear" w:color="auto" w:fill="auto"/>
            <w:noWrap/>
            <w:vAlign w:val="bottom"/>
            <w:hideMark/>
          </w:tcPr>
          <w:p w:rsidR="00331B21" w:rsidRPr="00942C19" w:rsidRDefault="00331B21"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444" w:type="pct"/>
            <w:shd w:val="clear" w:color="auto" w:fill="auto"/>
            <w:noWrap/>
            <w:vAlign w:val="bottom"/>
            <w:hideMark/>
          </w:tcPr>
          <w:p w:rsidR="00331B21" w:rsidRPr="00942C19" w:rsidRDefault="00331B21"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1" w:type="pct"/>
            <w:shd w:val="clear" w:color="auto" w:fill="auto"/>
            <w:noWrap/>
            <w:vAlign w:val="bottom"/>
            <w:hideMark/>
          </w:tcPr>
          <w:p w:rsidR="00331B21" w:rsidRPr="00942C19" w:rsidRDefault="00331B21"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670" w:type="pct"/>
            <w:shd w:val="clear" w:color="auto" w:fill="auto"/>
            <w:noWrap/>
            <w:vAlign w:val="bottom"/>
            <w:hideMark/>
          </w:tcPr>
          <w:p w:rsidR="00331B21" w:rsidRPr="00942C19" w:rsidRDefault="00331B21"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845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883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875</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935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1038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1059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193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127</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244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249</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288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Load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104</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114</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 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2009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2275</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2020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2384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2506</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2789</w:t>
            </w:r>
          </w:p>
        </w:tc>
      </w:tr>
      <w:tr w:rsidR="009E7A0C" w:rsidRPr="00942C19" w:rsidTr="00942C19">
        <w:trPr>
          <w:trHeight w:val="82"/>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BPL</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152</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(LMV-1)</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3169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3390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3209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3794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4023</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4402</w:t>
            </w:r>
          </w:p>
        </w:tc>
      </w:tr>
      <w:tr w:rsidR="009E7A0C" w:rsidRPr="00942C19" w:rsidTr="00942C19">
        <w:trPr>
          <w:trHeight w:val="77"/>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LMV-2:Non-Domestic</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24</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57</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Advertising</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 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541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638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654</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735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812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899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(LMV-2)</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605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702</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731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822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909</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1006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 xml:space="preserve">LMV-3: Public Lamps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 Gram Panchayat</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 Nagar Palika &amp; Panchayat</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62</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55</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 Nagar Nigam</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56</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 Gram Panchayat</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 Nagar Palika &amp; Panchayat</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35</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 Nagar Nigam</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177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229</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307</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(LMV-3)</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226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238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252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308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399</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478</w:t>
            </w:r>
          </w:p>
        </w:tc>
      </w:tr>
      <w:tr w:rsidR="009E7A0C" w:rsidRPr="00942C19" w:rsidTr="00942C19">
        <w:trPr>
          <w:trHeight w:val="122"/>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LMV-4: Institutions</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42C19">
        <w:trPr>
          <w:trHeight w:val="102"/>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Public</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292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231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257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357</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412</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Private</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64</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(LMV-4)</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375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332</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283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316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415</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482</w:t>
            </w:r>
          </w:p>
        </w:tc>
      </w:tr>
      <w:tr w:rsidR="009E7A0C" w:rsidRPr="00942C19" w:rsidTr="00942C19">
        <w:trPr>
          <w:trHeight w:val="2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LMV-5: Private Tube Wells</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42C19">
        <w:trPr>
          <w:trHeight w:val="179"/>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(unmetered)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422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452</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462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503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592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616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54</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(metered)</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86</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142</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(LMV-5)</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519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606</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619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604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720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761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 6: Small and Medium Power</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Power Loom: Rural</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Power Loom: Urban</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44</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57</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247</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286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Others: Rural</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112</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Others: Urban</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196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178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193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229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221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240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(LMV-6)</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371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296</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328</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457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578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656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 xml:space="preserve">LMV-7: Public Water Works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Jal Nigam</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Jal Sansthan</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Other PWWs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Jal Nigam</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25</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46</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Jal Sansthan</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107</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165</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200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Other PWWs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45</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57</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(LMV-7)</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194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222</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209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306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413</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508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LMV-8: State Tube Wells</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STW</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35</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97</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STW</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418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460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499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725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762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383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Laghu Dal Nahar</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(LMV-8)</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441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495</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552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784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861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480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 xml:space="preserve">LMV-9: Temporary Supply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Individual residential</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17</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Metered: Others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Ceremonies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Unmetered: Temp shops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(LMV-9)</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14</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19</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LMV-10: Departmental Employees</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Class IV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Class III</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Junior Engineers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25</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Assistant Engineers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Executive Engineers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Deputy General Manager</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CGM/GM</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Pensioners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55</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(LMV-10)</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109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103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117</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122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144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166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HV-1: Non-Industrial Bulk Loads</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11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348</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374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451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511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11 kV &amp; up to 66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47</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15</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66 kV &amp; up to 132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132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At 11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Above 11 kV &amp; up to 66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(HV-1)</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203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364</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395</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472</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533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HV-2: Large and Heavy Power</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11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646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608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783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818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998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1153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11 kV &amp; up to 66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131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113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164</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187</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304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368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66 kV &amp; up to 132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32</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103</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121</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Urban: Above 132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At 11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47</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52</w:t>
            </w:r>
          </w:p>
        </w:tc>
      </w:tr>
      <w:tr w:rsidR="009E7A0C" w:rsidRPr="00942C19" w:rsidTr="00942C19">
        <w:trPr>
          <w:trHeight w:val="168"/>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Rural: Above 11 kV &amp; up to 66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(HV-2)</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878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821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1020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1128</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1468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1713</w:t>
            </w:r>
          </w:p>
        </w:tc>
      </w:tr>
      <w:tr w:rsidR="009E7A0C" w:rsidRPr="00942C19" w:rsidTr="00942C19">
        <w:trPr>
          <w:trHeight w:val="106"/>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42C19">
        <w:trPr>
          <w:trHeight w:val="238"/>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HV-3: Railway Traction</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At 132 kV and above</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33</w:t>
            </w:r>
          </w:p>
        </w:tc>
      </w:tr>
      <w:tr w:rsidR="009E7A0C" w:rsidRPr="00942C19" w:rsidTr="00942C19">
        <w:trPr>
          <w:trHeight w:val="176"/>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Below 132 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152"/>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Metro traction</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42C19">
        <w:trPr>
          <w:trHeight w:val="128"/>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(HV-3)</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29</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33</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42C19">
        <w:trPr>
          <w:trHeight w:val="77"/>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HV-4: Lift Irrigation</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At 11kV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38</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43</w:t>
            </w:r>
          </w:p>
        </w:tc>
      </w:tr>
      <w:tr w:rsidR="009E7A0C" w:rsidRPr="00942C19" w:rsidTr="00942C19">
        <w:trPr>
          <w:trHeight w:val="146"/>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Above 11kV &amp; up to 66kV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36</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57</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60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76</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86</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Above 66 kV &amp; up to 132kV</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9</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14</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16</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18</w:t>
            </w:r>
          </w:p>
        </w:tc>
      </w:tr>
      <w:tr w:rsidR="009E7A0C" w:rsidRPr="00942C19" w:rsidTr="00942C19">
        <w:trPr>
          <w:trHeight w:val="98"/>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(HV-4)</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61</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68</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93</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110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130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147</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Bulk &amp; Extra State</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Extra state &amp; others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29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33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43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59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supply - NPCL</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supply - KESCO</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ind w:firstLineChars="100" w:firstLine="220"/>
              <w:jc w:val="left"/>
              <w:rPr>
                <w:rFonts w:cs="Calibri"/>
                <w:i/>
                <w:iCs/>
                <w:color w:val="000000"/>
                <w:sz w:val="22"/>
                <w:szCs w:val="22"/>
                <w:lang w:val="en-IN" w:eastAsia="en-IN"/>
              </w:rPr>
            </w:pPr>
            <w:r w:rsidRPr="00942C19">
              <w:rPr>
                <w:rFonts w:cs="Calibri"/>
                <w:i/>
                <w:iCs/>
                <w:color w:val="000000"/>
                <w:sz w:val="22"/>
                <w:szCs w:val="22"/>
                <w:lang w:val="en-IN" w:eastAsia="en-IN"/>
              </w:rPr>
              <w:t>Bulk supply - Others</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color w:val="000000"/>
                <w:sz w:val="22"/>
                <w:szCs w:val="22"/>
                <w:lang w:val="en-IN" w:eastAsia="en-IN"/>
              </w:rPr>
            </w:pPr>
            <w:r w:rsidRPr="00942C19">
              <w:rPr>
                <w:rFonts w:cs="Calibri"/>
                <w:color w:val="000000"/>
                <w:sz w:val="22"/>
                <w:szCs w:val="22"/>
              </w:rPr>
              <w:t>0</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SUBTOTAL (Bulk &amp; Extra State)</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29</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33</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43</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51</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59</w:t>
            </w:r>
          </w:p>
        </w:tc>
      </w:tr>
      <w:tr w:rsidR="009E7A0C" w:rsidRPr="00942C19" w:rsidTr="009E7A0C">
        <w:trPr>
          <w:trHeight w:val="300"/>
        </w:trPr>
        <w:tc>
          <w:tcPr>
            <w:tcW w:w="1942" w:type="pct"/>
            <w:shd w:val="clear" w:color="auto" w:fill="auto"/>
            <w:noWrap/>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lang w:val="en-IN" w:eastAsia="en-IN"/>
              </w:rPr>
              <w:t> </w:t>
            </w:r>
          </w:p>
        </w:tc>
        <w:tc>
          <w:tcPr>
            <w:tcW w:w="51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13"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444"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511"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c>
          <w:tcPr>
            <w:tcW w:w="670" w:type="pct"/>
            <w:shd w:val="clear" w:color="auto" w:fill="auto"/>
            <w:noWrap/>
            <w:vAlign w:val="bottom"/>
            <w:hideMark/>
          </w:tcPr>
          <w:p w:rsidR="009E7A0C" w:rsidRPr="00942C19" w:rsidRDefault="009E7A0C" w:rsidP="00331B21">
            <w:pPr>
              <w:spacing w:before="0" w:line="240" w:lineRule="auto"/>
              <w:jc w:val="left"/>
              <w:rPr>
                <w:rFonts w:cs="Calibri"/>
                <w:color w:val="000000"/>
                <w:sz w:val="22"/>
                <w:szCs w:val="22"/>
                <w:lang w:val="en-IN" w:eastAsia="en-IN"/>
              </w:rPr>
            </w:pPr>
            <w:r w:rsidRPr="00942C19">
              <w:rPr>
                <w:rFonts w:cs="Calibri"/>
                <w:color w:val="000000"/>
                <w:sz w:val="22"/>
                <w:szCs w:val="22"/>
              </w:rPr>
              <w:t> </w:t>
            </w:r>
          </w:p>
        </w:tc>
      </w:tr>
      <w:tr w:rsidR="009E7A0C" w:rsidRPr="00942C19" w:rsidTr="00942C19">
        <w:trPr>
          <w:trHeight w:val="154"/>
        </w:trPr>
        <w:tc>
          <w:tcPr>
            <w:tcW w:w="1942" w:type="pct"/>
            <w:shd w:val="clear" w:color="auto" w:fill="auto"/>
            <w:noWrap/>
            <w:hideMark/>
          </w:tcPr>
          <w:p w:rsidR="009E7A0C" w:rsidRPr="00942C19" w:rsidRDefault="009E7A0C" w:rsidP="00331B21">
            <w:pPr>
              <w:spacing w:before="0" w:line="240" w:lineRule="auto"/>
              <w:jc w:val="left"/>
              <w:rPr>
                <w:rFonts w:cs="Calibri"/>
                <w:b/>
                <w:bCs/>
                <w:color w:val="000000"/>
                <w:sz w:val="22"/>
                <w:szCs w:val="22"/>
                <w:lang w:val="en-IN" w:eastAsia="en-IN"/>
              </w:rPr>
            </w:pPr>
            <w:r w:rsidRPr="00942C19">
              <w:rPr>
                <w:rFonts w:cs="Calibri"/>
                <w:b/>
                <w:bCs/>
                <w:color w:val="000000"/>
                <w:sz w:val="22"/>
                <w:szCs w:val="22"/>
                <w:lang w:val="en-IN" w:eastAsia="en-IN"/>
              </w:rPr>
              <w:t>GRAND TOTAL</w:t>
            </w:r>
          </w:p>
        </w:tc>
        <w:tc>
          <w:tcPr>
            <w:tcW w:w="51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7016</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7546</w:t>
            </w:r>
          </w:p>
        </w:tc>
        <w:tc>
          <w:tcPr>
            <w:tcW w:w="413"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7871</w:t>
            </w:r>
          </w:p>
        </w:tc>
        <w:tc>
          <w:tcPr>
            <w:tcW w:w="444"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9232</w:t>
            </w:r>
          </w:p>
        </w:tc>
        <w:tc>
          <w:tcPr>
            <w:tcW w:w="511"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10634</w:t>
            </w:r>
          </w:p>
        </w:tc>
        <w:tc>
          <w:tcPr>
            <w:tcW w:w="670" w:type="pct"/>
            <w:shd w:val="clear" w:color="auto" w:fill="auto"/>
            <w:noWrap/>
            <w:vAlign w:val="bottom"/>
            <w:hideMark/>
          </w:tcPr>
          <w:p w:rsidR="009E7A0C" w:rsidRPr="00942C19" w:rsidRDefault="009E7A0C" w:rsidP="00331B21">
            <w:pPr>
              <w:spacing w:before="0" w:line="240" w:lineRule="auto"/>
              <w:jc w:val="center"/>
              <w:rPr>
                <w:rFonts w:cs="Calibri"/>
                <w:b/>
                <w:bCs/>
                <w:color w:val="000000"/>
                <w:sz w:val="22"/>
                <w:szCs w:val="22"/>
                <w:lang w:val="en-IN" w:eastAsia="en-IN"/>
              </w:rPr>
            </w:pPr>
            <w:r w:rsidRPr="00942C19">
              <w:rPr>
                <w:rFonts w:cs="Calibri"/>
                <w:b/>
                <w:bCs/>
                <w:color w:val="000000"/>
                <w:sz w:val="22"/>
                <w:szCs w:val="22"/>
              </w:rPr>
              <w:t>11444</w:t>
            </w:r>
          </w:p>
        </w:tc>
      </w:tr>
    </w:tbl>
    <w:p w:rsidR="00331B21" w:rsidRPr="00942C19" w:rsidRDefault="00331B21" w:rsidP="00331B21">
      <w:pPr>
        <w:pStyle w:val="Heading1"/>
        <w:numPr>
          <w:ilvl w:val="1"/>
          <w:numId w:val="1"/>
        </w:numPr>
        <w:spacing w:line="276" w:lineRule="auto"/>
        <w:rPr>
          <w:color w:val="auto"/>
        </w:rPr>
      </w:pPr>
      <w:bookmarkStart w:id="878" w:name="_Toc357714434"/>
      <w:bookmarkStart w:id="879" w:name="_Toc338336085"/>
      <w:bookmarkStart w:id="880" w:name="_Toc357345058"/>
      <w:bookmarkStart w:id="881" w:name="_Ref337200957"/>
      <w:bookmarkStart w:id="882" w:name="_Toc337201454"/>
      <w:r w:rsidRPr="00942C19">
        <w:rPr>
          <w:color w:val="auto"/>
        </w:rPr>
        <w:t>RATE SCHEDULE FOR FY 2013-14</w:t>
      </w:r>
      <w:bookmarkEnd w:id="878"/>
    </w:p>
    <w:bookmarkEnd w:id="879"/>
    <w:bookmarkEnd w:id="880"/>
    <w:p w:rsidR="00331B21" w:rsidRPr="00942C19" w:rsidRDefault="00331B21" w:rsidP="00C802EE">
      <w:pPr>
        <w:rPr>
          <w:b/>
        </w:rPr>
      </w:pPr>
    </w:p>
    <w:p w:rsidR="00C802EE" w:rsidRPr="00942C19" w:rsidRDefault="00C802EE" w:rsidP="00331B21">
      <w:pPr>
        <w:jc w:val="center"/>
        <w:rPr>
          <w:b/>
        </w:rPr>
      </w:pPr>
      <w:r w:rsidRPr="00942C19">
        <w:rPr>
          <w:b/>
        </w:rPr>
        <w:t>RETAIL TARIFFS FOR FINANCIAL YEAR 2013-14:</w:t>
      </w:r>
    </w:p>
    <w:p w:rsidR="00C802EE" w:rsidRPr="00942C19" w:rsidRDefault="00C802EE" w:rsidP="00C802EE">
      <w:pPr>
        <w:rPr>
          <w:b/>
        </w:rPr>
      </w:pPr>
    </w:p>
    <w:p w:rsidR="00C802EE" w:rsidRPr="00942C19" w:rsidRDefault="00C802EE" w:rsidP="00C802EE">
      <w:pPr>
        <w:spacing w:before="100" w:after="100"/>
        <w:rPr>
          <w:b/>
          <w:szCs w:val="22"/>
        </w:rPr>
      </w:pPr>
      <w:r w:rsidRPr="00942C19">
        <w:rPr>
          <w:b/>
          <w:szCs w:val="22"/>
        </w:rPr>
        <w:t>GENERAL PROVISIONS:</w:t>
      </w:r>
    </w:p>
    <w:p w:rsidR="00C802EE" w:rsidRPr="00942C19" w:rsidRDefault="00C802EE" w:rsidP="00C802EE">
      <w:pPr>
        <w:spacing w:before="100" w:after="100"/>
        <w:rPr>
          <w:szCs w:val="22"/>
        </w:rPr>
      </w:pPr>
      <w:r w:rsidRPr="00942C19">
        <w:rPr>
          <w:szCs w:val="22"/>
        </w:rPr>
        <w:t>These provisions shall apply to all categories unless specified otherwise and are integral part of the Rate Schedule.</w:t>
      </w:r>
    </w:p>
    <w:p w:rsidR="00443498" w:rsidRPr="00942C19" w:rsidRDefault="00443498" w:rsidP="00C802EE">
      <w:pPr>
        <w:spacing w:before="100" w:after="100"/>
        <w:rPr>
          <w:szCs w:val="22"/>
        </w:rPr>
      </w:pPr>
    </w:p>
    <w:p w:rsidR="00C802EE" w:rsidRPr="00942C19" w:rsidRDefault="00C802EE" w:rsidP="00C802EE">
      <w:pPr>
        <w:tabs>
          <w:tab w:val="left" w:pos="720"/>
        </w:tabs>
        <w:spacing w:before="100" w:after="100"/>
        <w:ind w:right="-61"/>
        <w:rPr>
          <w:b/>
          <w:szCs w:val="22"/>
        </w:rPr>
      </w:pPr>
      <w:r w:rsidRPr="00942C19">
        <w:rPr>
          <w:b/>
          <w:szCs w:val="22"/>
        </w:rPr>
        <w:t>1.</w:t>
      </w:r>
      <w:r w:rsidRPr="00942C19">
        <w:rPr>
          <w:b/>
          <w:szCs w:val="22"/>
        </w:rPr>
        <w:tab/>
        <w:t>NEW CONNECTIONS:</w:t>
      </w:r>
    </w:p>
    <w:p w:rsidR="00C802EE" w:rsidRPr="00942C19" w:rsidRDefault="00C802EE" w:rsidP="00A818DC">
      <w:pPr>
        <w:numPr>
          <w:ilvl w:val="0"/>
          <w:numId w:val="69"/>
        </w:numPr>
        <w:tabs>
          <w:tab w:val="clear" w:pos="1080"/>
        </w:tabs>
        <w:spacing w:before="100" w:after="100" w:line="288" w:lineRule="auto"/>
        <w:ind w:left="1440" w:right="29"/>
        <w:rPr>
          <w:szCs w:val="22"/>
        </w:rPr>
      </w:pPr>
      <w:r w:rsidRPr="00942C19">
        <w:rPr>
          <w:szCs w:val="22"/>
        </w:rPr>
        <w:t>All new connections shall be given as per the applicable provisions of Electricity Supply Code and shall be released in multiples of KW only, excluding consumers of Rate Schedule LMV-5 &amp; LMV-8.  Further, for tariff application purposes fractional kW loads (if any) of already existing consumers shall be treated as next higher kW load;</w:t>
      </w:r>
    </w:p>
    <w:p w:rsidR="00C802EE" w:rsidRPr="00942C19" w:rsidRDefault="00C802EE" w:rsidP="00A818DC">
      <w:pPr>
        <w:numPr>
          <w:ilvl w:val="0"/>
          <w:numId w:val="69"/>
        </w:numPr>
        <w:tabs>
          <w:tab w:val="clear" w:pos="1080"/>
        </w:tabs>
        <w:spacing w:before="100" w:after="100" w:line="288" w:lineRule="auto"/>
        <w:ind w:left="1440" w:right="29"/>
        <w:rPr>
          <w:szCs w:val="22"/>
        </w:rPr>
      </w:pPr>
      <w:r w:rsidRPr="00942C19">
        <w:rPr>
          <w:szCs w:val="22"/>
        </w:rPr>
        <w:t xml:space="preserve">New connection of 10 kW &amp; above and 13.4 BHP &amp; above loads shall be given with installation of demand recording Static Tri-vector Meter (TVM) or TOD meters as may be appropriate. </w:t>
      </w:r>
      <w:r w:rsidR="009A3804" w:rsidRPr="00942C19">
        <w:rPr>
          <w:szCs w:val="22"/>
        </w:rPr>
        <w:t>Licensee</w:t>
      </w:r>
      <w:r w:rsidRPr="00942C19">
        <w:rPr>
          <w:szCs w:val="22"/>
        </w:rPr>
        <w:t xml:space="preserve"> shall ensure installation of Tri-vector Meter (TVM) or TOD meters (Demand Recording Meters), (as may be appropriate) on all existing consumers with load of 10 kW / 13.4 BHP and above as the case may be and for all consumers of Rate Schedule where TOD rates have been specified. </w:t>
      </w:r>
    </w:p>
    <w:p w:rsidR="00C802EE" w:rsidRPr="00942C19" w:rsidRDefault="00C802EE" w:rsidP="00C802EE">
      <w:pPr>
        <w:spacing w:before="100" w:after="100"/>
        <w:ind w:right="29"/>
        <w:rPr>
          <w:szCs w:val="22"/>
        </w:rPr>
      </w:pPr>
    </w:p>
    <w:p w:rsidR="00C802EE" w:rsidRPr="00942C19" w:rsidRDefault="00C802EE" w:rsidP="00C802EE">
      <w:pPr>
        <w:tabs>
          <w:tab w:val="left" w:pos="720"/>
        </w:tabs>
        <w:spacing w:before="100" w:after="100"/>
        <w:ind w:right="-61"/>
        <w:rPr>
          <w:b/>
          <w:szCs w:val="22"/>
        </w:rPr>
      </w:pPr>
      <w:r w:rsidRPr="00942C19">
        <w:rPr>
          <w:b/>
          <w:szCs w:val="22"/>
        </w:rPr>
        <w:t>2.</w:t>
      </w:r>
      <w:r w:rsidRPr="00942C19">
        <w:rPr>
          <w:b/>
          <w:szCs w:val="22"/>
        </w:rPr>
        <w:tab/>
        <w:t>READING OF METERS:</w:t>
      </w:r>
    </w:p>
    <w:p w:rsidR="00C802EE" w:rsidRPr="00942C19" w:rsidRDefault="00C802EE" w:rsidP="00C802EE">
      <w:pPr>
        <w:spacing w:before="100" w:after="100"/>
        <w:ind w:left="360" w:right="-58" w:firstLine="360"/>
        <w:rPr>
          <w:szCs w:val="22"/>
        </w:rPr>
      </w:pPr>
      <w:r w:rsidRPr="00942C19">
        <w:rPr>
          <w:szCs w:val="22"/>
        </w:rPr>
        <w:t>As per applicable provisions of Electricity Supply Code.</w:t>
      </w:r>
    </w:p>
    <w:p w:rsidR="00C802EE" w:rsidRPr="00942C19" w:rsidRDefault="00C802EE" w:rsidP="00C802EE">
      <w:pPr>
        <w:ind w:left="720" w:hanging="720"/>
        <w:rPr>
          <w:b/>
          <w:szCs w:val="22"/>
        </w:rPr>
      </w:pPr>
    </w:p>
    <w:p w:rsidR="00C802EE" w:rsidRPr="00942C19" w:rsidRDefault="00C802EE" w:rsidP="00C802EE">
      <w:pPr>
        <w:ind w:left="720" w:hanging="720"/>
        <w:rPr>
          <w:b/>
          <w:szCs w:val="22"/>
        </w:rPr>
      </w:pPr>
      <w:r w:rsidRPr="00942C19">
        <w:rPr>
          <w:b/>
          <w:szCs w:val="22"/>
        </w:rPr>
        <w:t>3.</w:t>
      </w:r>
      <w:r w:rsidRPr="00942C19">
        <w:rPr>
          <w:b/>
          <w:szCs w:val="22"/>
        </w:rPr>
        <w:tab/>
        <w:t>BILLING WHEN METER IS NOT ACCESSIBLE OR NOT READ (NA / NR BILLS - PROVISIONAL PAYMENT):</w:t>
      </w:r>
    </w:p>
    <w:p w:rsidR="00C802EE" w:rsidRPr="00942C19" w:rsidRDefault="00C802EE" w:rsidP="00C802EE">
      <w:pPr>
        <w:spacing w:before="100" w:after="100"/>
        <w:ind w:left="720" w:right="-58"/>
        <w:rPr>
          <w:szCs w:val="22"/>
        </w:rPr>
      </w:pPr>
      <w:r w:rsidRPr="00942C19">
        <w:rPr>
          <w:szCs w:val="22"/>
        </w:rPr>
        <w:t xml:space="preserve">As per the provisions of applicable Electricity Supply Code with a provision of penalty of Rs. 50 / kW / month for the purposes of Clause 6.2 (c) of applicable Electricity Supply Code.  </w:t>
      </w:r>
    </w:p>
    <w:p w:rsidR="00C802EE" w:rsidRPr="00942C19" w:rsidRDefault="00C802EE" w:rsidP="00C802EE">
      <w:pPr>
        <w:spacing w:before="100" w:after="100"/>
        <w:ind w:left="720" w:right="-58"/>
        <w:rPr>
          <w:szCs w:val="22"/>
        </w:rPr>
      </w:pPr>
    </w:p>
    <w:p w:rsidR="00C802EE" w:rsidRPr="00942C19" w:rsidRDefault="00C802EE" w:rsidP="00C802EE">
      <w:pPr>
        <w:tabs>
          <w:tab w:val="left" w:pos="720"/>
        </w:tabs>
        <w:spacing w:before="100" w:after="100"/>
        <w:ind w:right="-61"/>
        <w:rPr>
          <w:b/>
          <w:szCs w:val="22"/>
        </w:rPr>
      </w:pPr>
      <w:r w:rsidRPr="00942C19">
        <w:rPr>
          <w:b/>
          <w:szCs w:val="22"/>
        </w:rPr>
        <w:t>4.</w:t>
      </w:r>
      <w:r w:rsidRPr="00942C19">
        <w:rPr>
          <w:b/>
          <w:szCs w:val="22"/>
        </w:rPr>
        <w:tab/>
        <w:t>BILLING IN CASE OF DEFECTIVE METERS:</w:t>
      </w:r>
    </w:p>
    <w:p w:rsidR="00C802EE" w:rsidRPr="00942C19" w:rsidRDefault="00C802EE" w:rsidP="00C802EE">
      <w:pPr>
        <w:spacing w:before="100" w:after="100"/>
        <w:ind w:right="-58" w:firstLine="720"/>
        <w:rPr>
          <w:szCs w:val="22"/>
        </w:rPr>
      </w:pPr>
      <w:r w:rsidRPr="00942C19">
        <w:rPr>
          <w:szCs w:val="22"/>
        </w:rPr>
        <w:t>As per the applicable provisions of Electricity Supply Code.</w:t>
      </w:r>
    </w:p>
    <w:p w:rsidR="00C802EE" w:rsidRPr="00942C19" w:rsidRDefault="00C802EE" w:rsidP="00C802EE">
      <w:pPr>
        <w:spacing w:before="100" w:after="100"/>
        <w:ind w:right="-58" w:firstLine="720"/>
        <w:rPr>
          <w:szCs w:val="22"/>
        </w:rPr>
      </w:pPr>
    </w:p>
    <w:p w:rsidR="00C802EE" w:rsidRPr="00942C19" w:rsidRDefault="00C802EE" w:rsidP="00C802EE">
      <w:pPr>
        <w:spacing w:before="100" w:after="100"/>
        <w:ind w:right="-58"/>
        <w:rPr>
          <w:b/>
          <w:szCs w:val="22"/>
        </w:rPr>
      </w:pPr>
      <w:r w:rsidRPr="00942C19">
        <w:rPr>
          <w:b/>
          <w:szCs w:val="22"/>
        </w:rPr>
        <w:t>5.</w:t>
      </w:r>
      <w:r w:rsidRPr="00942C19">
        <w:rPr>
          <w:b/>
          <w:szCs w:val="22"/>
        </w:rPr>
        <w:tab/>
        <w:t>KVAH TARIFF:</w:t>
      </w:r>
    </w:p>
    <w:p w:rsidR="00C802EE" w:rsidRPr="00942C19" w:rsidRDefault="00C802EE" w:rsidP="00C802EE">
      <w:pPr>
        <w:spacing w:before="100" w:after="100"/>
        <w:ind w:left="720" w:right="-58"/>
        <w:rPr>
          <w:szCs w:val="22"/>
        </w:rPr>
      </w:pPr>
      <w:r w:rsidRPr="00942C19">
        <w:rPr>
          <w:szCs w:val="22"/>
        </w:rPr>
        <w:t xml:space="preserve">‘kVAh based tariffs’ shall be applicable on all consumers having contracted load of 10 kW &amp; above for Light, Fan &amp; Power and 13.4 BHP &amp; above for Motive Power Loads, under different categories with static TVM / TOD meters installed (as appropriate).  </w:t>
      </w:r>
    </w:p>
    <w:p w:rsidR="00C802EE" w:rsidRPr="00942C19" w:rsidRDefault="00C802EE" w:rsidP="00C802EE">
      <w:pPr>
        <w:spacing w:before="100" w:after="100"/>
        <w:ind w:left="720" w:right="-58"/>
        <w:rPr>
          <w:szCs w:val="22"/>
        </w:rPr>
      </w:pPr>
      <w:r w:rsidRPr="00942C19">
        <w:rPr>
          <w:szCs w:val="22"/>
        </w:rPr>
        <w:t>The rates prescribed in different categories in terms of kW and kWh will be converted into appropriate kVA and kVAh by multiplying Fixed / Demand Charges and Energy Charges by an average power factor of 0.90.  Similarly, the Fixed / Demand Charges expressed in BHP can be converted into respective kVA rates in accordance with formula given below:</w:t>
      </w:r>
    </w:p>
    <w:p w:rsidR="00C802EE" w:rsidRPr="00942C19" w:rsidRDefault="00C802EE" w:rsidP="00C802EE">
      <w:pPr>
        <w:ind w:left="720"/>
        <w:rPr>
          <w:b/>
          <w:szCs w:val="22"/>
        </w:rPr>
      </w:pPr>
      <w:r w:rsidRPr="00942C19">
        <w:rPr>
          <w:b/>
          <w:szCs w:val="22"/>
        </w:rPr>
        <w:t xml:space="preserve">Demand Charges in kVA = (Demand Charges in BHP * 0.90) / 0 .746 </w:t>
      </w:r>
    </w:p>
    <w:p w:rsidR="00C802EE" w:rsidRPr="00942C19" w:rsidRDefault="00C802EE" w:rsidP="00C802EE">
      <w:pPr>
        <w:ind w:left="720"/>
        <w:rPr>
          <w:szCs w:val="22"/>
        </w:rPr>
      </w:pPr>
    </w:p>
    <w:p w:rsidR="00C802EE" w:rsidRPr="00942C19" w:rsidRDefault="00C802EE" w:rsidP="00C802EE">
      <w:pPr>
        <w:ind w:left="720"/>
        <w:rPr>
          <w:szCs w:val="22"/>
        </w:rPr>
      </w:pPr>
      <w:r w:rsidRPr="00942C19">
        <w:rPr>
          <w:szCs w:val="22"/>
        </w:rPr>
        <w:t>By applying the same formula Fixed Charges can also be calculated.</w:t>
      </w:r>
    </w:p>
    <w:p w:rsidR="00C802EE" w:rsidRPr="00942C19" w:rsidRDefault="00C802EE" w:rsidP="00C802EE">
      <w:pPr>
        <w:ind w:left="720"/>
        <w:rPr>
          <w:szCs w:val="22"/>
        </w:rPr>
      </w:pPr>
    </w:p>
    <w:p w:rsidR="00C802EE" w:rsidRPr="00942C19" w:rsidRDefault="00C802EE" w:rsidP="00C802EE">
      <w:pPr>
        <w:ind w:left="1440" w:hanging="720"/>
      </w:pPr>
      <w:r w:rsidRPr="00942C19">
        <w:rPr>
          <w:b/>
        </w:rPr>
        <w:t>Note:</w:t>
      </w:r>
      <w:r w:rsidRPr="00942C19">
        <w:t xml:space="preserve">  </w:t>
      </w:r>
      <w:r w:rsidRPr="00942C19">
        <w:tab/>
        <w:t>If the power factor of a consumer is leading and is within the range of 0.95 -1.00, then for tariff application purposes such leading power factor shall be treated as unity. The bills of such consumers shall be prepared accordingly. However, if the leading power factor is below 0.95 (lead) then the consumer shall be billed as per the kVAh reading indicated by the meter. However, the aforesaid provision of treating power factor below 0.95 (lead) as the commensurate lagging power factor for the purposes of billing shall not be applicable on HV-3 category and shall be treated as unity. Hence, for HV-3, lag + lead logic of the meter should not be used and “lag only” logic of the meter should be provided which blocks leading kVARh thereby treating leading power factor as unity and registering instantaneous kWh as instantaneous kVAh in case of leading power factor.</w:t>
      </w:r>
    </w:p>
    <w:p w:rsidR="00C802EE" w:rsidRPr="00942C19" w:rsidRDefault="00C802EE" w:rsidP="00C802EE">
      <w:pPr>
        <w:ind w:left="1440" w:hanging="720"/>
        <w:rPr>
          <w:u w:val="single"/>
        </w:rPr>
      </w:pPr>
    </w:p>
    <w:p w:rsidR="00C802EE" w:rsidRPr="00942C19" w:rsidRDefault="00C802EE" w:rsidP="00C802EE">
      <w:pPr>
        <w:tabs>
          <w:tab w:val="left" w:pos="720"/>
        </w:tabs>
        <w:spacing w:before="100" w:after="100"/>
        <w:rPr>
          <w:b/>
          <w:szCs w:val="22"/>
        </w:rPr>
      </w:pPr>
      <w:r w:rsidRPr="00942C19">
        <w:rPr>
          <w:b/>
          <w:szCs w:val="22"/>
        </w:rPr>
        <w:t>6.</w:t>
      </w:r>
      <w:r w:rsidRPr="00942C19">
        <w:rPr>
          <w:szCs w:val="22"/>
        </w:rPr>
        <w:tab/>
      </w:r>
      <w:r w:rsidRPr="00942C19">
        <w:rPr>
          <w:b/>
          <w:szCs w:val="22"/>
        </w:rPr>
        <w:t>BILLABLE DEMAND:</w:t>
      </w:r>
    </w:p>
    <w:p w:rsidR="00C802EE" w:rsidRPr="00942C19" w:rsidRDefault="00C802EE" w:rsidP="00C802EE">
      <w:pPr>
        <w:spacing w:before="100" w:after="100"/>
        <w:ind w:left="720" w:right="-58"/>
        <w:rPr>
          <w:szCs w:val="22"/>
        </w:rPr>
      </w:pPr>
      <w:r w:rsidRPr="00942C19">
        <w:rPr>
          <w:szCs w:val="22"/>
        </w:rPr>
        <w:t>For all consumers having static Tri-vector Meter / TOD Meters (Demand Recording Meters) installed, the billed demand during a month shall be the actual maximum demand as indicated by TVM / TOD meter (can be in parts of kVA) or 75% of the contracted load, whichever is higher. The contracted load in kW shall be divided by a power factor of 0.90 to work out the equivalent contracted load in kVA and rounded off to nearest integer.</w:t>
      </w:r>
    </w:p>
    <w:p w:rsidR="00C802EE" w:rsidRPr="00942C19" w:rsidRDefault="00C802EE" w:rsidP="00C802EE">
      <w:pPr>
        <w:spacing w:before="100" w:after="100"/>
        <w:ind w:left="720" w:right="-58"/>
        <w:rPr>
          <w:szCs w:val="22"/>
        </w:rPr>
      </w:pPr>
    </w:p>
    <w:p w:rsidR="00C802EE" w:rsidRPr="00942C19" w:rsidRDefault="00C802EE" w:rsidP="00C802EE">
      <w:pPr>
        <w:tabs>
          <w:tab w:val="left" w:pos="720"/>
        </w:tabs>
        <w:spacing w:before="100" w:after="100"/>
        <w:rPr>
          <w:b/>
          <w:szCs w:val="22"/>
        </w:rPr>
      </w:pPr>
      <w:r w:rsidRPr="00942C19">
        <w:rPr>
          <w:szCs w:val="22"/>
        </w:rPr>
        <w:t xml:space="preserve"> </w:t>
      </w:r>
      <w:r w:rsidRPr="00942C19">
        <w:rPr>
          <w:b/>
          <w:szCs w:val="22"/>
        </w:rPr>
        <w:t>7.</w:t>
      </w:r>
      <w:r w:rsidRPr="00942C19">
        <w:rPr>
          <w:b/>
          <w:szCs w:val="22"/>
        </w:rPr>
        <w:tab/>
        <w:t>SURCHARGE / PENALTY:</w:t>
      </w:r>
    </w:p>
    <w:p w:rsidR="00C802EE" w:rsidRPr="00942C19" w:rsidRDefault="00C802EE" w:rsidP="00A818DC">
      <w:pPr>
        <w:numPr>
          <w:ilvl w:val="0"/>
          <w:numId w:val="70"/>
        </w:numPr>
        <w:spacing w:before="100" w:line="288" w:lineRule="auto"/>
        <w:ind w:right="11"/>
        <w:rPr>
          <w:b/>
          <w:szCs w:val="22"/>
        </w:rPr>
      </w:pPr>
      <w:r w:rsidRPr="00942C19">
        <w:rPr>
          <w:b/>
          <w:szCs w:val="22"/>
        </w:rPr>
        <w:t>DELAYED PAYMENT:</w:t>
      </w:r>
    </w:p>
    <w:p w:rsidR="00C802EE" w:rsidRPr="00942C19" w:rsidRDefault="00C802EE" w:rsidP="00C802EE">
      <w:pPr>
        <w:ind w:left="720"/>
        <w:rPr>
          <w:szCs w:val="22"/>
        </w:rPr>
      </w:pPr>
      <w:r w:rsidRPr="00942C19">
        <w:rPr>
          <w:szCs w:val="22"/>
        </w:rPr>
        <w:t xml:space="preserve">If a consumer fails to pay his electricity bill by the due date specified therein, a late payment surcharge shall be levied at 1.25 % per month; up-to first three months and subsequently @ 1.5% per month. Late payment surcharge shall be calculated proportionately for the number of days for which the payment is delayed beyond the due date specified in the bill and levied on the unpaid amount of the bill excluding surcharge. Imposition of this surcharge is without prejudice to the right of the </w:t>
      </w:r>
      <w:r w:rsidR="009A3804" w:rsidRPr="00942C19">
        <w:rPr>
          <w:szCs w:val="22"/>
        </w:rPr>
        <w:t>Licensee</w:t>
      </w:r>
      <w:r w:rsidRPr="00942C19">
        <w:rPr>
          <w:szCs w:val="22"/>
        </w:rPr>
        <w:t xml:space="preserve"> to disconnect the supply or take any other measure permissible under the law.</w:t>
      </w:r>
    </w:p>
    <w:p w:rsidR="00C802EE" w:rsidRPr="00942C19" w:rsidRDefault="00C802EE" w:rsidP="00C802EE">
      <w:pPr>
        <w:ind w:left="720"/>
        <w:rPr>
          <w:szCs w:val="22"/>
        </w:rPr>
      </w:pPr>
    </w:p>
    <w:p w:rsidR="00C802EE" w:rsidRPr="00942C19" w:rsidRDefault="00C802EE" w:rsidP="00A818DC">
      <w:pPr>
        <w:numPr>
          <w:ilvl w:val="0"/>
          <w:numId w:val="70"/>
        </w:numPr>
        <w:spacing w:before="100" w:line="288" w:lineRule="auto"/>
        <w:ind w:right="11"/>
        <w:rPr>
          <w:b/>
          <w:szCs w:val="22"/>
        </w:rPr>
      </w:pPr>
      <w:r w:rsidRPr="00942C19">
        <w:rPr>
          <w:b/>
          <w:szCs w:val="22"/>
        </w:rPr>
        <w:t xml:space="preserve">CHARGES FOR EXCEEDING CONTRACTED DEMAND: </w:t>
      </w:r>
    </w:p>
    <w:p w:rsidR="00C802EE" w:rsidRPr="00942C19" w:rsidRDefault="00C802EE" w:rsidP="00C802EE">
      <w:pPr>
        <w:spacing w:before="100" w:after="100"/>
        <w:ind w:left="720" w:right="-58"/>
        <w:rPr>
          <w:szCs w:val="22"/>
        </w:rPr>
      </w:pPr>
      <w:r w:rsidRPr="00942C19">
        <w:rPr>
          <w:szCs w:val="22"/>
        </w:rPr>
        <w:t xml:space="preserve">If the maximum demand in any month of a consumer having TVM / TOD / Demand recording meters does not exceed the Contracted Demand beyond 10% then such excess demand shall be levied at normal rate as charged for exceeding contracted demand apart from the demand charge recovery as per the maximum demand recorded by the meter. </w:t>
      </w:r>
    </w:p>
    <w:p w:rsidR="00C802EE" w:rsidRPr="00942C19" w:rsidRDefault="00C802EE" w:rsidP="00C802EE">
      <w:pPr>
        <w:spacing w:before="100" w:after="100"/>
        <w:ind w:left="720" w:right="-58"/>
        <w:rPr>
          <w:szCs w:val="22"/>
        </w:rPr>
      </w:pPr>
      <w:r w:rsidRPr="00942C19">
        <w:rPr>
          <w:szCs w:val="22"/>
        </w:rPr>
        <w:t xml:space="preserve">However, if the demand exceeds the contracted demand by more than 10%; then such excess demand shall be levied at twice the normal rate apart from the demand charge on the maximum demand indicated by the meter. </w:t>
      </w:r>
    </w:p>
    <w:p w:rsidR="00C802EE" w:rsidRPr="00942C19" w:rsidRDefault="00C802EE" w:rsidP="00C802EE">
      <w:pPr>
        <w:spacing w:before="100" w:after="100"/>
        <w:ind w:left="720" w:right="-58"/>
        <w:rPr>
          <w:szCs w:val="22"/>
        </w:rPr>
      </w:pPr>
      <w:r w:rsidRPr="00942C19">
        <w:rPr>
          <w:szCs w:val="22"/>
        </w:rPr>
        <w:t xml:space="preserve">This additional charge shall be without prejudice to the </w:t>
      </w:r>
      <w:r w:rsidR="009A3804" w:rsidRPr="00942C19">
        <w:rPr>
          <w:szCs w:val="22"/>
        </w:rPr>
        <w:t>Licensee</w:t>
      </w:r>
      <w:r w:rsidRPr="00942C19">
        <w:rPr>
          <w:szCs w:val="22"/>
        </w:rPr>
        <w:t xml:space="preserve">’s right to take such other appropriate action including disconnection of supply, as may be deemed necessary to restrain the consumer from exceeding his contracted load. </w:t>
      </w:r>
    </w:p>
    <w:p w:rsidR="00C802EE" w:rsidRPr="00942C19" w:rsidRDefault="00C802EE" w:rsidP="00C802EE">
      <w:pPr>
        <w:spacing w:before="100" w:after="100"/>
        <w:ind w:left="720" w:right="-58"/>
        <w:rPr>
          <w:szCs w:val="22"/>
        </w:rPr>
      </w:pPr>
      <w:r w:rsidRPr="00942C19">
        <w:rPr>
          <w:szCs w:val="22"/>
        </w:rPr>
        <w:t>Any surcharge / penalty shall be over and above the minimum charge, if the consumption bill of the consumer is being prepared on the basis of minimum charge.</w:t>
      </w:r>
    </w:p>
    <w:p w:rsidR="00C802EE" w:rsidRPr="00942C19" w:rsidRDefault="00C802EE" w:rsidP="00C802EE">
      <w:pPr>
        <w:ind w:left="720"/>
        <w:rPr>
          <w:szCs w:val="22"/>
        </w:rPr>
      </w:pPr>
    </w:p>
    <w:p w:rsidR="00443498" w:rsidRPr="00942C19" w:rsidRDefault="00443498" w:rsidP="00C802EE">
      <w:pPr>
        <w:ind w:left="720"/>
        <w:rPr>
          <w:szCs w:val="22"/>
        </w:rPr>
      </w:pPr>
    </w:p>
    <w:p w:rsidR="00C802EE" w:rsidRPr="00942C19" w:rsidRDefault="00C802EE" w:rsidP="00C802EE">
      <w:pPr>
        <w:tabs>
          <w:tab w:val="left" w:pos="360"/>
          <w:tab w:val="left" w:pos="720"/>
        </w:tabs>
        <w:spacing w:before="100" w:after="100"/>
        <w:ind w:right="28"/>
        <w:rPr>
          <w:b/>
          <w:szCs w:val="22"/>
        </w:rPr>
      </w:pPr>
      <w:r w:rsidRPr="00942C19">
        <w:rPr>
          <w:b/>
          <w:szCs w:val="22"/>
        </w:rPr>
        <w:t>8.</w:t>
      </w:r>
      <w:r w:rsidRPr="00942C19">
        <w:rPr>
          <w:b/>
          <w:szCs w:val="22"/>
        </w:rPr>
        <w:tab/>
      </w:r>
      <w:r w:rsidRPr="00942C19">
        <w:rPr>
          <w:b/>
          <w:szCs w:val="22"/>
        </w:rPr>
        <w:tab/>
        <w:t>POWER FACTOR SURCHARGE:</w:t>
      </w:r>
    </w:p>
    <w:p w:rsidR="00C802EE" w:rsidRPr="00942C19" w:rsidRDefault="00785E17" w:rsidP="00C802EE">
      <w:pPr>
        <w:spacing w:before="60"/>
        <w:ind w:left="1440" w:right="29" w:hanging="720"/>
        <w:rPr>
          <w:szCs w:val="22"/>
        </w:rPr>
      </w:pPr>
      <w:r w:rsidRPr="00942C19">
        <w:rPr>
          <w:szCs w:val="22"/>
        </w:rPr>
        <w:t>(i)</w:t>
      </w:r>
      <w:r w:rsidRPr="00942C19">
        <w:rPr>
          <w:szCs w:val="22"/>
        </w:rPr>
        <w:tab/>
        <w:t>It shall be obligatory for all consumers to maintain an average power factor of more than 0.85 during any billing period. No new connections of motive power loads / inductive loads above 3 kW, other than under LMV-1 and LMV-2 category, and / or of welding transformers above 1kVA shall be given, unless shunt capacitors having I.S.I specifications of appropriate ratings are installed, as described in ANNEXURE 10.4.</w:t>
      </w:r>
    </w:p>
    <w:p w:rsidR="00C802EE" w:rsidRPr="00942C19" w:rsidRDefault="00C802EE" w:rsidP="00A818DC">
      <w:pPr>
        <w:numPr>
          <w:ilvl w:val="0"/>
          <w:numId w:val="68"/>
        </w:numPr>
        <w:tabs>
          <w:tab w:val="left" w:pos="1440"/>
        </w:tabs>
        <w:spacing w:before="60" w:line="288" w:lineRule="auto"/>
        <w:ind w:left="1440" w:right="29" w:hanging="720"/>
        <w:rPr>
          <w:szCs w:val="22"/>
        </w:rPr>
      </w:pPr>
      <w:r w:rsidRPr="00942C19">
        <w:rPr>
          <w:szCs w:val="22"/>
        </w:rPr>
        <w:t xml:space="preserve">In respect of the consumers with or without static TVMs, excluding consumers under LMV-1 category up to connected load of 10 kW and LMV-2 category up to connected load of 5 kW, if on inspection it is found that capacitors of appropriate rating are missing or in-operational and </w:t>
      </w:r>
      <w:r w:rsidR="009A3804" w:rsidRPr="00942C19">
        <w:rPr>
          <w:szCs w:val="22"/>
        </w:rPr>
        <w:t>Licensee</w:t>
      </w:r>
      <w:r w:rsidRPr="00942C19">
        <w:rPr>
          <w:szCs w:val="22"/>
        </w:rPr>
        <w:t xml:space="preserve"> can prove that the absence of capacitor is bringing down the power factor of the consumer below the obligatory norm of 0.85; then a surcharge of 15% of the amount of bill shall be levied on such consumers.  </w:t>
      </w:r>
      <w:r w:rsidR="009A3804" w:rsidRPr="00942C19">
        <w:rPr>
          <w:szCs w:val="22"/>
        </w:rPr>
        <w:t>Licensee</w:t>
      </w:r>
      <w:r w:rsidRPr="00942C19">
        <w:rPr>
          <w:szCs w:val="22"/>
        </w:rPr>
        <w:t xml:space="preserve"> may also initiate action under the relevant provisions of the Electricity Act, 2003, as amended from time to time.  </w:t>
      </w:r>
    </w:p>
    <w:p w:rsidR="00C802EE" w:rsidRPr="00942C19" w:rsidRDefault="00C802EE" w:rsidP="00C802EE">
      <w:pPr>
        <w:tabs>
          <w:tab w:val="left" w:pos="1440"/>
        </w:tabs>
        <w:spacing w:before="60" w:line="288" w:lineRule="auto"/>
        <w:ind w:left="1440" w:right="29"/>
        <w:rPr>
          <w:szCs w:val="22"/>
        </w:rPr>
      </w:pPr>
      <w:r w:rsidRPr="00942C19">
        <w:rPr>
          <w:szCs w:val="22"/>
        </w:rPr>
        <w:t xml:space="preserve">Notwithstanding above the </w:t>
      </w:r>
      <w:r w:rsidR="009A3804" w:rsidRPr="00942C19">
        <w:rPr>
          <w:szCs w:val="22"/>
        </w:rPr>
        <w:t>Licensee</w:t>
      </w:r>
      <w:r w:rsidRPr="00942C19">
        <w:rPr>
          <w:szCs w:val="22"/>
        </w:rPr>
        <w:t xml:space="preserve"> also has a right to disconnect the power supply, if the power factor falls below 0.75.    </w:t>
      </w:r>
    </w:p>
    <w:p w:rsidR="00C802EE" w:rsidRPr="00942C19" w:rsidRDefault="00C802EE" w:rsidP="00C802EE">
      <w:pPr>
        <w:tabs>
          <w:tab w:val="left" w:pos="360"/>
          <w:tab w:val="left" w:pos="1440"/>
        </w:tabs>
        <w:spacing w:before="100" w:after="100"/>
        <w:ind w:left="1440" w:right="28" w:hanging="720"/>
        <w:rPr>
          <w:szCs w:val="22"/>
        </w:rPr>
      </w:pPr>
      <w:r w:rsidRPr="00942C19">
        <w:rPr>
          <w:szCs w:val="22"/>
        </w:rPr>
        <w:t xml:space="preserve"> (iii)</w:t>
      </w:r>
      <w:r w:rsidRPr="00942C19">
        <w:rPr>
          <w:szCs w:val="22"/>
        </w:rPr>
        <w:tab/>
        <w:t>Power factor surcharge shall however, not be levied during the period of disconnection on account of any reason whatsoever and where consumer is being billed on kVAh consumption basis.</w:t>
      </w:r>
    </w:p>
    <w:p w:rsidR="00C802EE" w:rsidRPr="00942C19" w:rsidRDefault="00C802EE" w:rsidP="00C802EE">
      <w:pPr>
        <w:tabs>
          <w:tab w:val="left" w:pos="360"/>
          <w:tab w:val="left" w:pos="1440"/>
        </w:tabs>
        <w:spacing w:before="100" w:after="100"/>
        <w:ind w:left="1440" w:right="28" w:hanging="720"/>
        <w:rPr>
          <w:szCs w:val="22"/>
        </w:rPr>
      </w:pPr>
    </w:p>
    <w:p w:rsidR="00C802EE" w:rsidRPr="00942C19" w:rsidRDefault="00C802EE" w:rsidP="00C802EE">
      <w:pPr>
        <w:ind w:left="720" w:hanging="720"/>
        <w:rPr>
          <w:b/>
          <w:szCs w:val="22"/>
        </w:rPr>
      </w:pPr>
      <w:r w:rsidRPr="00942C19">
        <w:rPr>
          <w:b/>
          <w:szCs w:val="22"/>
        </w:rPr>
        <w:t>9.</w:t>
      </w:r>
      <w:r w:rsidRPr="00942C19">
        <w:rPr>
          <w:b/>
          <w:szCs w:val="22"/>
        </w:rPr>
        <w:tab/>
        <w:t>PROVISION RELATED TO SURCHARGE WAIVER SCHEME FOR RECOVERY OF BLOCKED ARREARS:</w:t>
      </w:r>
    </w:p>
    <w:p w:rsidR="00C802EE" w:rsidRPr="00942C19" w:rsidRDefault="00C802EE" w:rsidP="00A818DC">
      <w:pPr>
        <w:pStyle w:val="ListParagraph"/>
        <w:numPr>
          <w:ilvl w:val="0"/>
          <w:numId w:val="91"/>
        </w:numPr>
        <w:rPr>
          <w:szCs w:val="22"/>
        </w:rPr>
      </w:pPr>
      <w:r w:rsidRPr="00942C19">
        <w:rPr>
          <w:szCs w:val="22"/>
        </w:rPr>
        <w:t xml:space="preserve">The </w:t>
      </w:r>
      <w:r w:rsidR="009A3804" w:rsidRPr="00942C19">
        <w:rPr>
          <w:szCs w:val="22"/>
        </w:rPr>
        <w:t>Licensee</w:t>
      </w:r>
      <w:r w:rsidRPr="00942C19">
        <w:rPr>
          <w:szCs w:val="22"/>
        </w:rPr>
        <w:t xml:space="preserve"> may, on a decision by its Board of Directors, launch a Surcharge Waiver Scheme (One time Settlement Scheme) in any two months of a financial year for recovery of its blocked arrears by waving off surcharge to the extent not exceeding 50% of overall surcharge for which no approval of the Commission shall be required. </w:t>
      </w:r>
    </w:p>
    <w:p w:rsidR="00C802EE" w:rsidRPr="00942C19" w:rsidRDefault="00C802EE" w:rsidP="00C802EE">
      <w:pPr>
        <w:pStyle w:val="ListParagraph"/>
        <w:ind w:left="1440"/>
        <w:rPr>
          <w:szCs w:val="22"/>
        </w:rPr>
      </w:pPr>
      <w:r w:rsidRPr="00942C19">
        <w:rPr>
          <w:szCs w:val="22"/>
        </w:rPr>
        <w:t xml:space="preserve">Provided that the impact of such surcharge waiver shall not be allowed as pass through in the next ARR / Tariff or true-ups. In this regard, the </w:t>
      </w:r>
      <w:r w:rsidR="009A3804" w:rsidRPr="00942C19">
        <w:rPr>
          <w:szCs w:val="22"/>
        </w:rPr>
        <w:t>Licensee</w:t>
      </w:r>
      <w:r w:rsidRPr="00942C19">
        <w:rPr>
          <w:szCs w:val="22"/>
        </w:rPr>
        <w:t>s would have to submit the certificate duly verified by the statutory auditor, of the surcharge waived for any previous year along with the ARR / Tariff Petition of the ensuing year.</w:t>
      </w:r>
    </w:p>
    <w:p w:rsidR="00C802EE" w:rsidRPr="00942C19" w:rsidRDefault="00C802EE" w:rsidP="00A818DC">
      <w:pPr>
        <w:pStyle w:val="ListParagraph"/>
        <w:numPr>
          <w:ilvl w:val="0"/>
          <w:numId w:val="91"/>
        </w:numPr>
        <w:rPr>
          <w:szCs w:val="22"/>
        </w:rPr>
      </w:pPr>
      <w:r w:rsidRPr="00942C19">
        <w:rPr>
          <w:szCs w:val="22"/>
        </w:rPr>
        <w:t xml:space="preserve">Further, the </w:t>
      </w:r>
      <w:r w:rsidR="009A3804" w:rsidRPr="00942C19">
        <w:rPr>
          <w:szCs w:val="22"/>
        </w:rPr>
        <w:t>Licensee</w:t>
      </w:r>
      <w:r w:rsidRPr="00942C19">
        <w:rPr>
          <w:szCs w:val="22"/>
        </w:rPr>
        <w:t xml:space="preserve"> may launch a surcharge waiver scheme without any restrictions on quantum of surcharge waiver provided the State Government provides an advance subsidy to compensate the complete / full loss of the </w:t>
      </w:r>
      <w:r w:rsidR="009A3804" w:rsidRPr="00942C19">
        <w:rPr>
          <w:szCs w:val="22"/>
        </w:rPr>
        <w:t>Licensee</w:t>
      </w:r>
      <w:r w:rsidRPr="00942C19">
        <w:rPr>
          <w:szCs w:val="22"/>
        </w:rPr>
        <w:t xml:space="preserve"> arising out of surcharge waiver.  </w:t>
      </w:r>
    </w:p>
    <w:p w:rsidR="00C802EE" w:rsidRPr="00942C19" w:rsidRDefault="00C802EE" w:rsidP="00A818DC">
      <w:pPr>
        <w:pStyle w:val="ListParagraph"/>
        <w:numPr>
          <w:ilvl w:val="0"/>
          <w:numId w:val="91"/>
        </w:numPr>
        <w:rPr>
          <w:szCs w:val="22"/>
        </w:rPr>
      </w:pPr>
      <w:r w:rsidRPr="00942C19">
        <w:rPr>
          <w:szCs w:val="22"/>
        </w:rPr>
        <w:t xml:space="preserve">The </w:t>
      </w:r>
      <w:r w:rsidR="009A3804" w:rsidRPr="00942C19">
        <w:rPr>
          <w:szCs w:val="22"/>
        </w:rPr>
        <w:t>Licensee</w:t>
      </w:r>
      <w:r w:rsidRPr="00942C19">
        <w:rPr>
          <w:szCs w:val="22"/>
        </w:rPr>
        <w:t>s would be required to submit the full details of each Surcharge Waiver Scheme (One time Settlement Scheme) within one month from the end of the scheme.</w:t>
      </w:r>
    </w:p>
    <w:p w:rsidR="00C802EE" w:rsidRPr="00942C19" w:rsidRDefault="00C802EE" w:rsidP="00C802EE">
      <w:pPr>
        <w:ind w:left="720"/>
        <w:rPr>
          <w:szCs w:val="22"/>
        </w:rPr>
      </w:pPr>
    </w:p>
    <w:p w:rsidR="00C802EE" w:rsidRPr="00942C19" w:rsidRDefault="00C802EE" w:rsidP="00C802EE">
      <w:pPr>
        <w:tabs>
          <w:tab w:val="left" w:pos="360"/>
        </w:tabs>
        <w:spacing w:before="100" w:after="100"/>
        <w:ind w:right="29"/>
        <w:rPr>
          <w:b/>
          <w:szCs w:val="22"/>
        </w:rPr>
      </w:pPr>
      <w:r w:rsidRPr="00942C19">
        <w:rPr>
          <w:b/>
          <w:szCs w:val="22"/>
        </w:rPr>
        <w:t>10.</w:t>
      </w:r>
      <w:r w:rsidRPr="00942C19">
        <w:rPr>
          <w:b/>
          <w:szCs w:val="22"/>
        </w:rPr>
        <w:tab/>
      </w:r>
      <w:r w:rsidRPr="00942C19">
        <w:rPr>
          <w:b/>
          <w:szCs w:val="22"/>
        </w:rPr>
        <w:tab/>
        <w:t xml:space="preserve">PROTECTIVE LOAD: </w:t>
      </w:r>
    </w:p>
    <w:p w:rsidR="00C802EE" w:rsidRPr="00942C19" w:rsidRDefault="00C802EE" w:rsidP="00C802EE">
      <w:pPr>
        <w:ind w:left="720"/>
      </w:pPr>
      <w:r w:rsidRPr="00942C19">
        <w:t xml:space="preserve">Consumers getting supply on independent feeder at 11kV &amp; above voltage, emanating from sub-station, may opt for facility of protective load and avail supply during the period of scheduled rostering imposed by the </w:t>
      </w:r>
      <w:r w:rsidR="009A3804" w:rsidRPr="00942C19">
        <w:t>Licensee</w:t>
      </w:r>
      <w:r w:rsidRPr="00942C19">
        <w:t>, except under emergency rostering. An additional charge @ 100% of base demand charges fixed per month shall be levied on the contracted protective (as per Electricity Supply Code) load each month. During the period of scheduled rostering, the load shall not exceed the sanctioned protective load. In case the consumer exceeds the sanctioned protective load during scheduled rostering, he shall be liable to pay twice the prescribed charges for such excess load.  Consumers of LMV-4 (A) - Public Institutions will however pay the additional charge @ 25% only.</w:t>
      </w:r>
    </w:p>
    <w:p w:rsidR="00C802EE" w:rsidRPr="00942C19" w:rsidRDefault="00C802EE" w:rsidP="00C802EE">
      <w:pPr>
        <w:ind w:left="720"/>
      </w:pPr>
    </w:p>
    <w:p w:rsidR="00C802EE" w:rsidRPr="00942C19" w:rsidRDefault="00C802EE" w:rsidP="00C802EE">
      <w:pPr>
        <w:rPr>
          <w:b/>
          <w:szCs w:val="22"/>
        </w:rPr>
      </w:pPr>
      <w:r w:rsidRPr="00942C19">
        <w:rPr>
          <w:b/>
          <w:szCs w:val="22"/>
        </w:rPr>
        <w:t xml:space="preserve">11. </w:t>
      </w:r>
      <w:r w:rsidRPr="00942C19">
        <w:rPr>
          <w:b/>
          <w:szCs w:val="22"/>
        </w:rPr>
        <w:tab/>
        <w:t>ROUNDING OFF:</w:t>
      </w:r>
    </w:p>
    <w:p w:rsidR="00C802EE" w:rsidRPr="00942C19" w:rsidRDefault="00C802EE" w:rsidP="00C802EE">
      <w:pPr>
        <w:ind w:left="720"/>
      </w:pPr>
      <w:r w:rsidRPr="00942C19">
        <w:t>All bills will be rounded off to the nearest rupee.</w:t>
      </w:r>
    </w:p>
    <w:p w:rsidR="00C802EE" w:rsidRPr="00942C19" w:rsidRDefault="00C802EE" w:rsidP="00C802EE"/>
    <w:p w:rsidR="00C802EE" w:rsidRPr="00942C19" w:rsidRDefault="00C802EE" w:rsidP="00C802EE">
      <w:pPr>
        <w:rPr>
          <w:b/>
        </w:rPr>
      </w:pPr>
      <w:r w:rsidRPr="00942C19">
        <w:rPr>
          <w:b/>
        </w:rPr>
        <w:t>12.</w:t>
      </w:r>
      <w:r w:rsidRPr="00942C19">
        <w:t xml:space="preserve"> </w:t>
      </w:r>
      <w:r w:rsidRPr="00942C19">
        <w:tab/>
      </w:r>
      <w:r w:rsidRPr="00942C19">
        <w:rPr>
          <w:b/>
        </w:rPr>
        <w:t>OPTION OF MIGRATION TO HV2 CATEGORY:</w:t>
      </w:r>
    </w:p>
    <w:p w:rsidR="00C802EE" w:rsidRPr="00942C19" w:rsidRDefault="00C802EE" w:rsidP="00C802EE">
      <w:pPr>
        <w:ind w:left="720"/>
      </w:pPr>
      <w:r w:rsidRPr="00942C19">
        <w:t>The consumer under LMV-1, LMV-2, LMV-4 and LMV-6 with contracted load above 50 kW and getting supply at 11 kV &amp; above voltage shall have an option to migrate to the HV-2 category. Furthermore, the consumers shall have an option of migrating back to the original category on payment of charges prescribed in Cost Data Book for change in voltage level.</w:t>
      </w:r>
    </w:p>
    <w:p w:rsidR="00C802EE" w:rsidRPr="00942C19" w:rsidRDefault="00C802EE" w:rsidP="00C802EE">
      <w:pPr>
        <w:spacing w:line="288" w:lineRule="auto"/>
        <w:jc w:val="left"/>
        <w:rPr>
          <w:b/>
          <w:szCs w:val="22"/>
        </w:rPr>
      </w:pPr>
    </w:p>
    <w:p w:rsidR="00C802EE" w:rsidRPr="00942C19" w:rsidRDefault="00C802EE" w:rsidP="00C802EE">
      <w:pPr>
        <w:spacing w:line="288" w:lineRule="auto"/>
        <w:jc w:val="left"/>
        <w:rPr>
          <w:b/>
          <w:szCs w:val="22"/>
        </w:rPr>
      </w:pPr>
      <w:r w:rsidRPr="00942C19">
        <w:rPr>
          <w:b/>
          <w:szCs w:val="22"/>
        </w:rPr>
        <w:t>13.</w:t>
      </w:r>
      <w:r w:rsidRPr="00942C19">
        <w:rPr>
          <w:b/>
          <w:szCs w:val="22"/>
        </w:rPr>
        <w:tab/>
        <w:t>PRE-PAID METERS / AUTOMATIC METER READING SYSTEM:</w:t>
      </w:r>
    </w:p>
    <w:p w:rsidR="00C802EE" w:rsidRPr="00942C19" w:rsidRDefault="00C802EE" w:rsidP="00C802EE">
      <w:pPr>
        <w:ind w:left="720"/>
        <w:rPr>
          <w:szCs w:val="22"/>
        </w:rPr>
      </w:pPr>
      <w:r w:rsidRPr="00942C19">
        <w:rPr>
          <w:szCs w:val="22"/>
        </w:rPr>
        <w:t xml:space="preserve">In line with the directive given in the last Tariff Order, the Commission directs the </w:t>
      </w:r>
      <w:r w:rsidR="009A3804" w:rsidRPr="00942C19">
        <w:rPr>
          <w:szCs w:val="22"/>
        </w:rPr>
        <w:t>Licensee</w:t>
      </w:r>
      <w:r w:rsidRPr="00942C19">
        <w:rPr>
          <w:szCs w:val="22"/>
        </w:rPr>
        <w:t xml:space="preserve">s to expedite the process of introduction of pre-paid meters on all government connections and public institutions wanting to opt for with loads below 45 kW and installation of automatic meter reading systems for loads above 45 kW. </w:t>
      </w:r>
    </w:p>
    <w:p w:rsidR="00C802EE" w:rsidRPr="00942C19" w:rsidRDefault="00C802EE" w:rsidP="00C802EE">
      <w:pPr>
        <w:ind w:left="720"/>
        <w:rPr>
          <w:szCs w:val="22"/>
        </w:rPr>
      </w:pPr>
    </w:p>
    <w:p w:rsidR="00C802EE" w:rsidRPr="00942C19" w:rsidRDefault="00C802EE" w:rsidP="00C802EE">
      <w:pPr>
        <w:ind w:left="705" w:hanging="705"/>
        <w:rPr>
          <w:b/>
        </w:rPr>
      </w:pPr>
      <w:r w:rsidRPr="00942C19">
        <w:rPr>
          <w:b/>
          <w:szCs w:val="22"/>
        </w:rPr>
        <w:t>14.</w:t>
      </w:r>
      <w:r w:rsidRPr="00942C19">
        <w:rPr>
          <w:szCs w:val="22"/>
        </w:rPr>
        <w:t xml:space="preserve"> </w:t>
      </w:r>
      <w:r w:rsidRPr="00942C19">
        <w:rPr>
          <w:szCs w:val="22"/>
        </w:rPr>
        <w:tab/>
      </w:r>
      <w:r w:rsidRPr="00942C19">
        <w:rPr>
          <w:b/>
        </w:rPr>
        <w:t>Consumers not covered under any rate schedule or expressly excluded from any category:</w:t>
      </w:r>
    </w:p>
    <w:p w:rsidR="00C802EE" w:rsidRPr="00942C19" w:rsidRDefault="00C802EE" w:rsidP="00C802EE">
      <w:pPr>
        <w:ind w:left="720"/>
      </w:pPr>
      <w:r w:rsidRPr="00942C19">
        <w:t>For consumers of light, fan &amp; power (excluding motive power loads) not covered under any rate schedule or expressly excluded from any LMV rate schedule will be categorized under LMV-2.</w:t>
      </w:r>
    </w:p>
    <w:p w:rsidR="00C802EE" w:rsidRPr="00942C19" w:rsidRDefault="00C802EE" w:rsidP="00C802EE">
      <w:pPr>
        <w:ind w:left="720"/>
      </w:pPr>
    </w:p>
    <w:p w:rsidR="00C802EE" w:rsidRPr="00942C19" w:rsidRDefault="00C802EE" w:rsidP="00C802EE">
      <w:pPr>
        <w:ind w:left="720" w:hanging="720"/>
      </w:pPr>
      <w:r w:rsidRPr="00942C19">
        <w:rPr>
          <w:b/>
        </w:rPr>
        <w:t>15.</w:t>
      </w:r>
      <w:r w:rsidRPr="00942C19">
        <w:t xml:space="preserve"> </w:t>
      </w:r>
      <w:r w:rsidRPr="00942C19">
        <w:tab/>
        <w:t xml:space="preserve">Wherever, the billing is based on two part tariff structure, the fixed charge will be computed on the basis of contracted load.  </w:t>
      </w:r>
    </w:p>
    <w:p w:rsidR="00C802EE" w:rsidRPr="00942C19" w:rsidRDefault="00C802EE" w:rsidP="00C802EE">
      <w:pPr>
        <w:spacing w:before="100" w:line="288" w:lineRule="auto"/>
        <w:ind w:right="-48"/>
        <w:rPr>
          <w:szCs w:val="22"/>
        </w:rPr>
      </w:pPr>
    </w:p>
    <w:p w:rsidR="00C802EE" w:rsidRPr="00942C19" w:rsidRDefault="00C802EE" w:rsidP="00C802EE">
      <w:pPr>
        <w:spacing w:before="100" w:line="288" w:lineRule="auto"/>
        <w:ind w:left="720" w:right="-48" w:hanging="720"/>
        <w:rPr>
          <w:rFonts w:cs="Arial"/>
          <w:szCs w:val="22"/>
        </w:rPr>
      </w:pPr>
      <w:r w:rsidRPr="00942C19">
        <w:rPr>
          <w:b/>
          <w:szCs w:val="22"/>
        </w:rPr>
        <w:t>16.</w:t>
      </w:r>
      <w:r w:rsidRPr="00942C19">
        <w:rPr>
          <w:szCs w:val="22"/>
        </w:rPr>
        <w:t xml:space="preserve"> </w:t>
      </w:r>
      <w:r w:rsidRPr="00942C19">
        <w:rPr>
          <w:szCs w:val="22"/>
        </w:rPr>
        <w:tab/>
        <w:t xml:space="preserve">A consumer under metered category may undertake any extension work, in the same premises, on his existing connection without taking any temporary connection as long as his demand does not exceed his contracted demand and the consumer shall be billed in accordance with the tariff applicable to that category of consumer. </w:t>
      </w:r>
    </w:p>
    <w:p w:rsidR="00C802EE" w:rsidRPr="00942C19" w:rsidRDefault="00C802EE" w:rsidP="00C802EE">
      <w:pPr>
        <w:ind w:left="720" w:hanging="720"/>
        <w:rPr>
          <w:szCs w:val="22"/>
        </w:rPr>
      </w:pPr>
    </w:p>
    <w:p w:rsidR="00C802EE" w:rsidRPr="00942C19" w:rsidRDefault="00C802EE" w:rsidP="00C802EE">
      <w:pPr>
        <w:ind w:left="720"/>
        <w:rPr>
          <w:u w:val="single"/>
        </w:rPr>
      </w:pPr>
    </w:p>
    <w:p w:rsidR="00C802EE" w:rsidRPr="00942C19" w:rsidRDefault="00C802EE" w:rsidP="00C802EE">
      <w:pPr>
        <w:ind w:right="1379"/>
        <w:rPr>
          <w:b/>
          <w:i/>
        </w:rPr>
      </w:pPr>
    </w:p>
    <w:p w:rsidR="00C802EE" w:rsidRPr="00942C19" w:rsidRDefault="00C802EE" w:rsidP="00C802EE">
      <w:pPr>
        <w:spacing w:before="0" w:line="240" w:lineRule="auto"/>
        <w:jc w:val="left"/>
        <w:rPr>
          <w:b/>
          <w:caps/>
          <w:u w:val="single"/>
        </w:rPr>
      </w:pPr>
      <w:r w:rsidRPr="00942C19">
        <w:rPr>
          <w:b/>
          <w:caps/>
          <w:u w:val="single"/>
        </w:rPr>
        <w:br w:type="page"/>
      </w:r>
    </w:p>
    <w:p w:rsidR="00C802EE" w:rsidRPr="00942C19" w:rsidRDefault="00C802EE" w:rsidP="00C802EE">
      <w:pPr>
        <w:jc w:val="center"/>
        <w:rPr>
          <w:b/>
          <w:caps/>
          <w:u w:val="single"/>
        </w:rPr>
      </w:pPr>
      <w:r w:rsidRPr="00942C19">
        <w:rPr>
          <w:b/>
          <w:caps/>
          <w:u w:val="single"/>
        </w:rPr>
        <w:t>Rate Schedule LMV – 1:</w:t>
      </w:r>
    </w:p>
    <w:p w:rsidR="00C802EE" w:rsidRPr="00942C19" w:rsidRDefault="00C802EE" w:rsidP="00C802EE">
      <w:pPr>
        <w:jc w:val="center"/>
        <w:rPr>
          <w:b/>
          <w:caps/>
          <w:u w:val="single"/>
        </w:rPr>
      </w:pPr>
    </w:p>
    <w:p w:rsidR="00C802EE" w:rsidRPr="00942C19" w:rsidRDefault="00C802EE" w:rsidP="00C802EE">
      <w:pPr>
        <w:ind w:left="2520" w:firstLine="360"/>
        <w:rPr>
          <w:b/>
          <w:szCs w:val="22"/>
        </w:rPr>
      </w:pPr>
      <w:r w:rsidRPr="00942C19">
        <w:rPr>
          <w:b/>
          <w:szCs w:val="22"/>
        </w:rPr>
        <w:t>DOMESTIC LIGHT, FAN &amp; POWER:</w:t>
      </w:r>
    </w:p>
    <w:p w:rsidR="00C802EE" w:rsidRPr="00942C19" w:rsidRDefault="00C802EE" w:rsidP="00C802EE">
      <w:pPr>
        <w:rPr>
          <w:b/>
        </w:rPr>
      </w:pPr>
      <w:r w:rsidRPr="00942C19">
        <w:rPr>
          <w:b/>
        </w:rPr>
        <w:t>1.</w:t>
      </w:r>
      <w:r w:rsidRPr="00942C19">
        <w:rPr>
          <w:b/>
        </w:rPr>
        <w:tab/>
        <w:t>APPLICABILITY:</w:t>
      </w:r>
    </w:p>
    <w:p w:rsidR="00C802EE" w:rsidRPr="00942C19" w:rsidRDefault="00C802EE" w:rsidP="00C802EE">
      <w:pPr>
        <w:tabs>
          <w:tab w:val="left" w:pos="360"/>
        </w:tabs>
        <w:spacing w:before="100"/>
        <w:ind w:firstLine="360"/>
        <w:rPr>
          <w:szCs w:val="22"/>
        </w:rPr>
      </w:pPr>
      <w:r w:rsidRPr="00942C19">
        <w:rPr>
          <w:szCs w:val="22"/>
        </w:rPr>
        <w:tab/>
        <w:t>This schedule shall apply to:</w:t>
      </w:r>
    </w:p>
    <w:p w:rsidR="00C802EE" w:rsidRPr="00942C19" w:rsidRDefault="00C802EE" w:rsidP="00A818DC">
      <w:pPr>
        <w:numPr>
          <w:ilvl w:val="0"/>
          <w:numId w:val="79"/>
        </w:numPr>
        <w:spacing w:before="60" w:after="120" w:line="288" w:lineRule="auto"/>
        <w:ind w:left="1440" w:right="-58" w:hanging="720"/>
        <w:rPr>
          <w:szCs w:val="22"/>
        </w:rPr>
      </w:pPr>
      <w:r w:rsidRPr="00942C19">
        <w:rPr>
          <w:szCs w:val="22"/>
        </w:rPr>
        <w:t>Premises for residential / domestic purpose, Janata Service Connections, Kutir Jyoti Connections, Places of Worship (e.g. Temples, Mosques, Gurudwaras, Churches) and Electric Crematoria.</w:t>
      </w:r>
    </w:p>
    <w:p w:rsidR="00C802EE" w:rsidRPr="00942C19" w:rsidRDefault="00C802EE" w:rsidP="00A818DC">
      <w:pPr>
        <w:numPr>
          <w:ilvl w:val="0"/>
          <w:numId w:val="79"/>
        </w:numPr>
        <w:spacing w:before="100" w:after="120" w:line="288" w:lineRule="auto"/>
        <w:ind w:left="1440" w:right="-58" w:hanging="720"/>
        <w:rPr>
          <w:szCs w:val="22"/>
        </w:rPr>
      </w:pPr>
      <w:r w:rsidRPr="00942C19">
        <w:rPr>
          <w:szCs w:val="22"/>
        </w:rPr>
        <w:t>Mixed Loads</w:t>
      </w:r>
    </w:p>
    <w:p w:rsidR="00C802EE" w:rsidRPr="00942C19" w:rsidRDefault="00C802EE" w:rsidP="00C802EE">
      <w:pPr>
        <w:spacing w:before="100" w:after="120"/>
        <w:ind w:left="1440" w:right="-58"/>
        <w:rPr>
          <w:b/>
          <w:szCs w:val="22"/>
        </w:rPr>
      </w:pPr>
      <w:r w:rsidRPr="00942C19">
        <w:rPr>
          <w:b/>
          <w:szCs w:val="22"/>
        </w:rPr>
        <w:t>i.</w:t>
      </w:r>
      <w:r w:rsidRPr="00942C19">
        <w:rPr>
          <w:b/>
          <w:szCs w:val="22"/>
        </w:rPr>
        <w:tab/>
        <w:t xml:space="preserve">50 kW and above </w:t>
      </w:r>
    </w:p>
    <w:p w:rsidR="00C802EE" w:rsidRPr="00942C19" w:rsidRDefault="00C802EE" w:rsidP="00C802EE">
      <w:pPr>
        <w:spacing w:before="100" w:after="120"/>
        <w:ind w:left="2160" w:right="-58" w:hanging="720"/>
        <w:rPr>
          <w:szCs w:val="22"/>
        </w:rPr>
      </w:pPr>
      <w:r w:rsidRPr="00942C19">
        <w:rPr>
          <w:szCs w:val="22"/>
        </w:rPr>
        <w:t>a.</w:t>
      </w:r>
      <w:r w:rsidRPr="00942C19">
        <w:rPr>
          <w:szCs w:val="22"/>
        </w:rPr>
        <w:tab/>
        <w:t xml:space="preserve">Registered Societies, Residential Colonies / Townships, Residential Multi-Storied Buildings with mixed loads (getting supply at single point) with the condition that 70% of the total contracted load shall be exclusively for the purposes of domestic light, fan and power. The above mixed load, within 70%, shall also include the load required for lifts, water pumps and common lighting, </w:t>
      </w:r>
    </w:p>
    <w:p w:rsidR="00C802EE" w:rsidRPr="00942C19" w:rsidRDefault="00C802EE" w:rsidP="00C802EE">
      <w:pPr>
        <w:spacing w:before="100" w:after="120"/>
        <w:ind w:left="2160" w:right="-58" w:hanging="720"/>
        <w:rPr>
          <w:szCs w:val="22"/>
        </w:rPr>
      </w:pPr>
      <w:r w:rsidRPr="00942C19">
        <w:rPr>
          <w:szCs w:val="22"/>
        </w:rPr>
        <w:t>b.</w:t>
      </w:r>
      <w:r w:rsidRPr="00942C19">
        <w:rPr>
          <w:szCs w:val="22"/>
        </w:rPr>
        <w:tab/>
        <w:t xml:space="preserve">Military Engineer Service (MES) for Defence Establishments (Mixed load without any load restriction).   </w:t>
      </w:r>
    </w:p>
    <w:p w:rsidR="00C802EE" w:rsidRPr="00942C19" w:rsidRDefault="00C802EE" w:rsidP="00A818DC">
      <w:pPr>
        <w:numPr>
          <w:ilvl w:val="0"/>
          <w:numId w:val="81"/>
        </w:numPr>
        <w:tabs>
          <w:tab w:val="num" w:pos="2160"/>
        </w:tabs>
        <w:spacing w:before="100" w:after="120" w:line="288" w:lineRule="auto"/>
        <w:ind w:left="2160" w:right="-58"/>
        <w:rPr>
          <w:szCs w:val="22"/>
        </w:rPr>
      </w:pPr>
      <w:r w:rsidRPr="00942C19">
        <w:rPr>
          <w:b/>
          <w:szCs w:val="22"/>
        </w:rPr>
        <w:t>Less than 50 kW</w:t>
      </w:r>
    </w:p>
    <w:p w:rsidR="00C802EE" w:rsidRPr="00942C19" w:rsidRDefault="00C802EE" w:rsidP="00C802EE">
      <w:pPr>
        <w:spacing w:before="100" w:after="120"/>
        <w:ind w:left="2160" w:right="-58"/>
        <w:rPr>
          <w:szCs w:val="22"/>
        </w:rPr>
      </w:pPr>
      <w:r w:rsidRPr="00942C19">
        <w:rPr>
          <w:szCs w:val="22"/>
        </w:rPr>
        <w:t xml:space="preserve">For mixed loads less than 50 kW, however, if any portion of the above load is utilized for conduct of business for non-domestic purposes then the entire energy consumed shall be charged under the rate schedule of higher charge. </w:t>
      </w:r>
    </w:p>
    <w:p w:rsidR="00C802EE" w:rsidRPr="00942C19" w:rsidRDefault="00C802EE" w:rsidP="00C802EE">
      <w:pPr>
        <w:rPr>
          <w:b/>
        </w:rPr>
      </w:pPr>
    </w:p>
    <w:p w:rsidR="00C802EE" w:rsidRPr="00942C19" w:rsidRDefault="00C802EE" w:rsidP="00C802EE">
      <w:pPr>
        <w:rPr>
          <w:b/>
        </w:rPr>
      </w:pPr>
      <w:r w:rsidRPr="00942C19">
        <w:rPr>
          <w:b/>
        </w:rPr>
        <w:t>2.</w:t>
      </w:r>
      <w:r w:rsidRPr="00942C19">
        <w:rPr>
          <w:b/>
        </w:rPr>
        <w:tab/>
        <w:t xml:space="preserve">CHARACTER AND POINT OF SUPPLY: </w:t>
      </w:r>
    </w:p>
    <w:p w:rsidR="00C802EE" w:rsidRPr="00942C19" w:rsidRDefault="00C802EE" w:rsidP="00C802EE">
      <w:pPr>
        <w:spacing w:line="240" w:lineRule="auto"/>
        <w:ind w:left="360" w:right="-58"/>
        <w:rPr>
          <w:rFonts w:cs="Arial"/>
          <w:szCs w:val="22"/>
        </w:rPr>
      </w:pPr>
      <w:r w:rsidRPr="00942C19">
        <w:rPr>
          <w:szCs w:val="22"/>
        </w:rPr>
        <w:t>As per the applicable provisions of Electricity Supply Code.</w:t>
      </w:r>
    </w:p>
    <w:p w:rsidR="00C802EE" w:rsidRPr="00942C19" w:rsidRDefault="00C802EE" w:rsidP="00C802EE">
      <w:pPr>
        <w:rPr>
          <w:b/>
        </w:rPr>
      </w:pPr>
    </w:p>
    <w:p w:rsidR="00C802EE" w:rsidRPr="00942C19" w:rsidRDefault="00C802EE" w:rsidP="00C802EE">
      <w:pPr>
        <w:rPr>
          <w:b/>
        </w:rPr>
      </w:pPr>
      <w:r w:rsidRPr="00942C19">
        <w:rPr>
          <w:b/>
        </w:rPr>
        <w:t>3.</w:t>
      </w:r>
      <w:r w:rsidRPr="00942C19">
        <w:rPr>
          <w:b/>
        </w:rPr>
        <w:tab/>
        <w:t>RATE:</w:t>
      </w:r>
    </w:p>
    <w:p w:rsidR="00C802EE" w:rsidRPr="00942C19" w:rsidRDefault="00C802EE" w:rsidP="00C802EE">
      <w:pPr>
        <w:spacing w:line="240" w:lineRule="auto"/>
        <w:ind w:left="360" w:right="-58"/>
        <w:rPr>
          <w:szCs w:val="22"/>
        </w:rPr>
      </w:pPr>
      <w:r w:rsidRPr="00942C19">
        <w:rPr>
          <w:szCs w:val="22"/>
        </w:rPr>
        <w:t>Rate, gives the fixed and energy charges at which the consumer shall be billed for his consumption during the billing period applicable to the category:</w:t>
      </w:r>
    </w:p>
    <w:p w:rsidR="00C802EE" w:rsidRPr="00942C19" w:rsidRDefault="00C802EE" w:rsidP="00C802EE">
      <w:pPr>
        <w:spacing w:after="120"/>
        <w:ind w:left="360"/>
        <w:rPr>
          <w:rFonts w:cs="Arial"/>
          <w:b/>
          <w:bCs/>
          <w:szCs w:val="22"/>
        </w:rPr>
      </w:pPr>
    </w:p>
    <w:p w:rsidR="00C802EE" w:rsidRPr="00942C19" w:rsidRDefault="00C802EE" w:rsidP="00C802EE">
      <w:pPr>
        <w:spacing w:after="120"/>
        <w:ind w:left="360"/>
        <w:rPr>
          <w:szCs w:val="22"/>
        </w:rPr>
      </w:pPr>
      <w:r w:rsidRPr="00942C19">
        <w:rPr>
          <w:rFonts w:cs="Arial"/>
          <w:b/>
          <w:bCs/>
          <w:szCs w:val="22"/>
        </w:rPr>
        <w:t>(a) Consumers getting supply as per ‘Rural Schedule’ (other than Tehsil Head Quarters, Nagar Palikas and Nagar Panchayat Areas):</w:t>
      </w:r>
    </w:p>
    <w:tbl>
      <w:tblPr>
        <w:tblW w:w="0" w:type="auto"/>
        <w:tblInd w:w="480" w:type="dxa"/>
        <w:tblLayout w:type="fixed"/>
        <w:tblCellMar>
          <w:left w:w="30" w:type="dxa"/>
          <w:right w:w="30" w:type="dxa"/>
        </w:tblCellMar>
        <w:tblLook w:val="0000"/>
      </w:tblPr>
      <w:tblGrid>
        <w:gridCol w:w="2430"/>
        <w:gridCol w:w="3420"/>
        <w:gridCol w:w="2430"/>
      </w:tblGrid>
      <w:tr w:rsidR="00C802EE" w:rsidRPr="00942C19" w:rsidTr="00C652DB">
        <w:trPr>
          <w:cantSplit/>
          <w:trHeight w:val="282"/>
          <w:tblHeader/>
        </w:trPr>
        <w:tc>
          <w:tcPr>
            <w:tcW w:w="2430" w:type="dxa"/>
            <w:tcBorders>
              <w:top w:val="single" w:sz="6" w:space="0" w:color="auto"/>
              <w:left w:val="single" w:sz="6" w:space="0" w:color="auto"/>
              <w:bottom w:val="single" w:sz="4" w:space="0" w:color="auto"/>
            </w:tcBorders>
            <w:shd w:val="pct12" w:color="auto" w:fill="auto"/>
          </w:tcPr>
          <w:p w:rsidR="00C802EE" w:rsidRPr="00942C19" w:rsidRDefault="00C802EE" w:rsidP="00C652DB">
            <w:pPr>
              <w:jc w:val="center"/>
              <w:rPr>
                <w:rFonts w:cs="Arial"/>
                <w:b/>
                <w:color w:val="000000"/>
              </w:rPr>
            </w:pPr>
            <w:r w:rsidRPr="00942C19">
              <w:rPr>
                <w:rFonts w:cs="Arial"/>
                <w:b/>
                <w:color w:val="000000"/>
                <w:szCs w:val="22"/>
              </w:rPr>
              <w:t>Description</w:t>
            </w:r>
          </w:p>
        </w:tc>
        <w:tc>
          <w:tcPr>
            <w:tcW w:w="3420" w:type="dxa"/>
            <w:tcBorders>
              <w:top w:val="single" w:sz="4" w:space="0" w:color="auto"/>
              <w:left w:val="single" w:sz="4" w:space="0" w:color="auto"/>
              <w:bottom w:val="single" w:sz="4" w:space="0" w:color="auto"/>
              <w:right w:val="single" w:sz="4" w:space="0" w:color="auto"/>
            </w:tcBorders>
            <w:shd w:val="pct12" w:color="auto" w:fill="auto"/>
          </w:tcPr>
          <w:p w:rsidR="00C802EE" w:rsidRPr="00942C19" w:rsidRDefault="00C802EE" w:rsidP="00C652DB">
            <w:pPr>
              <w:jc w:val="center"/>
              <w:rPr>
                <w:rFonts w:cs="Arial"/>
                <w:b/>
                <w:color w:val="000000"/>
              </w:rPr>
            </w:pPr>
            <w:r w:rsidRPr="00942C19">
              <w:rPr>
                <w:rFonts w:cs="Arial"/>
                <w:b/>
                <w:color w:val="000000"/>
                <w:szCs w:val="22"/>
              </w:rPr>
              <w:t>Fixed charge</w:t>
            </w:r>
          </w:p>
        </w:tc>
        <w:tc>
          <w:tcPr>
            <w:tcW w:w="2430" w:type="dxa"/>
            <w:tcBorders>
              <w:top w:val="single" w:sz="4" w:space="0" w:color="auto"/>
              <w:left w:val="single" w:sz="4" w:space="0" w:color="auto"/>
              <w:bottom w:val="single" w:sz="4" w:space="0" w:color="auto"/>
              <w:right w:val="single" w:sz="4" w:space="0" w:color="auto"/>
            </w:tcBorders>
            <w:shd w:val="pct12" w:color="auto" w:fill="auto"/>
          </w:tcPr>
          <w:p w:rsidR="00C802EE" w:rsidRPr="00942C19" w:rsidRDefault="00C802EE" w:rsidP="00C652DB">
            <w:pPr>
              <w:jc w:val="center"/>
              <w:rPr>
                <w:rFonts w:cs="Arial"/>
                <w:b/>
                <w:color w:val="000000"/>
              </w:rPr>
            </w:pPr>
            <w:r w:rsidRPr="00942C19">
              <w:rPr>
                <w:rFonts w:cs="Arial"/>
                <w:b/>
                <w:color w:val="000000"/>
                <w:szCs w:val="22"/>
              </w:rPr>
              <w:t>Energy charge)</w:t>
            </w:r>
          </w:p>
        </w:tc>
      </w:tr>
      <w:tr w:rsidR="00C802EE" w:rsidRPr="00942C19" w:rsidTr="00C652DB">
        <w:trPr>
          <w:cantSplit/>
          <w:trHeight w:val="257"/>
        </w:trPr>
        <w:tc>
          <w:tcPr>
            <w:tcW w:w="2430" w:type="dxa"/>
            <w:tcBorders>
              <w:top w:val="single" w:sz="4" w:space="0" w:color="auto"/>
              <w:left w:val="single" w:sz="6" w:space="0" w:color="auto"/>
              <w:bottom w:val="single" w:sz="6" w:space="0" w:color="auto"/>
            </w:tcBorders>
          </w:tcPr>
          <w:p w:rsidR="00C802EE" w:rsidRPr="00942C19" w:rsidRDefault="00C802EE" w:rsidP="00C652DB">
            <w:pPr>
              <w:ind w:left="240"/>
              <w:rPr>
                <w:rFonts w:cs="Arial"/>
                <w:bCs/>
                <w:color w:val="000000"/>
              </w:rPr>
            </w:pPr>
            <w:r w:rsidRPr="00942C19">
              <w:rPr>
                <w:rFonts w:cs="Arial"/>
                <w:bCs/>
                <w:color w:val="000000"/>
                <w:szCs w:val="22"/>
              </w:rPr>
              <w:t xml:space="preserve"> i) Un-metered  </w:t>
            </w:r>
          </w:p>
        </w:tc>
        <w:tc>
          <w:tcPr>
            <w:tcW w:w="3420" w:type="dxa"/>
            <w:tcBorders>
              <w:top w:val="single" w:sz="4" w:space="0" w:color="auto"/>
              <w:left w:val="single" w:sz="4" w:space="0" w:color="auto"/>
              <w:bottom w:val="single" w:sz="4" w:space="0" w:color="auto"/>
              <w:right w:val="single" w:sz="4" w:space="0" w:color="auto"/>
            </w:tcBorders>
          </w:tcPr>
          <w:p w:rsidR="00C802EE" w:rsidRPr="00942C19" w:rsidRDefault="00C802EE" w:rsidP="00C652DB">
            <w:pPr>
              <w:jc w:val="center"/>
              <w:rPr>
                <w:rFonts w:cs="Arial"/>
                <w:color w:val="000000"/>
              </w:rPr>
            </w:pPr>
            <w:r w:rsidRPr="00942C19">
              <w:rPr>
                <w:rFonts w:cs="Arial"/>
                <w:color w:val="000000"/>
                <w:szCs w:val="22"/>
              </w:rPr>
              <w:t>Rs. 180 / connection / month</w:t>
            </w:r>
          </w:p>
        </w:tc>
        <w:tc>
          <w:tcPr>
            <w:tcW w:w="2430" w:type="dxa"/>
            <w:tcBorders>
              <w:top w:val="single" w:sz="4" w:space="0" w:color="auto"/>
              <w:left w:val="single" w:sz="4" w:space="0" w:color="auto"/>
              <w:bottom w:val="single" w:sz="4" w:space="0" w:color="auto"/>
              <w:right w:val="single" w:sz="4" w:space="0" w:color="auto"/>
            </w:tcBorders>
          </w:tcPr>
          <w:p w:rsidR="00C802EE" w:rsidRPr="00942C19" w:rsidRDefault="00C802EE" w:rsidP="00C652DB">
            <w:pPr>
              <w:jc w:val="center"/>
              <w:rPr>
                <w:rFonts w:cs="Arial"/>
                <w:color w:val="000000"/>
              </w:rPr>
            </w:pPr>
            <w:r w:rsidRPr="00942C19">
              <w:rPr>
                <w:rFonts w:cs="Arial"/>
                <w:color w:val="000000"/>
                <w:szCs w:val="22"/>
              </w:rPr>
              <w:t>Nil</w:t>
            </w:r>
          </w:p>
        </w:tc>
      </w:tr>
      <w:tr w:rsidR="00C802EE" w:rsidRPr="00942C19" w:rsidTr="00C652DB">
        <w:trPr>
          <w:cantSplit/>
          <w:trHeight w:val="275"/>
        </w:trPr>
        <w:tc>
          <w:tcPr>
            <w:tcW w:w="2430" w:type="dxa"/>
            <w:tcBorders>
              <w:top w:val="single" w:sz="6" w:space="0" w:color="auto"/>
              <w:left w:val="single" w:sz="6" w:space="0" w:color="auto"/>
              <w:bottom w:val="single" w:sz="6" w:space="0" w:color="auto"/>
            </w:tcBorders>
          </w:tcPr>
          <w:p w:rsidR="00C802EE" w:rsidRPr="00942C19" w:rsidRDefault="00C802EE" w:rsidP="00C652DB">
            <w:pPr>
              <w:ind w:left="240"/>
              <w:rPr>
                <w:rFonts w:cs="Arial"/>
                <w:bCs/>
                <w:color w:val="000000"/>
              </w:rPr>
            </w:pPr>
            <w:r w:rsidRPr="00942C19">
              <w:rPr>
                <w:rFonts w:cs="Arial"/>
                <w:bCs/>
                <w:szCs w:val="22"/>
              </w:rPr>
              <w:t xml:space="preserve"> ii) Metered </w:t>
            </w:r>
          </w:p>
        </w:tc>
        <w:tc>
          <w:tcPr>
            <w:tcW w:w="3420" w:type="dxa"/>
            <w:tcBorders>
              <w:top w:val="single" w:sz="4" w:space="0" w:color="auto"/>
              <w:left w:val="single" w:sz="4" w:space="0" w:color="auto"/>
              <w:bottom w:val="single" w:sz="4" w:space="0" w:color="auto"/>
              <w:right w:val="single" w:sz="4" w:space="0" w:color="auto"/>
            </w:tcBorders>
          </w:tcPr>
          <w:p w:rsidR="00C802EE" w:rsidRPr="00942C19" w:rsidRDefault="00C802EE" w:rsidP="00C652DB">
            <w:pPr>
              <w:jc w:val="center"/>
              <w:rPr>
                <w:rFonts w:cs="Arial"/>
                <w:color w:val="000000"/>
              </w:rPr>
            </w:pPr>
            <w:r w:rsidRPr="00942C19">
              <w:rPr>
                <w:color w:val="000000"/>
              </w:rPr>
              <w:t>Rs. 50 / kW / month</w:t>
            </w:r>
          </w:p>
        </w:tc>
        <w:tc>
          <w:tcPr>
            <w:tcW w:w="2430" w:type="dxa"/>
            <w:tcBorders>
              <w:top w:val="single" w:sz="4" w:space="0" w:color="auto"/>
              <w:left w:val="single" w:sz="4" w:space="0" w:color="auto"/>
              <w:bottom w:val="single" w:sz="4" w:space="0" w:color="auto"/>
              <w:right w:val="single" w:sz="4" w:space="0" w:color="auto"/>
            </w:tcBorders>
          </w:tcPr>
          <w:p w:rsidR="00C802EE" w:rsidRPr="00942C19" w:rsidRDefault="00C802EE" w:rsidP="00C652DB">
            <w:pPr>
              <w:jc w:val="center"/>
              <w:rPr>
                <w:rFonts w:cs="Arial"/>
                <w:color w:val="000000"/>
              </w:rPr>
            </w:pPr>
            <w:r w:rsidRPr="00942C19">
              <w:rPr>
                <w:rFonts w:cs="Arial"/>
                <w:color w:val="000000"/>
                <w:szCs w:val="22"/>
              </w:rPr>
              <w:t>Rs. 2.20 / kWh</w:t>
            </w:r>
          </w:p>
        </w:tc>
      </w:tr>
    </w:tbl>
    <w:p w:rsidR="00C802EE" w:rsidRPr="00942C19" w:rsidRDefault="00C802EE" w:rsidP="00C802EE">
      <w:pPr>
        <w:rPr>
          <w:rFonts w:cs="Arial"/>
          <w:b/>
          <w:bCs/>
          <w:szCs w:val="22"/>
        </w:rPr>
      </w:pPr>
    </w:p>
    <w:p w:rsidR="00C802EE" w:rsidRPr="00942C19" w:rsidRDefault="00C802EE" w:rsidP="00C802EE">
      <w:pPr>
        <w:ind w:firstLine="426"/>
        <w:rPr>
          <w:rFonts w:cs="Arial"/>
          <w:b/>
          <w:bCs/>
          <w:szCs w:val="22"/>
        </w:rPr>
      </w:pPr>
      <w:r w:rsidRPr="00942C19">
        <w:rPr>
          <w:rFonts w:cs="Arial"/>
          <w:b/>
          <w:bCs/>
          <w:szCs w:val="22"/>
        </w:rPr>
        <w:t>(b) Supply at Single Point for bulk loads:</w:t>
      </w:r>
    </w:p>
    <w:tbl>
      <w:tblPr>
        <w:tblW w:w="0" w:type="auto"/>
        <w:tblInd w:w="480" w:type="dxa"/>
        <w:tblLayout w:type="fixed"/>
        <w:tblCellMar>
          <w:left w:w="30" w:type="dxa"/>
          <w:right w:w="30" w:type="dxa"/>
        </w:tblCellMar>
        <w:tblLook w:val="0000"/>
      </w:tblPr>
      <w:tblGrid>
        <w:gridCol w:w="4370"/>
        <w:gridCol w:w="1955"/>
        <w:gridCol w:w="1955"/>
      </w:tblGrid>
      <w:tr w:rsidR="00C802EE" w:rsidRPr="00942C19" w:rsidTr="00D31265">
        <w:trPr>
          <w:cantSplit/>
          <w:trHeight w:val="199"/>
        </w:trPr>
        <w:tc>
          <w:tcPr>
            <w:tcW w:w="4370" w:type="dxa"/>
            <w:tcBorders>
              <w:top w:val="single" w:sz="4" w:space="0" w:color="auto"/>
              <w:left w:val="single" w:sz="6" w:space="0" w:color="auto"/>
              <w:bottom w:val="single" w:sz="6" w:space="0" w:color="auto"/>
              <w:right w:val="single" w:sz="4" w:space="0" w:color="auto"/>
            </w:tcBorders>
            <w:shd w:val="pct12" w:color="auto" w:fill="auto"/>
          </w:tcPr>
          <w:p w:rsidR="00C802EE" w:rsidRPr="00942C19" w:rsidRDefault="00C802EE" w:rsidP="00C652DB">
            <w:pPr>
              <w:jc w:val="center"/>
              <w:rPr>
                <w:rFonts w:cs="Arial"/>
                <w:b/>
                <w:bCs/>
              </w:rPr>
            </w:pPr>
            <w:r w:rsidRPr="00942C19">
              <w:rPr>
                <w:rFonts w:cs="Arial"/>
                <w:b/>
                <w:bCs/>
                <w:szCs w:val="22"/>
              </w:rPr>
              <w:t>Description</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942C19" w:rsidRDefault="00C802EE" w:rsidP="00C652DB">
            <w:pPr>
              <w:jc w:val="center"/>
              <w:rPr>
                <w:rFonts w:cs="Arial"/>
                <w:b/>
                <w:bCs/>
              </w:rPr>
            </w:pPr>
            <w:r w:rsidRPr="00942C19">
              <w:rPr>
                <w:rFonts w:cs="Arial"/>
                <w:b/>
                <w:bCs/>
                <w:szCs w:val="22"/>
              </w:rPr>
              <w:t>Fixed Charge</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942C19" w:rsidRDefault="00C802EE" w:rsidP="00C652DB">
            <w:pPr>
              <w:jc w:val="center"/>
              <w:rPr>
                <w:rFonts w:cs="Arial"/>
                <w:b/>
                <w:bCs/>
              </w:rPr>
            </w:pPr>
            <w:r w:rsidRPr="00942C19">
              <w:rPr>
                <w:rFonts w:cs="Arial"/>
                <w:b/>
                <w:bCs/>
                <w:szCs w:val="22"/>
              </w:rPr>
              <w:t xml:space="preserve">Energy Charge </w:t>
            </w:r>
          </w:p>
        </w:tc>
      </w:tr>
      <w:tr w:rsidR="00C802EE" w:rsidRPr="00942C19" w:rsidTr="00D31265">
        <w:trPr>
          <w:cantSplit/>
          <w:trHeight w:val="1398"/>
        </w:trPr>
        <w:tc>
          <w:tcPr>
            <w:tcW w:w="4370" w:type="dxa"/>
            <w:tcBorders>
              <w:top w:val="single" w:sz="6" w:space="0" w:color="auto"/>
              <w:left w:val="single" w:sz="6" w:space="0" w:color="auto"/>
              <w:bottom w:val="single" w:sz="6" w:space="0" w:color="auto"/>
              <w:right w:val="single" w:sz="4" w:space="0" w:color="auto"/>
            </w:tcBorders>
          </w:tcPr>
          <w:p w:rsidR="00C802EE" w:rsidRPr="00942C19" w:rsidRDefault="00C802EE" w:rsidP="00C652DB">
            <w:pPr>
              <w:tabs>
                <w:tab w:val="left" w:pos="60"/>
              </w:tabs>
              <w:ind w:left="60" w:right="150"/>
              <w:rPr>
                <w:rFonts w:cs="Arial"/>
                <w:color w:val="000000"/>
              </w:rPr>
            </w:pPr>
            <w:r w:rsidRPr="00942C19">
              <w:rPr>
                <w:szCs w:val="22"/>
              </w:rPr>
              <w:t xml:space="preserve">For Townships, Registered Societies, Residential Colonies, multi-storied residential complexes (including lifts, water pumps and common lighting within the premises) with loads 50 kW and above with the restriction that at least 70% of the total contracted load is meant exclusively for the domestic light, fan and power purposes and for Military Engineer Service (MES) for Defence Establishments (Mixed load without any load restriction).   </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942C19" w:rsidRDefault="00C802EE" w:rsidP="00C652DB">
            <w:pPr>
              <w:jc w:val="center"/>
              <w:rPr>
                <w:rFonts w:cs="Arial"/>
              </w:rPr>
            </w:pPr>
            <w:r w:rsidRPr="00942C19">
              <w:rPr>
                <w:rFonts w:cs="Arial"/>
                <w:color w:val="000000"/>
                <w:szCs w:val="22"/>
              </w:rPr>
              <w:t>Rs. 70.00 / kW / Month</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942C19" w:rsidRDefault="00C802EE" w:rsidP="00C652DB">
            <w:pPr>
              <w:ind w:left="-29"/>
              <w:jc w:val="center"/>
              <w:rPr>
                <w:rFonts w:cs="Arial"/>
                <w:color w:val="000000"/>
              </w:rPr>
            </w:pPr>
            <w:r w:rsidRPr="00942C19">
              <w:rPr>
                <w:rFonts w:cs="Arial"/>
                <w:color w:val="000000"/>
                <w:szCs w:val="22"/>
              </w:rPr>
              <w:t>Rs. 4.50 / kWh</w:t>
            </w:r>
          </w:p>
        </w:tc>
      </w:tr>
    </w:tbl>
    <w:p w:rsidR="00C802EE" w:rsidRPr="00942C19" w:rsidRDefault="00C802EE" w:rsidP="00C802EE">
      <w:pPr>
        <w:rPr>
          <w:szCs w:val="22"/>
        </w:rPr>
      </w:pPr>
    </w:p>
    <w:p w:rsidR="00C802EE" w:rsidRPr="00942C19" w:rsidRDefault="00C802EE" w:rsidP="00C802EE">
      <w:pPr>
        <w:ind w:left="450"/>
        <w:rPr>
          <w:szCs w:val="22"/>
        </w:rPr>
      </w:pPr>
      <w:r w:rsidRPr="00942C19">
        <w:rPr>
          <w:szCs w:val="22"/>
        </w:rPr>
        <w:t xml:space="preserve">The body seeking the supply at Single point for bulk loads under this category shall be considered as a deemed franchisee of the </w:t>
      </w:r>
      <w:r w:rsidR="009A3804" w:rsidRPr="00942C19">
        <w:rPr>
          <w:szCs w:val="22"/>
        </w:rPr>
        <w:t>Licensee</w:t>
      </w:r>
      <w:r w:rsidRPr="00942C19">
        <w:rPr>
          <w:szCs w:val="22"/>
        </w:rPr>
        <w:t>.</w:t>
      </w:r>
    </w:p>
    <w:p w:rsidR="00C802EE" w:rsidRPr="00942C19" w:rsidRDefault="00C802EE" w:rsidP="00C802EE">
      <w:pPr>
        <w:ind w:firstLine="450"/>
        <w:rPr>
          <w:rFonts w:cs="Arial"/>
          <w:b/>
          <w:bCs/>
          <w:szCs w:val="22"/>
        </w:rPr>
      </w:pPr>
    </w:p>
    <w:p w:rsidR="00C802EE" w:rsidRPr="00942C19" w:rsidRDefault="00C802EE" w:rsidP="00C802EE">
      <w:pPr>
        <w:ind w:firstLine="450"/>
        <w:rPr>
          <w:rFonts w:cs="Arial"/>
          <w:b/>
          <w:bCs/>
          <w:szCs w:val="22"/>
        </w:rPr>
      </w:pPr>
      <w:r w:rsidRPr="00942C19">
        <w:rPr>
          <w:rFonts w:cs="Arial"/>
          <w:b/>
          <w:bCs/>
          <w:szCs w:val="22"/>
        </w:rPr>
        <w:t>(c) OTHER METERED DOMESTIC CONSUMERS:</w:t>
      </w:r>
    </w:p>
    <w:p w:rsidR="00C802EE" w:rsidRPr="00942C19" w:rsidRDefault="00C802EE" w:rsidP="00C802EE">
      <w:pPr>
        <w:ind w:firstLine="450"/>
        <w:rPr>
          <w:rFonts w:cs="Arial"/>
          <w:b/>
          <w:bCs/>
          <w:szCs w:val="22"/>
        </w:rPr>
      </w:pPr>
    </w:p>
    <w:p w:rsidR="00C802EE" w:rsidRPr="00942C19" w:rsidRDefault="00C802EE" w:rsidP="00A818DC">
      <w:pPr>
        <w:numPr>
          <w:ilvl w:val="0"/>
          <w:numId w:val="71"/>
        </w:numPr>
        <w:tabs>
          <w:tab w:val="left" w:pos="1440"/>
        </w:tabs>
        <w:spacing w:before="0" w:line="288" w:lineRule="auto"/>
        <w:rPr>
          <w:szCs w:val="22"/>
        </w:rPr>
      </w:pPr>
      <w:r w:rsidRPr="00942C19">
        <w:rPr>
          <w:b/>
          <w:szCs w:val="22"/>
        </w:rPr>
        <w:t xml:space="preserve">Lifeline consumers: </w:t>
      </w:r>
      <w:r w:rsidRPr="00942C19">
        <w:rPr>
          <w:szCs w:val="22"/>
        </w:rPr>
        <w:t xml:space="preserve">Consumers with contracted load of 1 kW, energy consumption </w:t>
      </w:r>
      <w:r w:rsidR="00D31494" w:rsidRPr="00942C19">
        <w:rPr>
          <w:szCs w:val="22"/>
        </w:rPr>
        <w:t>up to</w:t>
      </w:r>
      <w:r w:rsidRPr="00942C19">
        <w:rPr>
          <w:szCs w:val="22"/>
        </w:rPr>
        <w:t xml:space="preserve"> 150 kWh / month. </w:t>
      </w:r>
    </w:p>
    <w:p w:rsidR="00C802EE" w:rsidRDefault="00C802EE" w:rsidP="00C802EE">
      <w:pPr>
        <w:tabs>
          <w:tab w:val="left" w:pos="1440"/>
        </w:tabs>
        <w:spacing w:line="288" w:lineRule="auto"/>
        <w:ind w:left="1080"/>
        <w:rPr>
          <w:b/>
          <w:szCs w:val="22"/>
        </w:rPr>
      </w:pPr>
    </w:p>
    <w:p w:rsidR="00965EE4" w:rsidRPr="00942C19" w:rsidRDefault="00965EE4" w:rsidP="00C802EE">
      <w:pPr>
        <w:tabs>
          <w:tab w:val="left" w:pos="1440"/>
        </w:tabs>
        <w:spacing w:line="288" w:lineRule="auto"/>
        <w:ind w:left="1080"/>
        <w:rPr>
          <w:b/>
          <w:szCs w:val="22"/>
        </w:rPr>
      </w:pPr>
    </w:p>
    <w:p w:rsidR="00D31265" w:rsidRPr="00942C19" w:rsidRDefault="00D31265" w:rsidP="00C802EE">
      <w:pPr>
        <w:tabs>
          <w:tab w:val="left" w:pos="1440"/>
        </w:tabs>
        <w:spacing w:line="288" w:lineRule="auto"/>
        <w:ind w:left="1080"/>
        <w:rPr>
          <w:b/>
          <w:szCs w:val="22"/>
        </w:rPr>
      </w:pPr>
    </w:p>
    <w:p w:rsidR="00D31265" w:rsidRPr="00942C19" w:rsidRDefault="00D31265" w:rsidP="00C802EE">
      <w:pPr>
        <w:tabs>
          <w:tab w:val="left" w:pos="1440"/>
        </w:tabs>
        <w:spacing w:line="288" w:lineRule="auto"/>
        <w:ind w:left="1080"/>
        <w:rPr>
          <w:b/>
          <w:szCs w:val="22"/>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12"/>
        <w:gridCol w:w="2700"/>
        <w:gridCol w:w="2070"/>
      </w:tblGrid>
      <w:tr w:rsidR="00C802EE" w:rsidRPr="00942C19" w:rsidTr="00C652DB">
        <w:trPr>
          <w:cantSplit/>
          <w:trHeight w:val="235"/>
          <w:tblHeader/>
        </w:trPr>
        <w:tc>
          <w:tcPr>
            <w:tcW w:w="3312" w:type="dxa"/>
            <w:shd w:val="pct12" w:color="auto" w:fill="auto"/>
          </w:tcPr>
          <w:p w:rsidR="00C802EE" w:rsidRPr="00942C19" w:rsidRDefault="00C802EE" w:rsidP="00C652DB">
            <w:pPr>
              <w:jc w:val="center"/>
              <w:rPr>
                <w:b/>
              </w:rPr>
            </w:pPr>
            <w:r w:rsidRPr="00942C19">
              <w:rPr>
                <w:b/>
                <w:szCs w:val="22"/>
              </w:rPr>
              <w:t>Description</w:t>
            </w:r>
          </w:p>
        </w:tc>
        <w:tc>
          <w:tcPr>
            <w:tcW w:w="2700" w:type="dxa"/>
            <w:shd w:val="pct12" w:color="auto" w:fill="auto"/>
          </w:tcPr>
          <w:p w:rsidR="00C802EE" w:rsidRPr="00942C19" w:rsidRDefault="00C802EE" w:rsidP="00C652DB">
            <w:pPr>
              <w:jc w:val="center"/>
              <w:rPr>
                <w:b/>
              </w:rPr>
            </w:pPr>
            <w:r w:rsidRPr="00942C19">
              <w:rPr>
                <w:b/>
                <w:szCs w:val="22"/>
              </w:rPr>
              <w:t>Fixed Charge</w:t>
            </w:r>
          </w:p>
        </w:tc>
        <w:tc>
          <w:tcPr>
            <w:tcW w:w="2070" w:type="dxa"/>
            <w:shd w:val="pct12" w:color="auto" w:fill="auto"/>
          </w:tcPr>
          <w:p w:rsidR="00C802EE" w:rsidRPr="00942C19" w:rsidRDefault="00C802EE" w:rsidP="00C652DB">
            <w:pPr>
              <w:jc w:val="center"/>
              <w:rPr>
                <w:b/>
              </w:rPr>
            </w:pPr>
            <w:r w:rsidRPr="00942C19">
              <w:rPr>
                <w:b/>
                <w:szCs w:val="22"/>
              </w:rPr>
              <w:t>Energy Charge</w:t>
            </w:r>
          </w:p>
        </w:tc>
      </w:tr>
      <w:tr w:rsidR="00C802EE" w:rsidRPr="00942C19" w:rsidTr="00C652DB">
        <w:trPr>
          <w:cantSplit/>
          <w:trHeight w:val="287"/>
        </w:trPr>
        <w:tc>
          <w:tcPr>
            <w:tcW w:w="3312" w:type="dxa"/>
          </w:tcPr>
          <w:p w:rsidR="00C802EE" w:rsidRPr="00942C19" w:rsidRDefault="00C802EE" w:rsidP="00C652DB">
            <w:pPr>
              <w:jc w:val="center"/>
            </w:pPr>
            <w:r w:rsidRPr="00942C19">
              <w:rPr>
                <w:szCs w:val="22"/>
              </w:rPr>
              <w:t xml:space="preserve">Loads of 1 kW only and for consumption </w:t>
            </w:r>
            <w:r w:rsidR="00D31494" w:rsidRPr="00942C19">
              <w:rPr>
                <w:szCs w:val="22"/>
              </w:rPr>
              <w:t>up to</w:t>
            </w:r>
            <w:r w:rsidRPr="00942C19">
              <w:rPr>
                <w:szCs w:val="22"/>
              </w:rPr>
              <w:t xml:space="preserve"> 100 kWh / month (0 to 100 kWh / month)</w:t>
            </w:r>
          </w:p>
        </w:tc>
        <w:tc>
          <w:tcPr>
            <w:tcW w:w="2700" w:type="dxa"/>
            <w:vMerge w:val="restart"/>
            <w:vAlign w:val="center"/>
          </w:tcPr>
          <w:p w:rsidR="00C802EE" w:rsidRPr="00942C19" w:rsidRDefault="00C802EE" w:rsidP="00C652DB">
            <w:pPr>
              <w:jc w:val="center"/>
            </w:pPr>
            <w:r w:rsidRPr="00942C19">
              <w:rPr>
                <w:szCs w:val="22"/>
              </w:rPr>
              <w:t>Rs. 50.00 / kW / month</w:t>
            </w:r>
          </w:p>
        </w:tc>
        <w:tc>
          <w:tcPr>
            <w:tcW w:w="2070" w:type="dxa"/>
            <w:vAlign w:val="center"/>
          </w:tcPr>
          <w:p w:rsidR="00C802EE" w:rsidRPr="00942C19" w:rsidRDefault="00C802EE" w:rsidP="00C652DB">
            <w:pPr>
              <w:ind w:left="-29"/>
              <w:jc w:val="center"/>
            </w:pPr>
            <w:r w:rsidRPr="00942C19">
              <w:rPr>
                <w:szCs w:val="22"/>
              </w:rPr>
              <w:t>Rs. 2.20 / kWh</w:t>
            </w:r>
          </w:p>
        </w:tc>
      </w:tr>
      <w:tr w:rsidR="00C802EE" w:rsidRPr="00942C19" w:rsidTr="00C652DB">
        <w:trPr>
          <w:cantSplit/>
          <w:trHeight w:val="287"/>
        </w:trPr>
        <w:tc>
          <w:tcPr>
            <w:tcW w:w="3312" w:type="dxa"/>
            <w:shd w:val="clear" w:color="auto" w:fill="auto"/>
          </w:tcPr>
          <w:p w:rsidR="00C802EE" w:rsidRPr="00942C19" w:rsidRDefault="00C802EE" w:rsidP="00C652DB">
            <w:pPr>
              <w:jc w:val="center"/>
            </w:pPr>
            <w:r w:rsidRPr="00942C19">
              <w:rPr>
                <w:szCs w:val="22"/>
              </w:rPr>
              <w:t xml:space="preserve">Loads of 1 kW only and for consumption above 100 kWh / month </w:t>
            </w:r>
            <w:r w:rsidR="00D31494" w:rsidRPr="00942C19">
              <w:rPr>
                <w:szCs w:val="22"/>
              </w:rPr>
              <w:t>up to</w:t>
            </w:r>
            <w:r w:rsidRPr="00942C19">
              <w:rPr>
                <w:szCs w:val="22"/>
              </w:rPr>
              <w:t xml:space="preserve"> 150 kWh / month (101 to 150 kWh / month)</w:t>
            </w:r>
          </w:p>
        </w:tc>
        <w:tc>
          <w:tcPr>
            <w:tcW w:w="2700" w:type="dxa"/>
            <w:vMerge/>
            <w:vAlign w:val="center"/>
          </w:tcPr>
          <w:p w:rsidR="00C802EE" w:rsidRPr="00942C19" w:rsidRDefault="00C802EE" w:rsidP="00C652DB">
            <w:pPr>
              <w:jc w:val="center"/>
            </w:pPr>
          </w:p>
        </w:tc>
        <w:tc>
          <w:tcPr>
            <w:tcW w:w="2070" w:type="dxa"/>
            <w:vAlign w:val="center"/>
          </w:tcPr>
          <w:p w:rsidR="00C802EE" w:rsidRPr="00942C19" w:rsidRDefault="00C802EE" w:rsidP="00C652DB">
            <w:pPr>
              <w:ind w:left="-29"/>
              <w:jc w:val="center"/>
            </w:pPr>
            <w:r w:rsidRPr="00942C19">
              <w:rPr>
                <w:szCs w:val="22"/>
              </w:rPr>
              <w:t>Rs. 2.60 / kWh</w:t>
            </w:r>
          </w:p>
        </w:tc>
      </w:tr>
    </w:tbl>
    <w:p w:rsidR="00C802EE" w:rsidRPr="00942C19" w:rsidRDefault="00C802EE" w:rsidP="00C802EE">
      <w:pPr>
        <w:ind w:firstLine="720"/>
        <w:rPr>
          <w:b/>
          <w:szCs w:val="22"/>
        </w:rPr>
      </w:pPr>
    </w:p>
    <w:p w:rsidR="00C802EE" w:rsidRPr="00942C19" w:rsidRDefault="00C802EE" w:rsidP="00A818DC">
      <w:pPr>
        <w:numPr>
          <w:ilvl w:val="0"/>
          <w:numId w:val="71"/>
        </w:numPr>
        <w:tabs>
          <w:tab w:val="left" w:pos="1440"/>
        </w:tabs>
        <w:spacing w:before="0" w:line="288" w:lineRule="auto"/>
        <w:rPr>
          <w:szCs w:val="22"/>
        </w:rPr>
      </w:pPr>
      <w:r w:rsidRPr="00942C19">
        <w:rPr>
          <w:b/>
          <w:szCs w:val="22"/>
        </w:rPr>
        <w:t xml:space="preserve">Others: </w:t>
      </w:r>
      <w:r w:rsidRPr="00942C19">
        <w:rPr>
          <w:szCs w:val="22"/>
        </w:rPr>
        <w:t>Other than life line consumers (i.e. consumers who do not qualify under the criteria laid down for lifeline consumers.)</w:t>
      </w:r>
    </w:p>
    <w:p w:rsidR="00C802EE" w:rsidRPr="00942C19" w:rsidRDefault="00C802EE" w:rsidP="00C802EE">
      <w:pPr>
        <w:tabs>
          <w:tab w:val="left" w:pos="1440"/>
        </w:tabs>
        <w:spacing w:line="288" w:lineRule="auto"/>
        <w:rPr>
          <w:szCs w:val="22"/>
        </w:rPr>
      </w:pPr>
    </w:p>
    <w:tbl>
      <w:tblPr>
        <w:tblW w:w="83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2802"/>
        <w:gridCol w:w="1980"/>
        <w:gridCol w:w="2160"/>
      </w:tblGrid>
      <w:tr w:rsidR="00C802EE" w:rsidRPr="00942C19" w:rsidTr="00C652DB">
        <w:tc>
          <w:tcPr>
            <w:tcW w:w="1428" w:type="dxa"/>
            <w:shd w:val="pct12" w:color="auto" w:fill="auto"/>
          </w:tcPr>
          <w:p w:rsidR="00C802EE" w:rsidRPr="00942C19" w:rsidRDefault="00C802EE" w:rsidP="00C652DB">
            <w:pPr>
              <w:keepNext/>
              <w:spacing w:after="120"/>
              <w:jc w:val="center"/>
              <w:rPr>
                <w:rFonts w:cs="Arial"/>
                <w:b/>
                <w:bCs/>
              </w:rPr>
            </w:pPr>
            <w:r w:rsidRPr="00942C19">
              <w:rPr>
                <w:rFonts w:cs="Arial"/>
                <w:b/>
                <w:bCs/>
              </w:rPr>
              <w:t>Description</w:t>
            </w:r>
          </w:p>
        </w:tc>
        <w:tc>
          <w:tcPr>
            <w:tcW w:w="2802" w:type="dxa"/>
            <w:shd w:val="pct12" w:color="auto" w:fill="auto"/>
          </w:tcPr>
          <w:p w:rsidR="00C802EE" w:rsidRPr="00942C19" w:rsidRDefault="00C802EE" w:rsidP="00C652DB">
            <w:pPr>
              <w:keepNext/>
              <w:spacing w:after="120"/>
              <w:jc w:val="center"/>
              <w:rPr>
                <w:rFonts w:cs="Arial"/>
                <w:b/>
                <w:bCs/>
              </w:rPr>
            </w:pPr>
            <w:r w:rsidRPr="00942C19">
              <w:rPr>
                <w:rFonts w:cs="Arial"/>
                <w:b/>
                <w:bCs/>
              </w:rPr>
              <w:t>Consumption Range</w:t>
            </w:r>
          </w:p>
        </w:tc>
        <w:tc>
          <w:tcPr>
            <w:tcW w:w="1980" w:type="dxa"/>
            <w:shd w:val="pct12" w:color="auto" w:fill="auto"/>
          </w:tcPr>
          <w:p w:rsidR="00C802EE" w:rsidRPr="00942C19" w:rsidRDefault="00C802EE" w:rsidP="00C652DB">
            <w:pPr>
              <w:keepNext/>
              <w:spacing w:after="120"/>
              <w:jc w:val="center"/>
              <w:rPr>
                <w:rFonts w:cs="Arial"/>
                <w:b/>
                <w:bCs/>
              </w:rPr>
            </w:pPr>
            <w:r w:rsidRPr="00942C19">
              <w:rPr>
                <w:rFonts w:cs="Arial"/>
                <w:b/>
                <w:bCs/>
              </w:rPr>
              <w:t>Fixed Charge</w:t>
            </w:r>
          </w:p>
        </w:tc>
        <w:tc>
          <w:tcPr>
            <w:tcW w:w="2160" w:type="dxa"/>
            <w:shd w:val="pct12" w:color="auto" w:fill="auto"/>
          </w:tcPr>
          <w:p w:rsidR="00C802EE" w:rsidRPr="00942C19" w:rsidRDefault="00C802EE" w:rsidP="00C652DB">
            <w:pPr>
              <w:keepNext/>
              <w:spacing w:after="120"/>
              <w:jc w:val="center"/>
              <w:rPr>
                <w:rFonts w:cs="Arial"/>
                <w:b/>
                <w:bCs/>
              </w:rPr>
            </w:pPr>
            <w:r w:rsidRPr="00942C19">
              <w:rPr>
                <w:rFonts w:cs="Arial"/>
                <w:b/>
                <w:bCs/>
              </w:rPr>
              <w:t>Energy Charge</w:t>
            </w:r>
          </w:p>
        </w:tc>
      </w:tr>
      <w:tr w:rsidR="00C802EE" w:rsidRPr="00942C19" w:rsidTr="00C652DB">
        <w:tc>
          <w:tcPr>
            <w:tcW w:w="1428" w:type="dxa"/>
            <w:vMerge w:val="restart"/>
            <w:vAlign w:val="center"/>
          </w:tcPr>
          <w:p w:rsidR="00C802EE" w:rsidRPr="00942C19" w:rsidRDefault="00C802EE" w:rsidP="00C652DB">
            <w:pPr>
              <w:keepNext/>
              <w:spacing w:after="120"/>
              <w:jc w:val="center"/>
              <w:rPr>
                <w:rFonts w:cs="Arial"/>
                <w:bCs/>
              </w:rPr>
            </w:pPr>
            <w:r w:rsidRPr="00942C19">
              <w:rPr>
                <w:rFonts w:cs="Arial"/>
                <w:bCs/>
              </w:rPr>
              <w:t>All loads</w:t>
            </w:r>
          </w:p>
        </w:tc>
        <w:tc>
          <w:tcPr>
            <w:tcW w:w="2802" w:type="dxa"/>
          </w:tcPr>
          <w:p w:rsidR="00C802EE" w:rsidRPr="00942C19" w:rsidRDefault="00D31494" w:rsidP="00C652DB">
            <w:pPr>
              <w:keepNext/>
              <w:spacing w:after="120"/>
              <w:jc w:val="left"/>
              <w:rPr>
                <w:rFonts w:cs="Arial"/>
                <w:bCs/>
              </w:rPr>
            </w:pPr>
            <w:r w:rsidRPr="00942C19">
              <w:rPr>
                <w:rFonts w:cs="Arial"/>
                <w:bCs/>
              </w:rPr>
              <w:t>Upton</w:t>
            </w:r>
            <w:r w:rsidR="00C802EE" w:rsidRPr="00942C19">
              <w:rPr>
                <w:rFonts w:cs="Arial"/>
                <w:bCs/>
              </w:rPr>
              <w:t xml:space="preserve"> 200 kWh / month</w:t>
            </w:r>
          </w:p>
        </w:tc>
        <w:tc>
          <w:tcPr>
            <w:tcW w:w="1980" w:type="dxa"/>
            <w:vMerge w:val="restart"/>
            <w:vAlign w:val="center"/>
          </w:tcPr>
          <w:p w:rsidR="00C802EE" w:rsidRPr="00942C19" w:rsidRDefault="00C802EE" w:rsidP="00C652DB">
            <w:pPr>
              <w:keepNext/>
              <w:spacing w:after="120"/>
              <w:jc w:val="center"/>
              <w:rPr>
                <w:rFonts w:cs="Arial"/>
                <w:bCs/>
              </w:rPr>
            </w:pPr>
            <w:r w:rsidRPr="00942C19">
              <w:rPr>
                <w:bCs/>
              </w:rPr>
              <w:t>Rs. 75.00 / kW / month</w:t>
            </w:r>
          </w:p>
        </w:tc>
        <w:tc>
          <w:tcPr>
            <w:tcW w:w="2160" w:type="dxa"/>
          </w:tcPr>
          <w:p w:rsidR="00C802EE" w:rsidRPr="00942C19" w:rsidRDefault="00C802EE" w:rsidP="00C652DB">
            <w:pPr>
              <w:keepNext/>
              <w:spacing w:after="120"/>
              <w:rPr>
                <w:rFonts w:cs="Arial"/>
                <w:bCs/>
              </w:rPr>
            </w:pPr>
            <w:r w:rsidRPr="00942C19">
              <w:rPr>
                <w:rFonts w:cs="Arial"/>
                <w:bCs/>
              </w:rPr>
              <w:t>Rs. 4.00 / kWh</w:t>
            </w:r>
          </w:p>
        </w:tc>
      </w:tr>
      <w:tr w:rsidR="00C802EE" w:rsidRPr="00942C19" w:rsidTr="00C652DB">
        <w:trPr>
          <w:trHeight w:val="134"/>
        </w:trPr>
        <w:tc>
          <w:tcPr>
            <w:tcW w:w="1428" w:type="dxa"/>
            <w:vMerge/>
            <w:vAlign w:val="center"/>
          </w:tcPr>
          <w:p w:rsidR="00C802EE" w:rsidRPr="00942C19" w:rsidRDefault="00C802EE" w:rsidP="00C652DB">
            <w:pPr>
              <w:keepNext/>
              <w:spacing w:after="120"/>
              <w:jc w:val="center"/>
              <w:rPr>
                <w:rFonts w:cs="Arial"/>
                <w:bCs/>
              </w:rPr>
            </w:pPr>
          </w:p>
        </w:tc>
        <w:tc>
          <w:tcPr>
            <w:tcW w:w="2802" w:type="dxa"/>
            <w:vAlign w:val="center"/>
          </w:tcPr>
          <w:p w:rsidR="00C802EE" w:rsidRPr="00942C19" w:rsidRDefault="00C802EE" w:rsidP="00C652DB">
            <w:pPr>
              <w:keepNext/>
              <w:jc w:val="left"/>
              <w:rPr>
                <w:rFonts w:cs="Arial"/>
                <w:bCs/>
              </w:rPr>
            </w:pPr>
            <w:r w:rsidRPr="00942C19">
              <w:rPr>
                <w:rFonts w:cs="Arial"/>
                <w:bCs/>
              </w:rPr>
              <w:t>201 – 500 kWh / month</w:t>
            </w:r>
          </w:p>
        </w:tc>
        <w:tc>
          <w:tcPr>
            <w:tcW w:w="1980" w:type="dxa"/>
            <w:vMerge/>
          </w:tcPr>
          <w:p w:rsidR="00C802EE" w:rsidRPr="00942C19" w:rsidRDefault="00C802EE" w:rsidP="00C652DB">
            <w:pPr>
              <w:keepNext/>
              <w:spacing w:after="120"/>
              <w:rPr>
                <w:bCs/>
              </w:rPr>
            </w:pPr>
          </w:p>
        </w:tc>
        <w:tc>
          <w:tcPr>
            <w:tcW w:w="2160" w:type="dxa"/>
          </w:tcPr>
          <w:p w:rsidR="00C802EE" w:rsidRPr="00942C19" w:rsidRDefault="00C802EE" w:rsidP="00C652DB">
            <w:pPr>
              <w:keepNext/>
              <w:spacing w:after="120"/>
              <w:rPr>
                <w:rFonts w:cs="Arial"/>
                <w:bCs/>
              </w:rPr>
            </w:pPr>
            <w:r w:rsidRPr="00942C19">
              <w:rPr>
                <w:rFonts w:cs="Arial"/>
                <w:bCs/>
              </w:rPr>
              <w:t>Rs. 4.50 / kWh</w:t>
            </w:r>
          </w:p>
        </w:tc>
      </w:tr>
      <w:tr w:rsidR="00C802EE" w:rsidRPr="00942C19" w:rsidTr="00C652DB">
        <w:trPr>
          <w:trHeight w:val="134"/>
        </w:trPr>
        <w:tc>
          <w:tcPr>
            <w:tcW w:w="1428" w:type="dxa"/>
            <w:vMerge/>
            <w:vAlign w:val="center"/>
          </w:tcPr>
          <w:p w:rsidR="00C802EE" w:rsidRPr="00942C19" w:rsidRDefault="00C802EE" w:rsidP="00C652DB">
            <w:pPr>
              <w:keepNext/>
              <w:spacing w:after="120"/>
              <w:jc w:val="center"/>
              <w:rPr>
                <w:rFonts w:cs="Arial"/>
                <w:bCs/>
              </w:rPr>
            </w:pPr>
          </w:p>
        </w:tc>
        <w:tc>
          <w:tcPr>
            <w:tcW w:w="2802" w:type="dxa"/>
            <w:vAlign w:val="center"/>
          </w:tcPr>
          <w:p w:rsidR="00C802EE" w:rsidRPr="00942C19" w:rsidRDefault="00C802EE" w:rsidP="00C652DB">
            <w:pPr>
              <w:keepNext/>
              <w:jc w:val="left"/>
              <w:rPr>
                <w:rFonts w:cs="Arial"/>
                <w:bCs/>
              </w:rPr>
            </w:pPr>
            <w:r w:rsidRPr="00942C19">
              <w:rPr>
                <w:rFonts w:cs="Arial"/>
                <w:bCs/>
              </w:rPr>
              <w:t>Above 500 kWh / month</w:t>
            </w:r>
          </w:p>
          <w:p w:rsidR="00C802EE" w:rsidRPr="00942C19" w:rsidRDefault="00C802EE" w:rsidP="00C652DB">
            <w:pPr>
              <w:keepNext/>
              <w:jc w:val="left"/>
              <w:rPr>
                <w:rFonts w:cs="Arial"/>
                <w:bCs/>
              </w:rPr>
            </w:pPr>
            <w:r w:rsidRPr="00942C19">
              <w:rPr>
                <w:rFonts w:cs="Arial"/>
                <w:bCs/>
              </w:rPr>
              <w:t>(From 501</w:t>
            </w:r>
            <w:r w:rsidRPr="00942C19">
              <w:rPr>
                <w:rFonts w:cs="Arial"/>
                <w:bCs/>
                <w:vertAlign w:val="superscript"/>
              </w:rPr>
              <w:t>st</w:t>
            </w:r>
            <w:r w:rsidRPr="00942C19">
              <w:rPr>
                <w:rFonts w:cs="Arial"/>
                <w:bCs/>
              </w:rPr>
              <w:t xml:space="preserve"> unit onwards)</w:t>
            </w:r>
          </w:p>
        </w:tc>
        <w:tc>
          <w:tcPr>
            <w:tcW w:w="1980" w:type="dxa"/>
            <w:vMerge/>
          </w:tcPr>
          <w:p w:rsidR="00C802EE" w:rsidRPr="00942C19" w:rsidRDefault="00C802EE" w:rsidP="00C652DB">
            <w:pPr>
              <w:keepNext/>
              <w:spacing w:after="120"/>
              <w:rPr>
                <w:bCs/>
              </w:rPr>
            </w:pPr>
          </w:p>
        </w:tc>
        <w:tc>
          <w:tcPr>
            <w:tcW w:w="2160" w:type="dxa"/>
          </w:tcPr>
          <w:p w:rsidR="00C802EE" w:rsidRPr="00942C19" w:rsidRDefault="00C802EE" w:rsidP="00C652DB">
            <w:pPr>
              <w:keepNext/>
              <w:spacing w:after="120"/>
              <w:rPr>
                <w:rFonts w:cs="Arial"/>
                <w:bCs/>
              </w:rPr>
            </w:pPr>
            <w:r w:rsidRPr="00942C19">
              <w:rPr>
                <w:rFonts w:cs="Arial"/>
                <w:bCs/>
              </w:rPr>
              <w:t>Rs. 5.00 / kWh</w:t>
            </w:r>
          </w:p>
        </w:tc>
      </w:tr>
    </w:tbl>
    <w:p w:rsidR="00C802EE" w:rsidRPr="00942C19" w:rsidRDefault="00C802EE" w:rsidP="00C802EE">
      <w:pPr>
        <w:ind w:firstLine="450"/>
        <w:rPr>
          <w:rFonts w:cs="Arial"/>
          <w:b/>
          <w:bCs/>
          <w:szCs w:val="22"/>
        </w:rPr>
      </w:pPr>
    </w:p>
    <w:p w:rsidR="00C802EE" w:rsidRPr="00942C19" w:rsidRDefault="00C802EE" w:rsidP="00C802EE">
      <w:pPr>
        <w:ind w:firstLine="450"/>
        <w:rPr>
          <w:rFonts w:cs="Arial"/>
          <w:b/>
          <w:bCs/>
          <w:szCs w:val="22"/>
        </w:rPr>
      </w:pPr>
      <w:r w:rsidRPr="00942C19">
        <w:rPr>
          <w:rFonts w:cs="Arial"/>
          <w:b/>
          <w:bCs/>
          <w:szCs w:val="22"/>
        </w:rPr>
        <w:t xml:space="preserve">Note: </w:t>
      </w:r>
    </w:p>
    <w:p w:rsidR="00C802EE" w:rsidRPr="00942C19" w:rsidRDefault="00C802EE" w:rsidP="00C802EE">
      <w:pPr>
        <w:ind w:left="1080" w:hanging="360"/>
      </w:pPr>
      <w:r w:rsidRPr="00942C19">
        <w:rPr>
          <w:rFonts w:cs="Arial"/>
          <w:bCs/>
          <w:szCs w:val="22"/>
        </w:rPr>
        <w:t>1.</w:t>
      </w:r>
      <w:r w:rsidRPr="00942C19">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942C19">
        <w:rPr>
          <w:rFonts w:cs="Arial"/>
          <w:bCs/>
          <w:szCs w:val="22"/>
        </w:rPr>
        <w:t>Licensee</w:t>
      </w:r>
      <w:r w:rsidRPr="00942C19">
        <w:rPr>
          <w:rFonts w:cs="Arial"/>
          <w:bCs/>
          <w:szCs w:val="22"/>
        </w:rPr>
        <w:t>. Accordingly, if the bill is being prepared on the basis of reading being submitted by the consumer then the consumer would not be liable to furnish maximum demand during the month and his bill would not be held back for lack of data on maximum demand. Recording of such maximum demand will be used for the purpose of system planning and consumer education in the current tariff year.</w:t>
      </w:r>
      <w:r w:rsidRPr="00942C19">
        <w:rPr>
          <w:b/>
          <w:szCs w:val="22"/>
        </w:rPr>
        <w:tab/>
      </w:r>
    </w:p>
    <w:p w:rsidR="00C802EE" w:rsidRPr="00942C19" w:rsidRDefault="00C802EE" w:rsidP="00C802EE">
      <w:pPr>
        <w:ind w:left="720"/>
        <w:rPr>
          <w:rFonts w:cs="Arial"/>
        </w:rPr>
        <w:sectPr w:rsidR="00C802EE" w:rsidRPr="00942C19" w:rsidSect="00F0647B">
          <w:headerReference w:type="default" r:id="rId39"/>
          <w:footerReference w:type="default" r:id="rId40"/>
          <w:pgSz w:w="11909" w:h="16834" w:code="9"/>
          <w:pgMar w:top="992" w:right="1440" w:bottom="1440" w:left="1729" w:header="1008" w:footer="1008" w:gutter="0"/>
          <w:cols w:space="720"/>
        </w:sectPr>
      </w:pPr>
    </w:p>
    <w:p w:rsidR="00C802EE" w:rsidRPr="00942C19" w:rsidRDefault="00C802EE" w:rsidP="00C802EE">
      <w:pPr>
        <w:jc w:val="center"/>
        <w:rPr>
          <w:b/>
          <w:u w:val="single"/>
        </w:rPr>
      </w:pPr>
      <w:r w:rsidRPr="00942C19">
        <w:rPr>
          <w:b/>
          <w:u w:val="single"/>
        </w:rPr>
        <w:t>RATE SCHEDULE LMV– 2:</w:t>
      </w:r>
    </w:p>
    <w:p w:rsidR="00C802EE" w:rsidRPr="00942C19" w:rsidRDefault="00C802EE" w:rsidP="00C802EE">
      <w:pPr>
        <w:jc w:val="center"/>
      </w:pPr>
    </w:p>
    <w:p w:rsidR="00C802EE" w:rsidRPr="00942C19" w:rsidRDefault="00C802EE" w:rsidP="00C802EE">
      <w:pPr>
        <w:jc w:val="center"/>
        <w:rPr>
          <w:b/>
        </w:rPr>
      </w:pPr>
      <w:r w:rsidRPr="00942C19">
        <w:rPr>
          <w:b/>
        </w:rPr>
        <w:t>NON DOMESTIC LIGHT, FAN AND POWER:</w:t>
      </w:r>
    </w:p>
    <w:p w:rsidR="00C802EE" w:rsidRPr="00942C19" w:rsidRDefault="00C802EE" w:rsidP="00C802EE">
      <w:pPr>
        <w:jc w:val="center"/>
        <w:rPr>
          <w:b/>
        </w:rPr>
      </w:pPr>
    </w:p>
    <w:p w:rsidR="00C802EE" w:rsidRPr="00942C19" w:rsidRDefault="00C802EE" w:rsidP="00C802EE">
      <w:pPr>
        <w:rPr>
          <w:b/>
        </w:rPr>
      </w:pPr>
      <w:r w:rsidRPr="00942C19">
        <w:rPr>
          <w:b/>
        </w:rPr>
        <w:t>1.</w:t>
      </w:r>
      <w:r w:rsidRPr="00942C19">
        <w:rPr>
          <w:b/>
        </w:rPr>
        <w:tab/>
        <w:t>APPLICABILITY:</w:t>
      </w:r>
    </w:p>
    <w:p w:rsidR="00C802EE" w:rsidRPr="00942C19" w:rsidRDefault="00C802EE" w:rsidP="00C802EE">
      <w:pPr>
        <w:ind w:left="720"/>
        <w:rPr>
          <w:szCs w:val="22"/>
        </w:rPr>
      </w:pPr>
      <w:r w:rsidRPr="00942C19">
        <w:rPr>
          <w:szCs w:val="22"/>
        </w:rPr>
        <w:t xml:space="preserve">This schedule shall apply to all consumers using electric energy for Light, Fan and Power loads for Non-Domestic purposes, like all type of Shops, Hotels, Restaurants, Private Guest Houses, Private Transit Hostels, Private Students Hostels, Marriage Houses, Show-Rooms, Commercial / Trading Establishments, Cinema and Theatres, Banks, Cable T.V. Operators, Telephone Booths / PCO (STD / ISD), Fax Communication Centres, Photo Copiers, Cyber Café, Private Diagnostic Centres including X-Ray Plants, MRI Centres, CAT Scan Centres, Pathologies and Private Advertising / Sign Posts / Sign Boards, Commercial Institutions / Societies, Automobile Service Centres, Coaching Institutes, Private Museums, Power Looms with less than 5 kW load and for all companies registered under Companies Act-1956 with loads less than 75 kW and getting supply at low voltages. </w:t>
      </w:r>
    </w:p>
    <w:p w:rsidR="00C802EE" w:rsidRPr="00942C19" w:rsidRDefault="00C802EE" w:rsidP="00C802EE">
      <w:pPr>
        <w:ind w:left="720"/>
        <w:rPr>
          <w:szCs w:val="22"/>
        </w:rPr>
      </w:pPr>
    </w:p>
    <w:p w:rsidR="00C802EE" w:rsidRPr="00942C19" w:rsidRDefault="00C802EE" w:rsidP="00C802EE">
      <w:pPr>
        <w:ind w:left="720" w:hanging="720"/>
        <w:rPr>
          <w:b/>
          <w:szCs w:val="22"/>
        </w:rPr>
      </w:pPr>
      <w:r w:rsidRPr="00942C19">
        <w:rPr>
          <w:b/>
          <w:szCs w:val="22"/>
        </w:rPr>
        <w:t>2</w:t>
      </w:r>
      <w:r w:rsidRPr="00942C19">
        <w:rPr>
          <w:szCs w:val="22"/>
        </w:rPr>
        <w:t>.</w:t>
      </w:r>
      <w:r w:rsidRPr="00942C19">
        <w:rPr>
          <w:szCs w:val="22"/>
        </w:rPr>
        <w:tab/>
      </w:r>
      <w:r w:rsidRPr="00942C19">
        <w:rPr>
          <w:b/>
          <w:szCs w:val="22"/>
        </w:rPr>
        <w:t>Character and Point of Supply:</w:t>
      </w:r>
    </w:p>
    <w:p w:rsidR="00C802EE" w:rsidRPr="00942C19" w:rsidRDefault="00C802EE" w:rsidP="00C802EE">
      <w:pPr>
        <w:spacing w:line="240" w:lineRule="auto"/>
        <w:ind w:left="360" w:right="-58" w:firstLine="360"/>
        <w:rPr>
          <w:rFonts w:cs="Arial"/>
          <w:szCs w:val="22"/>
        </w:rPr>
      </w:pPr>
      <w:r w:rsidRPr="00942C19">
        <w:rPr>
          <w:szCs w:val="22"/>
        </w:rPr>
        <w:t>As per the applicable provisions of Electricity Supply Code.</w:t>
      </w:r>
    </w:p>
    <w:p w:rsidR="00C802EE" w:rsidRPr="00942C19" w:rsidRDefault="00C802EE" w:rsidP="00C802EE"/>
    <w:p w:rsidR="00C802EE" w:rsidRPr="00942C19" w:rsidRDefault="00C802EE" w:rsidP="00C802EE">
      <w:pPr>
        <w:rPr>
          <w:b/>
        </w:rPr>
      </w:pPr>
      <w:r w:rsidRPr="00942C19">
        <w:rPr>
          <w:b/>
        </w:rPr>
        <w:t xml:space="preserve">3. </w:t>
      </w:r>
      <w:r w:rsidRPr="00942C19">
        <w:rPr>
          <w:b/>
        </w:rPr>
        <w:tab/>
        <w:t>RATE:</w:t>
      </w:r>
    </w:p>
    <w:p w:rsidR="00C802EE" w:rsidRPr="00942C19" w:rsidRDefault="00C802EE" w:rsidP="00C802EE">
      <w:pPr>
        <w:spacing w:before="100" w:beforeAutospacing="1" w:after="240"/>
        <w:ind w:left="720"/>
        <w:rPr>
          <w:szCs w:val="22"/>
        </w:rPr>
      </w:pPr>
      <w:r w:rsidRPr="00942C19">
        <w:rPr>
          <w:szCs w:val="22"/>
        </w:rPr>
        <w:t xml:space="preserve">Rate, gives the fixed and energy charges at which the consumer shall be billed for his consumption during the billing period applicable to the category: </w:t>
      </w:r>
    </w:p>
    <w:p w:rsidR="00C802EE" w:rsidRPr="00942C19" w:rsidRDefault="00C802EE" w:rsidP="00C802EE">
      <w:pPr>
        <w:spacing w:before="100" w:beforeAutospacing="1" w:after="240"/>
        <w:ind w:left="851" w:hanging="567"/>
        <w:rPr>
          <w:rFonts w:cs="Arial"/>
          <w:b/>
          <w:bCs/>
          <w:szCs w:val="22"/>
        </w:rPr>
      </w:pPr>
      <w:r w:rsidRPr="00942C19">
        <w:rPr>
          <w:rFonts w:cs="Arial"/>
          <w:b/>
          <w:bCs/>
          <w:szCs w:val="22"/>
        </w:rPr>
        <w:t xml:space="preserve">  (a) Consumers getting supply as per ‘Rural Schedule’ (other than Tehsil Head  Quarters, Nagar Palikas and Nagar Panchayat Areas):</w:t>
      </w:r>
    </w:p>
    <w:tbl>
      <w:tblPr>
        <w:tblpPr w:leftFromText="180" w:rightFromText="180" w:vertAnchor="text" w:horzAnchor="margin" w:tblpXSpec="center" w:tblpY="174"/>
        <w:tblW w:w="6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18"/>
        <w:gridCol w:w="3060"/>
        <w:gridCol w:w="1800"/>
      </w:tblGrid>
      <w:tr w:rsidR="00C802EE" w:rsidRPr="00942C19" w:rsidTr="00C652DB">
        <w:trPr>
          <w:trHeight w:val="246"/>
        </w:trPr>
        <w:tc>
          <w:tcPr>
            <w:tcW w:w="1818" w:type="dxa"/>
            <w:shd w:val="pct12" w:color="auto" w:fill="auto"/>
          </w:tcPr>
          <w:p w:rsidR="00C802EE" w:rsidRPr="00942C19" w:rsidRDefault="00C802EE" w:rsidP="00C652DB">
            <w:pPr>
              <w:ind w:right="-45"/>
              <w:jc w:val="center"/>
              <w:rPr>
                <w:rFonts w:cs="Arial"/>
                <w:b/>
              </w:rPr>
            </w:pPr>
            <w:r w:rsidRPr="00942C19">
              <w:rPr>
                <w:szCs w:val="22"/>
              </w:rPr>
              <w:br w:type="page"/>
            </w:r>
            <w:r w:rsidRPr="00942C19">
              <w:rPr>
                <w:rFonts w:cs="Arial"/>
                <w:b/>
                <w:szCs w:val="22"/>
              </w:rPr>
              <w:t>Description</w:t>
            </w:r>
          </w:p>
        </w:tc>
        <w:tc>
          <w:tcPr>
            <w:tcW w:w="3060" w:type="dxa"/>
            <w:tcBorders>
              <w:top w:val="single" w:sz="4" w:space="0" w:color="auto"/>
              <w:right w:val="single" w:sz="4" w:space="0" w:color="auto"/>
            </w:tcBorders>
            <w:shd w:val="pct12" w:color="auto" w:fill="auto"/>
          </w:tcPr>
          <w:p w:rsidR="00C802EE" w:rsidRPr="00942C19" w:rsidRDefault="00C802EE" w:rsidP="00C652DB">
            <w:pPr>
              <w:ind w:right="-122"/>
              <w:jc w:val="center"/>
              <w:rPr>
                <w:rFonts w:cs="Arial"/>
                <w:b/>
              </w:rPr>
            </w:pPr>
            <w:r w:rsidRPr="00942C19">
              <w:rPr>
                <w:rFonts w:cs="Arial"/>
                <w:b/>
                <w:szCs w:val="22"/>
              </w:rPr>
              <w:t>Fixed Charge</w:t>
            </w:r>
          </w:p>
        </w:tc>
        <w:tc>
          <w:tcPr>
            <w:tcW w:w="1800" w:type="dxa"/>
            <w:tcBorders>
              <w:top w:val="single" w:sz="4" w:space="0" w:color="auto"/>
              <w:left w:val="single" w:sz="4" w:space="0" w:color="auto"/>
            </w:tcBorders>
            <w:shd w:val="pct12" w:color="auto" w:fill="auto"/>
          </w:tcPr>
          <w:p w:rsidR="00C802EE" w:rsidRPr="00942C19" w:rsidRDefault="00C802EE" w:rsidP="00C652DB">
            <w:pPr>
              <w:ind w:right="-122"/>
              <w:jc w:val="center"/>
              <w:rPr>
                <w:rFonts w:cs="Arial"/>
                <w:b/>
              </w:rPr>
            </w:pPr>
            <w:r w:rsidRPr="00942C19">
              <w:rPr>
                <w:rFonts w:cs="Arial"/>
                <w:b/>
                <w:szCs w:val="22"/>
              </w:rPr>
              <w:t>Energy charge</w:t>
            </w:r>
          </w:p>
        </w:tc>
      </w:tr>
      <w:tr w:rsidR="00C802EE" w:rsidRPr="00942C19" w:rsidTr="00C652DB">
        <w:tc>
          <w:tcPr>
            <w:tcW w:w="1818" w:type="dxa"/>
          </w:tcPr>
          <w:p w:rsidR="00C802EE" w:rsidRPr="00942C19" w:rsidRDefault="00C802EE" w:rsidP="00C652DB">
            <w:pPr>
              <w:ind w:right="-4"/>
              <w:rPr>
                <w:rFonts w:cs="Arial"/>
              </w:rPr>
            </w:pPr>
            <w:r w:rsidRPr="00942C19">
              <w:rPr>
                <w:rFonts w:cs="Arial"/>
                <w:szCs w:val="22"/>
              </w:rPr>
              <w:t>(i)   Un-metered</w:t>
            </w:r>
          </w:p>
        </w:tc>
        <w:tc>
          <w:tcPr>
            <w:tcW w:w="3060" w:type="dxa"/>
          </w:tcPr>
          <w:p w:rsidR="00C802EE" w:rsidRPr="00942C19" w:rsidRDefault="00C802EE" w:rsidP="00C652DB">
            <w:pPr>
              <w:ind w:right="-18"/>
              <w:rPr>
                <w:bCs/>
              </w:rPr>
            </w:pPr>
            <w:r w:rsidRPr="00942C19">
              <w:rPr>
                <w:szCs w:val="22"/>
              </w:rPr>
              <w:t>Rs. 300 / connection / month</w:t>
            </w:r>
          </w:p>
        </w:tc>
        <w:tc>
          <w:tcPr>
            <w:tcW w:w="1800" w:type="dxa"/>
          </w:tcPr>
          <w:p w:rsidR="00C802EE" w:rsidRPr="00942C19" w:rsidRDefault="00C802EE" w:rsidP="00C652DB">
            <w:pPr>
              <w:ind w:right="-18"/>
              <w:jc w:val="center"/>
              <w:rPr>
                <w:rFonts w:cs="Arial"/>
              </w:rPr>
            </w:pPr>
            <w:r w:rsidRPr="00942C19">
              <w:rPr>
                <w:rFonts w:cs="Arial"/>
                <w:szCs w:val="22"/>
              </w:rPr>
              <w:t>Nil</w:t>
            </w:r>
          </w:p>
        </w:tc>
      </w:tr>
      <w:tr w:rsidR="00C802EE" w:rsidRPr="00942C19" w:rsidTr="00C652DB">
        <w:tc>
          <w:tcPr>
            <w:tcW w:w="1818" w:type="dxa"/>
          </w:tcPr>
          <w:p w:rsidR="00C802EE" w:rsidRPr="00942C19" w:rsidRDefault="00C802EE" w:rsidP="00C652DB">
            <w:pPr>
              <w:ind w:right="-4"/>
              <w:rPr>
                <w:rFonts w:cs="Arial"/>
              </w:rPr>
            </w:pPr>
            <w:r w:rsidRPr="00942C19">
              <w:rPr>
                <w:rFonts w:cs="Arial"/>
                <w:szCs w:val="22"/>
              </w:rPr>
              <w:t>(ii)  Metered</w:t>
            </w:r>
          </w:p>
        </w:tc>
        <w:tc>
          <w:tcPr>
            <w:tcW w:w="3060" w:type="dxa"/>
          </w:tcPr>
          <w:p w:rsidR="00C802EE" w:rsidRPr="00942C19" w:rsidRDefault="00C802EE" w:rsidP="00C652DB">
            <w:pPr>
              <w:ind w:right="-108"/>
            </w:pPr>
            <w:r w:rsidRPr="00942C19">
              <w:rPr>
                <w:szCs w:val="22"/>
              </w:rPr>
              <w:t>Rs. 65 / kW / month</w:t>
            </w:r>
          </w:p>
        </w:tc>
        <w:tc>
          <w:tcPr>
            <w:tcW w:w="1800" w:type="dxa"/>
          </w:tcPr>
          <w:p w:rsidR="00C802EE" w:rsidRPr="00942C19" w:rsidRDefault="00C802EE" w:rsidP="00C652DB">
            <w:pPr>
              <w:ind w:right="-18"/>
              <w:rPr>
                <w:rFonts w:cs="Arial"/>
              </w:rPr>
            </w:pPr>
            <w:r w:rsidRPr="00942C19">
              <w:rPr>
                <w:rFonts w:cs="Arial"/>
                <w:szCs w:val="22"/>
              </w:rPr>
              <w:t>Rs. 2.50 / kWh</w:t>
            </w:r>
          </w:p>
        </w:tc>
      </w:tr>
    </w:tbl>
    <w:p w:rsidR="00C802EE" w:rsidRPr="00942C19" w:rsidRDefault="00C802EE" w:rsidP="00C802EE">
      <w:pPr>
        <w:spacing w:before="100" w:beforeAutospacing="1" w:after="240"/>
        <w:ind w:left="360"/>
        <w:rPr>
          <w:rFonts w:cs="Arial"/>
          <w:b/>
          <w:bCs/>
          <w:szCs w:val="22"/>
        </w:rPr>
      </w:pPr>
    </w:p>
    <w:p w:rsidR="00C802EE" w:rsidRPr="00942C19" w:rsidRDefault="00C802EE" w:rsidP="00C802EE">
      <w:pPr>
        <w:spacing w:before="100" w:beforeAutospacing="1" w:after="240"/>
        <w:ind w:left="360"/>
        <w:rPr>
          <w:rFonts w:cs="Arial"/>
          <w:b/>
          <w:bCs/>
          <w:szCs w:val="22"/>
        </w:rPr>
      </w:pPr>
    </w:p>
    <w:p w:rsidR="00C802EE" w:rsidRPr="00942C19" w:rsidRDefault="00C802EE" w:rsidP="00C802EE">
      <w:pPr>
        <w:spacing w:before="100" w:beforeAutospacing="1" w:after="240"/>
        <w:ind w:left="360"/>
        <w:rPr>
          <w:szCs w:val="22"/>
        </w:rPr>
      </w:pPr>
    </w:p>
    <w:p w:rsidR="00C802EE" w:rsidRPr="00942C19" w:rsidRDefault="00C802EE" w:rsidP="00C802EE">
      <w:pPr>
        <w:spacing w:after="200"/>
        <w:jc w:val="left"/>
        <w:rPr>
          <w:b/>
          <w:szCs w:val="22"/>
        </w:rPr>
      </w:pPr>
      <w:r w:rsidRPr="00942C19">
        <w:rPr>
          <w:b/>
          <w:szCs w:val="22"/>
        </w:rPr>
        <w:br w:type="page"/>
      </w:r>
    </w:p>
    <w:p w:rsidR="00C802EE" w:rsidRPr="00942C19" w:rsidRDefault="00C802EE" w:rsidP="00A818DC">
      <w:pPr>
        <w:numPr>
          <w:ilvl w:val="0"/>
          <w:numId w:val="82"/>
        </w:numPr>
        <w:spacing w:before="0" w:line="288" w:lineRule="auto"/>
        <w:rPr>
          <w:rFonts w:cs="Arial"/>
          <w:b/>
          <w:szCs w:val="22"/>
        </w:rPr>
      </w:pPr>
      <w:r w:rsidRPr="00942C19">
        <w:rPr>
          <w:b/>
          <w:szCs w:val="22"/>
        </w:rPr>
        <w:t>Private Advertising / Sign Posts / Sign Boards / Glow Signs / Flex:</w:t>
      </w:r>
    </w:p>
    <w:p w:rsidR="00C802EE" w:rsidRPr="00942C19" w:rsidRDefault="00C802EE" w:rsidP="00C802EE">
      <w:pPr>
        <w:ind w:left="900"/>
        <w:rPr>
          <w:szCs w:val="22"/>
        </w:rPr>
      </w:pPr>
      <w:r w:rsidRPr="00942C19">
        <w:rPr>
          <w:szCs w:val="22"/>
        </w:rPr>
        <w:t>For all commercial (road side / roof tops of buildings) advertisement hoardings such as Private Advertising / Sign Posts / Sign Boards / Glow Signs / Flex, the rate of charge shall be as below:</w:t>
      </w:r>
    </w:p>
    <w:tbl>
      <w:tblPr>
        <w:tblpPr w:leftFromText="180" w:rightFromText="180" w:vertAnchor="text" w:horzAnchor="margin" w:tblpXSpec="center" w:tblpY="174"/>
        <w:tblW w:w="7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45"/>
        <w:gridCol w:w="2043"/>
        <w:gridCol w:w="1818"/>
        <w:gridCol w:w="2232"/>
      </w:tblGrid>
      <w:tr w:rsidR="00C802EE" w:rsidRPr="00942C19" w:rsidTr="00C652DB">
        <w:trPr>
          <w:cantSplit/>
          <w:trHeight w:val="246"/>
        </w:trPr>
        <w:tc>
          <w:tcPr>
            <w:tcW w:w="1845" w:type="dxa"/>
            <w:shd w:val="pct12" w:color="auto" w:fill="auto"/>
          </w:tcPr>
          <w:p w:rsidR="00C802EE" w:rsidRPr="00942C19" w:rsidRDefault="00C802EE" w:rsidP="00C652DB">
            <w:pPr>
              <w:ind w:left="360" w:right="-45"/>
              <w:jc w:val="center"/>
              <w:rPr>
                <w:rFonts w:cs="Arial"/>
                <w:b/>
              </w:rPr>
            </w:pPr>
            <w:r w:rsidRPr="00942C19">
              <w:rPr>
                <w:szCs w:val="22"/>
              </w:rPr>
              <w:br w:type="page"/>
            </w:r>
            <w:r w:rsidRPr="00942C19">
              <w:rPr>
                <w:rFonts w:cs="Arial"/>
                <w:b/>
                <w:szCs w:val="22"/>
              </w:rPr>
              <w:t>Description</w:t>
            </w:r>
          </w:p>
        </w:tc>
        <w:tc>
          <w:tcPr>
            <w:tcW w:w="2043" w:type="dxa"/>
            <w:tcBorders>
              <w:top w:val="single" w:sz="4" w:space="0" w:color="auto"/>
              <w:right w:val="single" w:sz="4" w:space="0" w:color="auto"/>
            </w:tcBorders>
            <w:shd w:val="pct12" w:color="auto" w:fill="auto"/>
          </w:tcPr>
          <w:p w:rsidR="00C802EE" w:rsidRPr="00942C19" w:rsidRDefault="00C802EE" w:rsidP="00C652DB">
            <w:pPr>
              <w:ind w:right="-122"/>
              <w:jc w:val="center"/>
              <w:rPr>
                <w:rFonts w:cs="Arial"/>
                <w:b/>
              </w:rPr>
            </w:pPr>
            <w:r w:rsidRPr="00942C19">
              <w:rPr>
                <w:rFonts w:cs="Arial"/>
                <w:b/>
                <w:szCs w:val="22"/>
              </w:rPr>
              <w:t>Fixed Charge</w:t>
            </w:r>
          </w:p>
        </w:tc>
        <w:tc>
          <w:tcPr>
            <w:tcW w:w="1818" w:type="dxa"/>
            <w:tcBorders>
              <w:top w:val="single" w:sz="4" w:space="0" w:color="auto"/>
              <w:right w:val="single" w:sz="4" w:space="0" w:color="auto"/>
            </w:tcBorders>
            <w:shd w:val="pct12" w:color="auto" w:fill="auto"/>
          </w:tcPr>
          <w:p w:rsidR="00C802EE" w:rsidRPr="00942C19" w:rsidRDefault="00C802EE" w:rsidP="00C652DB">
            <w:pPr>
              <w:ind w:right="-122"/>
              <w:jc w:val="center"/>
              <w:rPr>
                <w:rFonts w:cs="Arial"/>
                <w:b/>
              </w:rPr>
            </w:pPr>
            <w:r w:rsidRPr="00942C19">
              <w:rPr>
                <w:rFonts w:cs="Arial"/>
                <w:b/>
                <w:szCs w:val="22"/>
              </w:rPr>
              <w:t>Energy Charge</w:t>
            </w:r>
          </w:p>
        </w:tc>
        <w:tc>
          <w:tcPr>
            <w:tcW w:w="2232" w:type="dxa"/>
            <w:tcBorders>
              <w:top w:val="single" w:sz="4" w:space="0" w:color="auto"/>
              <w:left w:val="single" w:sz="4" w:space="0" w:color="auto"/>
            </w:tcBorders>
            <w:shd w:val="pct12" w:color="auto" w:fill="auto"/>
          </w:tcPr>
          <w:p w:rsidR="00C802EE" w:rsidRPr="00942C19" w:rsidRDefault="00C802EE" w:rsidP="00C652DB">
            <w:pPr>
              <w:ind w:right="-122"/>
              <w:jc w:val="center"/>
              <w:rPr>
                <w:rFonts w:cs="Arial"/>
                <w:b/>
              </w:rPr>
            </w:pPr>
            <w:r w:rsidRPr="00942C19">
              <w:rPr>
                <w:rFonts w:cs="Arial"/>
                <w:b/>
                <w:szCs w:val="22"/>
              </w:rPr>
              <w:t>Minimum Charge</w:t>
            </w:r>
          </w:p>
        </w:tc>
      </w:tr>
      <w:tr w:rsidR="00C802EE" w:rsidRPr="00942C19" w:rsidTr="00C652DB">
        <w:tc>
          <w:tcPr>
            <w:tcW w:w="1845" w:type="dxa"/>
          </w:tcPr>
          <w:p w:rsidR="00C802EE" w:rsidRPr="00942C19" w:rsidRDefault="00C802EE" w:rsidP="00C652DB">
            <w:pPr>
              <w:ind w:left="342" w:right="-4"/>
              <w:rPr>
                <w:rFonts w:cs="Arial"/>
              </w:rPr>
            </w:pPr>
            <w:r w:rsidRPr="00942C19">
              <w:rPr>
                <w:rFonts w:cs="Arial"/>
                <w:szCs w:val="22"/>
              </w:rPr>
              <w:t>Metered</w:t>
            </w:r>
          </w:p>
        </w:tc>
        <w:tc>
          <w:tcPr>
            <w:tcW w:w="2043" w:type="dxa"/>
          </w:tcPr>
          <w:p w:rsidR="00C802EE" w:rsidRPr="00942C19" w:rsidRDefault="00C802EE" w:rsidP="00C652DB">
            <w:pPr>
              <w:ind w:right="-108"/>
              <w:jc w:val="center"/>
              <w:rPr>
                <w:rFonts w:cs="Arial"/>
              </w:rPr>
            </w:pPr>
            <w:r w:rsidRPr="00942C19">
              <w:rPr>
                <w:rFonts w:cs="Arial"/>
                <w:szCs w:val="22"/>
              </w:rPr>
              <w:t>-</w:t>
            </w:r>
          </w:p>
        </w:tc>
        <w:tc>
          <w:tcPr>
            <w:tcW w:w="1818" w:type="dxa"/>
          </w:tcPr>
          <w:p w:rsidR="00C802EE" w:rsidRPr="00942C19" w:rsidRDefault="00C802EE" w:rsidP="00C652DB">
            <w:pPr>
              <w:ind w:right="-18"/>
              <w:jc w:val="center"/>
              <w:rPr>
                <w:rFonts w:cs="Arial"/>
              </w:rPr>
            </w:pPr>
            <w:r w:rsidRPr="00942C19">
              <w:rPr>
                <w:rFonts w:cs="Arial"/>
                <w:szCs w:val="22"/>
              </w:rPr>
              <w:t>Rs. 14.00 / kWh</w:t>
            </w:r>
          </w:p>
        </w:tc>
        <w:tc>
          <w:tcPr>
            <w:tcW w:w="2232" w:type="dxa"/>
          </w:tcPr>
          <w:p w:rsidR="00C802EE" w:rsidRPr="00942C19" w:rsidRDefault="00C802EE" w:rsidP="00C652DB">
            <w:pPr>
              <w:ind w:right="-18"/>
              <w:jc w:val="center"/>
              <w:rPr>
                <w:rFonts w:cs="Arial"/>
              </w:rPr>
            </w:pPr>
            <w:r w:rsidRPr="00942C19">
              <w:rPr>
                <w:rFonts w:cs="Arial"/>
                <w:szCs w:val="22"/>
              </w:rPr>
              <w:t>Rs. 1200/kW/Month</w:t>
            </w:r>
          </w:p>
        </w:tc>
      </w:tr>
    </w:tbl>
    <w:p w:rsidR="00C802EE" w:rsidRPr="00942C19" w:rsidRDefault="00C802EE" w:rsidP="00C802EE">
      <w:pPr>
        <w:rPr>
          <w:rFonts w:cs="Arial"/>
          <w:b/>
          <w:szCs w:val="22"/>
        </w:rPr>
      </w:pPr>
    </w:p>
    <w:p w:rsidR="00C802EE" w:rsidRPr="00942C19" w:rsidRDefault="00C802EE" w:rsidP="00C802EE">
      <w:pPr>
        <w:rPr>
          <w:rFonts w:cs="Arial"/>
          <w:b/>
          <w:szCs w:val="22"/>
        </w:rPr>
      </w:pPr>
      <w:r w:rsidRPr="00942C19">
        <w:rPr>
          <w:rFonts w:cs="Arial"/>
          <w:b/>
          <w:szCs w:val="22"/>
        </w:rPr>
        <w:t xml:space="preserve">Note: </w:t>
      </w:r>
    </w:p>
    <w:p w:rsidR="00C802EE" w:rsidRPr="00942C19" w:rsidRDefault="00C802EE" w:rsidP="00C802EE">
      <w:pPr>
        <w:rPr>
          <w:rFonts w:cs="Arial"/>
          <w:szCs w:val="22"/>
        </w:rPr>
      </w:pPr>
      <w:r w:rsidRPr="00942C19">
        <w:rPr>
          <w:rFonts w:cs="Arial"/>
          <w:szCs w:val="22"/>
        </w:rPr>
        <w:t xml:space="preserve">For application of these rates </w:t>
      </w:r>
      <w:r w:rsidR="009A3804" w:rsidRPr="00942C19">
        <w:rPr>
          <w:rFonts w:cs="Arial"/>
          <w:szCs w:val="22"/>
        </w:rPr>
        <w:t>Licensee</w:t>
      </w:r>
      <w:r w:rsidRPr="00942C19">
        <w:rPr>
          <w:rFonts w:cs="Arial"/>
          <w:szCs w:val="22"/>
        </w:rPr>
        <w:t xml:space="preserve"> shall ensure that such consumption is separately metered.</w:t>
      </w:r>
    </w:p>
    <w:p w:rsidR="00C802EE" w:rsidRPr="00942C19" w:rsidRDefault="00C802EE" w:rsidP="00C802EE">
      <w:pPr>
        <w:rPr>
          <w:rFonts w:cs="Arial"/>
          <w:szCs w:val="22"/>
        </w:rPr>
      </w:pPr>
      <w:r w:rsidRPr="00942C19">
        <w:rPr>
          <w:rFonts w:cs="Arial"/>
          <w:szCs w:val="22"/>
        </w:rPr>
        <w:t xml:space="preserve"> </w:t>
      </w:r>
    </w:p>
    <w:p w:rsidR="00C802EE" w:rsidRPr="00942C19" w:rsidRDefault="00C802EE" w:rsidP="00A818DC">
      <w:pPr>
        <w:numPr>
          <w:ilvl w:val="0"/>
          <w:numId w:val="82"/>
        </w:numPr>
        <w:spacing w:before="0" w:line="288" w:lineRule="auto"/>
        <w:rPr>
          <w:rFonts w:cs="Arial"/>
          <w:szCs w:val="22"/>
        </w:rPr>
      </w:pPr>
      <w:r w:rsidRPr="00942C19">
        <w:rPr>
          <w:rFonts w:cs="Arial"/>
          <w:b/>
          <w:szCs w:val="22"/>
        </w:rPr>
        <w:t xml:space="preserve">In all other cases, </w:t>
      </w:r>
      <w:r w:rsidRPr="00942C19">
        <w:rPr>
          <w:rFonts w:cs="Arial"/>
          <w:szCs w:val="22"/>
        </w:rPr>
        <w:t>including urban consumers and consumers getting supply through rural feeders but exempted from scheduled rostering / restrictions or through co-generating radial feeders in villages / towns.</w:t>
      </w:r>
    </w:p>
    <w:p w:rsidR="00C802EE" w:rsidRPr="00942C19" w:rsidRDefault="00C802EE" w:rsidP="00C802EE">
      <w:pPr>
        <w:ind w:left="540"/>
        <w:rPr>
          <w:rFonts w:cs="Arial"/>
          <w:szCs w:val="22"/>
        </w:rPr>
      </w:pPr>
    </w:p>
    <w:tbl>
      <w:tblPr>
        <w:tblW w:w="6649"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79"/>
        <w:gridCol w:w="1804"/>
      </w:tblGrid>
      <w:tr w:rsidR="00C802EE" w:rsidRPr="00942C19" w:rsidTr="00C652DB">
        <w:trPr>
          <w:jc w:val="center"/>
        </w:trPr>
        <w:tc>
          <w:tcPr>
            <w:tcW w:w="2466" w:type="dxa"/>
            <w:shd w:val="pct12" w:color="auto" w:fill="auto"/>
          </w:tcPr>
          <w:p w:rsidR="00C802EE" w:rsidRPr="00942C19" w:rsidRDefault="00C802EE" w:rsidP="00C652DB">
            <w:pPr>
              <w:ind w:left="360" w:right="-45"/>
              <w:jc w:val="center"/>
              <w:rPr>
                <w:b/>
              </w:rPr>
            </w:pPr>
            <w:r w:rsidRPr="00942C19">
              <w:rPr>
                <w:b/>
                <w:szCs w:val="22"/>
              </w:rPr>
              <w:t xml:space="preserve">Consumption Range </w:t>
            </w:r>
          </w:p>
        </w:tc>
        <w:tc>
          <w:tcPr>
            <w:tcW w:w="2379" w:type="dxa"/>
            <w:shd w:val="pct12" w:color="auto" w:fill="auto"/>
          </w:tcPr>
          <w:p w:rsidR="00C802EE" w:rsidRPr="00942C19" w:rsidRDefault="00C802EE" w:rsidP="00C652DB">
            <w:pPr>
              <w:keepNext/>
              <w:spacing w:after="120"/>
              <w:jc w:val="center"/>
              <w:rPr>
                <w:rFonts w:cs="Arial"/>
                <w:b/>
                <w:bCs/>
              </w:rPr>
            </w:pPr>
            <w:r w:rsidRPr="00942C19">
              <w:rPr>
                <w:rFonts w:cs="Arial"/>
                <w:b/>
                <w:bCs/>
                <w:szCs w:val="22"/>
              </w:rPr>
              <w:t>Fixed Charge</w:t>
            </w:r>
          </w:p>
        </w:tc>
        <w:tc>
          <w:tcPr>
            <w:tcW w:w="1804" w:type="dxa"/>
            <w:shd w:val="pct12" w:color="auto" w:fill="auto"/>
          </w:tcPr>
          <w:p w:rsidR="00C802EE" w:rsidRPr="00942C19" w:rsidRDefault="00C802EE" w:rsidP="00C652DB">
            <w:pPr>
              <w:keepNext/>
              <w:spacing w:after="120"/>
              <w:jc w:val="center"/>
              <w:rPr>
                <w:rFonts w:cs="Arial"/>
                <w:b/>
                <w:bCs/>
              </w:rPr>
            </w:pPr>
            <w:r w:rsidRPr="00942C19">
              <w:rPr>
                <w:rFonts w:cs="Arial"/>
                <w:b/>
                <w:bCs/>
                <w:szCs w:val="22"/>
              </w:rPr>
              <w:t>Energy Charge</w:t>
            </w:r>
          </w:p>
        </w:tc>
      </w:tr>
      <w:tr w:rsidR="00C802EE" w:rsidRPr="00942C19" w:rsidTr="00C652DB">
        <w:trPr>
          <w:jc w:val="center"/>
        </w:trPr>
        <w:tc>
          <w:tcPr>
            <w:tcW w:w="2466" w:type="dxa"/>
          </w:tcPr>
          <w:p w:rsidR="00C802EE" w:rsidRPr="00942C19" w:rsidRDefault="00D31494" w:rsidP="00C652DB">
            <w:pPr>
              <w:keepNext/>
              <w:spacing w:after="120"/>
              <w:jc w:val="left"/>
              <w:rPr>
                <w:rFonts w:cs="Arial"/>
                <w:bCs/>
              </w:rPr>
            </w:pPr>
            <w:r w:rsidRPr="00942C19">
              <w:rPr>
                <w:rFonts w:cs="Arial"/>
                <w:bCs/>
              </w:rPr>
              <w:t>Upton</w:t>
            </w:r>
            <w:r w:rsidR="00C802EE" w:rsidRPr="00942C19">
              <w:rPr>
                <w:rFonts w:cs="Arial"/>
                <w:bCs/>
              </w:rPr>
              <w:t xml:space="preserve"> 300 kWh / month</w:t>
            </w:r>
          </w:p>
        </w:tc>
        <w:tc>
          <w:tcPr>
            <w:tcW w:w="2379" w:type="dxa"/>
            <w:vMerge w:val="restart"/>
            <w:vAlign w:val="center"/>
          </w:tcPr>
          <w:p w:rsidR="00C802EE" w:rsidRPr="00942C19" w:rsidRDefault="00C802EE" w:rsidP="00C652DB">
            <w:pPr>
              <w:keepNext/>
              <w:spacing w:after="120"/>
              <w:jc w:val="center"/>
              <w:rPr>
                <w:rFonts w:cs="Arial"/>
                <w:bCs/>
              </w:rPr>
            </w:pPr>
            <w:r w:rsidRPr="00942C19">
              <w:rPr>
                <w:bCs/>
                <w:szCs w:val="22"/>
              </w:rPr>
              <w:t>Rs. 200.00 / kW / month</w:t>
            </w:r>
          </w:p>
        </w:tc>
        <w:tc>
          <w:tcPr>
            <w:tcW w:w="1804" w:type="dxa"/>
            <w:vAlign w:val="center"/>
          </w:tcPr>
          <w:p w:rsidR="00C802EE" w:rsidRPr="00942C19" w:rsidRDefault="00C802EE" w:rsidP="00C652DB">
            <w:pPr>
              <w:keepNext/>
              <w:spacing w:after="120"/>
              <w:jc w:val="center"/>
              <w:rPr>
                <w:rFonts w:cs="Arial"/>
                <w:bCs/>
              </w:rPr>
            </w:pPr>
            <w:r w:rsidRPr="00942C19">
              <w:rPr>
                <w:rFonts w:cs="Arial"/>
                <w:bCs/>
                <w:szCs w:val="22"/>
              </w:rPr>
              <w:t>Rs. 6.00 / kWh</w:t>
            </w:r>
          </w:p>
        </w:tc>
      </w:tr>
      <w:tr w:rsidR="00C802EE" w:rsidRPr="00942C19" w:rsidTr="00C652DB">
        <w:trPr>
          <w:jc w:val="center"/>
        </w:trPr>
        <w:tc>
          <w:tcPr>
            <w:tcW w:w="2466" w:type="dxa"/>
          </w:tcPr>
          <w:p w:rsidR="00C802EE" w:rsidRPr="00942C19" w:rsidRDefault="00C802EE" w:rsidP="00C652DB">
            <w:pPr>
              <w:keepNext/>
              <w:spacing w:after="120"/>
              <w:jc w:val="left"/>
              <w:rPr>
                <w:rFonts w:cs="Arial"/>
                <w:bCs/>
              </w:rPr>
            </w:pPr>
            <w:r w:rsidRPr="00942C19">
              <w:rPr>
                <w:rFonts w:cs="Arial"/>
                <w:bCs/>
              </w:rPr>
              <w:t>Above 300 kWh / month (From 301</w:t>
            </w:r>
            <w:r w:rsidRPr="00942C19">
              <w:rPr>
                <w:rFonts w:cs="Arial"/>
                <w:bCs/>
                <w:color w:val="000000"/>
                <w:vertAlign w:val="superscript"/>
              </w:rPr>
              <w:t>st</w:t>
            </w:r>
            <w:r w:rsidRPr="00942C19">
              <w:rPr>
                <w:rFonts w:cs="Arial"/>
                <w:bCs/>
                <w:color w:val="000000"/>
              </w:rPr>
              <w:t xml:space="preserve"> </w:t>
            </w:r>
            <w:r w:rsidRPr="00942C19">
              <w:rPr>
                <w:rFonts w:cs="Arial"/>
                <w:bCs/>
              </w:rPr>
              <w:t>unit onwards)</w:t>
            </w:r>
          </w:p>
        </w:tc>
        <w:tc>
          <w:tcPr>
            <w:tcW w:w="2379" w:type="dxa"/>
            <w:vMerge/>
            <w:vAlign w:val="center"/>
          </w:tcPr>
          <w:p w:rsidR="00C802EE" w:rsidRPr="00942C19" w:rsidRDefault="00C802EE" w:rsidP="00C652DB">
            <w:pPr>
              <w:keepNext/>
              <w:spacing w:after="120"/>
              <w:jc w:val="center"/>
              <w:rPr>
                <w:bCs/>
              </w:rPr>
            </w:pPr>
          </w:p>
        </w:tc>
        <w:tc>
          <w:tcPr>
            <w:tcW w:w="1804" w:type="dxa"/>
            <w:vAlign w:val="center"/>
          </w:tcPr>
          <w:p w:rsidR="00C802EE" w:rsidRPr="00942C19" w:rsidRDefault="00C802EE" w:rsidP="00C652DB">
            <w:pPr>
              <w:keepNext/>
              <w:spacing w:after="120"/>
              <w:jc w:val="center"/>
              <w:rPr>
                <w:rFonts w:cs="Arial"/>
                <w:bCs/>
              </w:rPr>
            </w:pPr>
            <w:r w:rsidRPr="00942C19">
              <w:rPr>
                <w:rFonts w:cs="Arial"/>
                <w:bCs/>
                <w:szCs w:val="22"/>
              </w:rPr>
              <w:t>Rs. 6.50 / kWh</w:t>
            </w:r>
          </w:p>
        </w:tc>
      </w:tr>
    </w:tbl>
    <w:p w:rsidR="00C802EE" w:rsidRPr="00942C19" w:rsidRDefault="00C802EE" w:rsidP="00C802EE">
      <w:pPr>
        <w:ind w:firstLine="450"/>
        <w:rPr>
          <w:rFonts w:cs="Arial"/>
          <w:b/>
          <w:bCs/>
          <w:szCs w:val="22"/>
        </w:rPr>
      </w:pPr>
    </w:p>
    <w:p w:rsidR="00C802EE" w:rsidRPr="00942C19" w:rsidRDefault="00C802EE" w:rsidP="00C802EE">
      <w:pPr>
        <w:ind w:firstLine="450"/>
        <w:rPr>
          <w:rFonts w:cs="Arial"/>
          <w:b/>
          <w:bCs/>
          <w:szCs w:val="22"/>
        </w:rPr>
      </w:pPr>
      <w:r w:rsidRPr="00942C19">
        <w:rPr>
          <w:rFonts w:cs="Arial"/>
          <w:b/>
          <w:bCs/>
          <w:szCs w:val="22"/>
        </w:rPr>
        <w:t xml:space="preserve">Note: </w:t>
      </w:r>
    </w:p>
    <w:p w:rsidR="00C802EE" w:rsidRPr="00942C19" w:rsidRDefault="00C802EE" w:rsidP="00C802EE">
      <w:pPr>
        <w:ind w:left="1080" w:hanging="360"/>
        <w:rPr>
          <w:rFonts w:cs="Arial"/>
          <w:bCs/>
          <w:szCs w:val="22"/>
        </w:rPr>
      </w:pPr>
      <w:r w:rsidRPr="00942C19">
        <w:rPr>
          <w:rFonts w:cs="Arial"/>
          <w:bCs/>
          <w:szCs w:val="22"/>
        </w:rPr>
        <w:t>1.</w:t>
      </w:r>
      <w:r w:rsidRPr="00942C19">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942C19">
        <w:rPr>
          <w:rFonts w:cs="Arial"/>
          <w:bCs/>
          <w:szCs w:val="22"/>
        </w:rPr>
        <w:t>Licensee</w:t>
      </w:r>
      <w:r w:rsidRPr="00942C19">
        <w:rPr>
          <w:rFonts w:cs="Arial"/>
          <w:bCs/>
          <w:szCs w:val="22"/>
        </w:rPr>
        <w:t xml:space="preserve">. Accordingly, if the bill is being prepared on the basis of reading being submitted by the consumer then the consumer would not be liable to furnish maximum demand during the month and his bill would not be held back for lack of data on maximum demand. </w:t>
      </w:r>
    </w:p>
    <w:p w:rsidR="00C802EE" w:rsidRPr="00942C19" w:rsidRDefault="00C802EE" w:rsidP="00C802EE">
      <w:pPr>
        <w:ind w:firstLine="450"/>
        <w:rPr>
          <w:rFonts w:cs="Arial"/>
          <w:b/>
          <w:bCs/>
          <w:szCs w:val="22"/>
        </w:rPr>
      </w:pPr>
    </w:p>
    <w:p w:rsidR="00C802EE" w:rsidRPr="00942C19" w:rsidRDefault="00C802EE" w:rsidP="00C802EE">
      <w:pPr>
        <w:tabs>
          <w:tab w:val="left" w:pos="360"/>
          <w:tab w:val="left" w:pos="720"/>
        </w:tabs>
        <w:spacing w:before="100"/>
        <w:ind w:left="720" w:right="29" w:hanging="720"/>
        <w:rPr>
          <w:b/>
          <w:szCs w:val="22"/>
        </w:rPr>
      </w:pPr>
      <w:r w:rsidRPr="00942C19">
        <w:rPr>
          <w:b/>
          <w:szCs w:val="22"/>
        </w:rPr>
        <w:t>4.</w:t>
      </w:r>
      <w:r w:rsidRPr="00942C19">
        <w:rPr>
          <w:b/>
          <w:szCs w:val="22"/>
        </w:rPr>
        <w:tab/>
      </w:r>
      <w:r w:rsidRPr="00942C19">
        <w:rPr>
          <w:b/>
          <w:szCs w:val="22"/>
        </w:rPr>
        <w:tab/>
        <w:t>REBATE TO POWER LOOMS:</w:t>
      </w:r>
    </w:p>
    <w:p w:rsidR="00C802EE" w:rsidRPr="00942C19" w:rsidRDefault="00C802EE" w:rsidP="00C802EE">
      <w:pPr>
        <w:ind w:left="720"/>
        <w:rPr>
          <w:b/>
          <w:bCs/>
          <w:szCs w:val="22"/>
        </w:rPr>
      </w:pPr>
      <w:r w:rsidRPr="00942C19">
        <w:rPr>
          <w:szCs w:val="22"/>
        </w:rPr>
        <w:t>Rebate to Power Loom consumers shall be applicable in accordance with the Government order dated 14</w:t>
      </w:r>
      <w:r w:rsidRPr="00942C19">
        <w:rPr>
          <w:szCs w:val="22"/>
          <w:vertAlign w:val="superscript"/>
        </w:rPr>
        <w:t>th</w:t>
      </w:r>
      <w:r w:rsidRPr="00942C19">
        <w:rPr>
          <w:szCs w:val="22"/>
        </w:rPr>
        <w:t xml:space="preserve"> June, 2006 and the Commission’s order dated 11</w:t>
      </w:r>
      <w:r w:rsidRPr="00942C19">
        <w:rPr>
          <w:szCs w:val="22"/>
          <w:vertAlign w:val="superscript"/>
        </w:rPr>
        <w:t>th</w:t>
      </w:r>
      <w:r w:rsidRPr="00942C19">
        <w:rPr>
          <w:szCs w:val="22"/>
        </w:rPr>
        <w:t xml:space="preserve"> July, 2006 subject to adherence of provision of advance subsidy.  </w:t>
      </w:r>
    </w:p>
    <w:p w:rsidR="00C802EE" w:rsidRPr="00942C19" w:rsidRDefault="00C802EE" w:rsidP="00C802EE">
      <w:pPr>
        <w:jc w:val="center"/>
        <w:rPr>
          <w:b/>
          <w:u w:val="single"/>
        </w:rPr>
      </w:pPr>
      <w:r w:rsidRPr="00942C19">
        <w:rPr>
          <w:szCs w:val="22"/>
        </w:rPr>
        <w:br w:type="page"/>
      </w:r>
      <w:r w:rsidRPr="00942C19">
        <w:rPr>
          <w:b/>
          <w:u w:val="single"/>
        </w:rPr>
        <w:t>RATE SCHEDULE LMV -3:</w:t>
      </w:r>
    </w:p>
    <w:p w:rsidR="00C802EE" w:rsidRPr="00942C19" w:rsidRDefault="00C802EE" w:rsidP="00C802EE">
      <w:pPr>
        <w:jc w:val="center"/>
      </w:pPr>
    </w:p>
    <w:p w:rsidR="00C802EE" w:rsidRPr="00942C19" w:rsidRDefault="00C802EE" w:rsidP="00C802EE">
      <w:pPr>
        <w:jc w:val="center"/>
        <w:rPr>
          <w:b/>
        </w:rPr>
      </w:pPr>
      <w:r w:rsidRPr="00942C19">
        <w:rPr>
          <w:b/>
        </w:rPr>
        <w:t>PUBLIC LAMPS:</w:t>
      </w:r>
    </w:p>
    <w:p w:rsidR="00C802EE" w:rsidRPr="00942C19" w:rsidRDefault="00C802EE" w:rsidP="00C802EE">
      <w:pPr>
        <w:jc w:val="center"/>
        <w:rPr>
          <w:b/>
        </w:rPr>
      </w:pPr>
    </w:p>
    <w:p w:rsidR="00C802EE" w:rsidRPr="00942C19" w:rsidRDefault="00C802EE" w:rsidP="00C802EE">
      <w:pPr>
        <w:rPr>
          <w:b/>
        </w:rPr>
      </w:pPr>
      <w:r w:rsidRPr="00942C19">
        <w:rPr>
          <w:b/>
          <w:szCs w:val="22"/>
        </w:rPr>
        <w:t>1.</w:t>
      </w:r>
      <w:r w:rsidRPr="00942C19">
        <w:rPr>
          <w:b/>
          <w:szCs w:val="22"/>
        </w:rPr>
        <w:tab/>
      </w:r>
      <w:r w:rsidRPr="00942C19">
        <w:rPr>
          <w:b/>
        </w:rPr>
        <w:t>APPLICABILITY:</w:t>
      </w:r>
    </w:p>
    <w:p w:rsidR="00C802EE" w:rsidRPr="00942C19" w:rsidRDefault="00C802EE" w:rsidP="00C802EE">
      <w:pPr>
        <w:spacing w:before="100" w:after="120"/>
        <w:ind w:left="720" w:right="29"/>
        <w:rPr>
          <w:szCs w:val="22"/>
        </w:rPr>
      </w:pPr>
      <w:r w:rsidRPr="00942C19">
        <w:rPr>
          <w:szCs w:val="22"/>
        </w:rPr>
        <w:t>This schedule shall apply to Public Lamps including Street Lighting System, Road Traffic Control Signals, Lighting of Public Parks, etc. The street lighting in Harijan Bastis and Rural Areas are also covered by this rate schedule.</w:t>
      </w:r>
    </w:p>
    <w:p w:rsidR="00C802EE" w:rsidRPr="00942C19" w:rsidRDefault="00C802EE" w:rsidP="00C802EE">
      <w:pPr>
        <w:spacing w:before="100" w:after="120"/>
        <w:ind w:left="720" w:right="29"/>
        <w:rPr>
          <w:szCs w:val="22"/>
        </w:rPr>
      </w:pPr>
    </w:p>
    <w:p w:rsidR="00C802EE" w:rsidRPr="00942C19" w:rsidRDefault="00C802EE" w:rsidP="00C802EE">
      <w:pPr>
        <w:ind w:left="720" w:hanging="720"/>
        <w:rPr>
          <w:b/>
          <w:szCs w:val="22"/>
        </w:rPr>
      </w:pPr>
      <w:r w:rsidRPr="00942C19">
        <w:rPr>
          <w:b/>
          <w:szCs w:val="22"/>
        </w:rPr>
        <w:t>2.</w:t>
      </w:r>
      <w:r w:rsidRPr="00942C19">
        <w:rPr>
          <w:szCs w:val="22"/>
        </w:rPr>
        <w:tab/>
      </w:r>
      <w:r w:rsidRPr="00942C19">
        <w:rPr>
          <w:b/>
          <w:szCs w:val="22"/>
        </w:rPr>
        <w:t>CHARACTER AND POINT OF SUPPLY:</w:t>
      </w:r>
    </w:p>
    <w:p w:rsidR="00C802EE" w:rsidRPr="00942C19" w:rsidRDefault="00C802EE" w:rsidP="00C802EE">
      <w:pPr>
        <w:spacing w:line="240" w:lineRule="auto"/>
        <w:ind w:left="360" w:right="-58" w:firstLine="360"/>
        <w:rPr>
          <w:rFonts w:cs="Arial"/>
          <w:szCs w:val="22"/>
        </w:rPr>
      </w:pPr>
      <w:r w:rsidRPr="00942C19">
        <w:rPr>
          <w:szCs w:val="22"/>
        </w:rPr>
        <w:t>As per the applicable provisions of Electricity Supply Code.</w:t>
      </w:r>
    </w:p>
    <w:p w:rsidR="00C802EE" w:rsidRPr="00942C19" w:rsidRDefault="00C802EE" w:rsidP="00C802EE">
      <w:pPr>
        <w:ind w:left="720" w:hanging="720"/>
        <w:rPr>
          <w:b/>
          <w:szCs w:val="22"/>
        </w:rPr>
      </w:pPr>
      <w:r w:rsidRPr="00942C19">
        <w:rPr>
          <w:szCs w:val="22"/>
        </w:rPr>
        <w:t xml:space="preserve">  </w:t>
      </w:r>
    </w:p>
    <w:p w:rsidR="00C802EE" w:rsidRPr="00942C19" w:rsidRDefault="00C802EE" w:rsidP="00C802EE">
      <w:pPr>
        <w:rPr>
          <w:b/>
        </w:rPr>
      </w:pPr>
      <w:r w:rsidRPr="00942C19">
        <w:rPr>
          <w:b/>
        </w:rPr>
        <w:t>3.</w:t>
      </w:r>
      <w:r w:rsidRPr="00942C19">
        <w:tab/>
      </w:r>
      <w:r w:rsidRPr="00942C19">
        <w:rPr>
          <w:b/>
        </w:rPr>
        <w:t xml:space="preserve">RATE: </w:t>
      </w:r>
    </w:p>
    <w:p w:rsidR="00C802EE" w:rsidRPr="00942C19" w:rsidRDefault="00C802EE" w:rsidP="00C802EE">
      <w:pPr>
        <w:ind w:left="720"/>
        <w:rPr>
          <w:szCs w:val="22"/>
        </w:rPr>
      </w:pPr>
      <w:r w:rsidRPr="00942C19">
        <w:rPr>
          <w:szCs w:val="22"/>
        </w:rPr>
        <w:t xml:space="preserve">Rate gives the fixed and energy charges </w:t>
      </w:r>
      <w:r w:rsidRPr="00942C19">
        <w:t xml:space="preserve">(including the TOD rates as applicable to the hour of operation) </w:t>
      </w:r>
      <w:r w:rsidRPr="00942C19">
        <w:rPr>
          <w:szCs w:val="22"/>
        </w:rPr>
        <w:t xml:space="preserve">at which the consumer shall be billed for his consumption during the billing period applicable to the category: </w:t>
      </w:r>
    </w:p>
    <w:p w:rsidR="00C802EE" w:rsidRPr="00942C19" w:rsidRDefault="00C802EE" w:rsidP="00A818DC">
      <w:pPr>
        <w:numPr>
          <w:ilvl w:val="0"/>
          <w:numId w:val="73"/>
        </w:numPr>
        <w:tabs>
          <w:tab w:val="clear" w:pos="720"/>
          <w:tab w:val="num" w:pos="1440"/>
        </w:tabs>
        <w:spacing w:after="120" w:line="288" w:lineRule="auto"/>
        <w:ind w:left="360" w:right="1440" w:firstLine="360"/>
        <w:rPr>
          <w:b/>
          <w:szCs w:val="22"/>
        </w:rPr>
      </w:pPr>
      <w:r w:rsidRPr="00942C19">
        <w:rPr>
          <w:b/>
          <w:szCs w:val="22"/>
        </w:rPr>
        <w:t>Un-metered Supply:</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941"/>
        <w:gridCol w:w="1890"/>
        <w:gridCol w:w="2099"/>
        <w:gridCol w:w="1620"/>
      </w:tblGrid>
      <w:tr w:rsidR="00C802EE" w:rsidRPr="00942C19" w:rsidTr="00C652DB">
        <w:tc>
          <w:tcPr>
            <w:tcW w:w="2941" w:type="dxa"/>
            <w:shd w:val="pct12" w:color="auto" w:fill="auto"/>
          </w:tcPr>
          <w:p w:rsidR="00C802EE" w:rsidRPr="00942C19" w:rsidRDefault="00C802EE" w:rsidP="00C652DB">
            <w:pPr>
              <w:ind w:right="-116"/>
              <w:jc w:val="center"/>
              <w:rPr>
                <w:b/>
              </w:rPr>
            </w:pPr>
            <w:r w:rsidRPr="00942C19">
              <w:rPr>
                <w:b/>
              </w:rPr>
              <w:t>Description</w:t>
            </w:r>
          </w:p>
        </w:tc>
        <w:tc>
          <w:tcPr>
            <w:tcW w:w="1890" w:type="dxa"/>
            <w:shd w:val="pct12" w:color="auto" w:fill="auto"/>
          </w:tcPr>
          <w:p w:rsidR="00C802EE" w:rsidRPr="00942C19" w:rsidRDefault="00C802EE" w:rsidP="00C652DB">
            <w:pPr>
              <w:jc w:val="center"/>
              <w:rPr>
                <w:b/>
              </w:rPr>
            </w:pPr>
            <w:r w:rsidRPr="00942C19">
              <w:rPr>
                <w:b/>
              </w:rPr>
              <w:t>Gram Panchayat</w:t>
            </w:r>
          </w:p>
        </w:tc>
        <w:tc>
          <w:tcPr>
            <w:tcW w:w="2099" w:type="dxa"/>
            <w:shd w:val="pct12" w:color="auto" w:fill="auto"/>
          </w:tcPr>
          <w:p w:rsidR="00C802EE" w:rsidRPr="00942C19" w:rsidRDefault="00C802EE" w:rsidP="00C652DB">
            <w:pPr>
              <w:jc w:val="center"/>
              <w:rPr>
                <w:b/>
                <w:lang w:val="sv-SE"/>
              </w:rPr>
            </w:pPr>
            <w:r w:rsidRPr="00942C19">
              <w:rPr>
                <w:b/>
                <w:lang w:val="sv-SE"/>
              </w:rPr>
              <w:t>Nagar Palika and Nagar Panchayat</w:t>
            </w:r>
          </w:p>
        </w:tc>
        <w:tc>
          <w:tcPr>
            <w:tcW w:w="1620" w:type="dxa"/>
            <w:shd w:val="pct12" w:color="auto" w:fill="auto"/>
          </w:tcPr>
          <w:p w:rsidR="00C802EE" w:rsidRPr="00942C19" w:rsidRDefault="00C802EE" w:rsidP="00C652DB">
            <w:pPr>
              <w:ind w:right="-122"/>
              <w:jc w:val="center"/>
              <w:rPr>
                <w:b/>
              </w:rPr>
            </w:pPr>
            <w:r w:rsidRPr="00942C19">
              <w:rPr>
                <w:b/>
              </w:rPr>
              <w:t>Nagar Nigam</w:t>
            </w:r>
          </w:p>
        </w:tc>
      </w:tr>
      <w:tr w:rsidR="00C802EE" w:rsidRPr="00942C19" w:rsidTr="00C652DB">
        <w:tc>
          <w:tcPr>
            <w:tcW w:w="2941" w:type="dxa"/>
          </w:tcPr>
          <w:p w:rsidR="00C802EE" w:rsidRPr="00942C19" w:rsidRDefault="00C802EE" w:rsidP="00C652DB">
            <w:pPr>
              <w:ind w:right="-4"/>
            </w:pPr>
            <w:r w:rsidRPr="00942C19">
              <w:t>To be billed on the basis of total connected load calculated as the summation of individual points</w:t>
            </w:r>
          </w:p>
        </w:tc>
        <w:tc>
          <w:tcPr>
            <w:tcW w:w="1890" w:type="dxa"/>
          </w:tcPr>
          <w:p w:rsidR="00C802EE" w:rsidRPr="00942C19" w:rsidRDefault="00C802EE" w:rsidP="00C652DB">
            <w:pPr>
              <w:pStyle w:val="BodyText"/>
              <w:spacing w:line="288" w:lineRule="auto"/>
            </w:pPr>
            <w:r w:rsidRPr="00942C19">
              <w:t xml:space="preserve">Rs. 1700 per kW or part thereof per month </w:t>
            </w:r>
          </w:p>
        </w:tc>
        <w:tc>
          <w:tcPr>
            <w:tcW w:w="2099" w:type="dxa"/>
          </w:tcPr>
          <w:p w:rsidR="00C802EE" w:rsidRPr="00942C19" w:rsidRDefault="00C802EE" w:rsidP="00C652DB">
            <w:pPr>
              <w:pStyle w:val="BodyText"/>
              <w:spacing w:line="288" w:lineRule="auto"/>
            </w:pPr>
            <w:r w:rsidRPr="00942C19">
              <w:t>Rs. 2000 per kW or part thereof per month</w:t>
            </w:r>
          </w:p>
        </w:tc>
        <w:tc>
          <w:tcPr>
            <w:tcW w:w="1620" w:type="dxa"/>
          </w:tcPr>
          <w:p w:rsidR="00C802EE" w:rsidRPr="00942C19" w:rsidRDefault="00C802EE" w:rsidP="00C652DB">
            <w:pPr>
              <w:pStyle w:val="BodyText"/>
              <w:spacing w:line="288" w:lineRule="auto"/>
            </w:pPr>
            <w:r w:rsidRPr="00942C19">
              <w:t>Rs. 2500 per kW or part thereof per month</w:t>
            </w:r>
          </w:p>
        </w:tc>
      </w:tr>
    </w:tbl>
    <w:p w:rsidR="00C802EE" w:rsidRPr="00942C19" w:rsidRDefault="00C802EE" w:rsidP="00C802EE">
      <w:pPr>
        <w:spacing w:before="240" w:after="120" w:line="288" w:lineRule="auto"/>
        <w:ind w:left="720" w:right="1440"/>
        <w:rPr>
          <w:b/>
          <w:szCs w:val="22"/>
        </w:rPr>
      </w:pPr>
    </w:p>
    <w:p w:rsidR="00C802EE" w:rsidRPr="00942C19" w:rsidRDefault="00C802EE" w:rsidP="00C802EE">
      <w:pPr>
        <w:spacing w:line="240" w:lineRule="auto"/>
        <w:jc w:val="left"/>
        <w:rPr>
          <w:b/>
          <w:szCs w:val="22"/>
        </w:rPr>
      </w:pPr>
      <w:r w:rsidRPr="00942C19">
        <w:rPr>
          <w:b/>
          <w:szCs w:val="22"/>
        </w:rPr>
        <w:br w:type="page"/>
      </w:r>
    </w:p>
    <w:p w:rsidR="00C802EE" w:rsidRPr="00942C19" w:rsidRDefault="00C802EE" w:rsidP="00A818DC">
      <w:pPr>
        <w:numPr>
          <w:ilvl w:val="0"/>
          <w:numId w:val="73"/>
        </w:numPr>
        <w:tabs>
          <w:tab w:val="clear" w:pos="720"/>
          <w:tab w:val="num" w:pos="1440"/>
        </w:tabs>
        <w:spacing w:before="240" w:after="120" w:line="288" w:lineRule="auto"/>
        <w:ind w:left="446" w:right="1440" w:firstLine="274"/>
        <w:rPr>
          <w:b/>
          <w:szCs w:val="22"/>
        </w:rPr>
      </w:pPr>
      <w:r w:rsidRPr="00942C19">
        <w:rPr>
          <w:b/>
          <w:szCs w:val="22"/>
        </w:rPr>
        <w:t>Metered Supply:</w:t>
      </w:r>
    </w:p>
    <w:tbl>
      <w:tblPr>
        <w:tblW w:w="855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60"/>
        <w:gridCol w:w="1170"/>
        <w:gridCol w:w="1170"/>
        <w:gridCol w:w="1260"/>
        <w:gridCol w:w="1260"/>
        <w:gridCol w:w="1170"/>
        <w:gridCol w:w="1260"/>
      </w:tblGrid>
      <w:tr w:rsidR="00C802EE" w:rsidRPr="00942C19" w:rsidTr="00C652DB">
        <w:trPr>
          <w:tblHeader/>
        </w:trPr>
        <w:tc>
          <w:tcPr>
            <w:tcW w:w="1260" w:type="dxa"/>
            <w:tcBorders>
              <w:bottom w:val="single" w:sz="4" w:space="0" w:color="auto"/>
            </w:tcBorders>
            <w:shd w:val="pct12" w:color="auto" w:fill="auto"/>
          </w:tcPr>
          <w:p w:rsidR="00C802EE" w:rsidRPr="00942C19" w:rsidRDefault="00C802EE" w:rsidP="00C652DB">
            <w:pPr>
              <w:ind w:left="-108" w:right="-116"/>
              <w:jc w:val="center"/>
              <w:rPr>
                <w:b/>
              </w:rPr>
            </w:pPr>
            <w:r w:rsidRPr="00942C19">
              <w:rPr>
                <w:b/>
              </w:rPr>
              <w:t>Description</w:t>
            </w:r>
          </w:p>
        </w:tc>
        <w:tc>
          <w:tcPr>
            <w:tcW w:w="2340" w:type="dxa"/>
            <w:gridSpan w:val="2"/>
            <w:shd w:val="pct12" w:color="auto" w:fill="auto"/>
          </w:tcPr>
          <w:p w:rsidR="00C802EE" w:rsidRPr="00942C19" w:rsidRDefault="00C802EE" w:rsidP="00C652DB">
            <w:pPr>
              <w:jc w:val="center"/>
              <w:rPr>
                <w:b/>
              </w:rPr>
            </w:pPr>
            <w:r w:rsidRPr="00942C19">
              <w:rPr>
                <w:b/>
              </w:rPr>
              <w:t>Gram Panchayat</w:t>
            </w:r>
          </w:p>
        </w:tc>
        <w:tc>
          <w:tcPr>
            <w:tcW w:w="2520" w:type="dxa"/>
            <w:gridSpan w:val="2"/>
            <w:shd w:val="pct12" w:color="auto" w:fill="auto"/>
          </w:tcPr>
          <w:p w:rsidR="00C802EE" w:rsidRPr="00942C19" w:rsidRDefault="00C802EE" w:rsidP="00C652DB">
            <w:pPr>
              <w:jc w:val="center"/>
              <w:rPr>
                <w:b/>
                <w:lang w:val="sv-SE"/>
              </w:rPr>
            </w:pPr>
            <w:r w:rsidRPr="00942C19">
              <w:rPr>
                <w:b/>
                <w:lang w:val="sv-SE"/>
              </w:rPr>
              <w:t>Nagar Palika and Nagar Panchayat</w:t>
            </w:r>
          </w:p>
        </w:tc>
        <w:tc>
          <w:tcPr>
            <w:tcW w:w="2430" w:type="dxa"/>
            <w:gridSpan w:val="2"/>
            <w:shd w:val="pct12" w:color="auto" w:fill="auto"/>
          </w:tcPr>
          <w:p w:rsidR="00C802EE" w:rsidRPr="00942C19" w:rsidRDefault="00C802EE" w:rsidP="00C652DB">
            <w:pPr>
              <w:ind w:right="-122"/>
              <w:jc w:val="center"/>
              <w:rPr>
                <w:b/>
              </w:rPr>
            </w:pPr>
            <w:r w:rsidRPr="00942C19">
              <w:rPr>
                <w:b/>
              </w:rPr>
              <w:t>Nagar Nigam</w:t>
            </w:r>
          </w:p>
        </w:tc>
      </w:tr>
      <w:tr w:rsidR="00C802EE" w:rsidRPr="00942C19" w:rsidTr="00C652DB">
        <w:trPr>
          <w:trHeight w:val="462"/>
        </w:trPr>
        <w:tc>
          <w:tcPr>
            <w:tcW w:w="1260" w:type="dxa"/>
            <w:vMerge w:val="restart"/>
            <w:tcBorders>
              <w:top w:val="single" w:sz="4" w:space="0" w:color="auto"/>
            </w:tcBorders>
          </w:tcPr>
          <w:p w:rsidR="00C802EE" w:rsidRPr="00942C19" w:rsidRDefault="00C802EE" w:rsidP="00C652DB">
            <w:pPr>
              <w:ind w:right="-4"/>
            </w:pPr>
            <w:r w:rsidRPr="00942C19">
              <w:t>All loads</w:t>
            </w:r>
          </w:p>
        </w:tc>
        <w:tc>
          <w:tcPr>
            <w:tcW w:w="1170" w:type="dxa"/>
            <w:tcBorders>
              <w:bottom w:val="single" w:sz="4" w:space="0" w:color="auto"/>
              <w:right w:val="single" w:sz="4" w:space="0" w:color="auto"/>
            </w:tcBorders>
          </w:tcPr>
          <w:p w:rsidR="00C802EE" w:rsidRPr="00942C19" w:rsidRDefault="00C802EE" w:rsidP="00C652DB">
            <w:pPr>
              <w:pStyle w:val="BodyText"/>
              <w:spacing w:line="288" w:lineRule="auto"/>
            </w:pPr>
            <w:r w:rsidRPr="00942C19">
              <w:t>Fixed Charges</w:t>
            </w:r>
          </w:p>
        </w:tc>
        <w:tc>
          <w:tcPr>
            <w:tcW w:w="1170" w:type="dxa"/>
            <w:tcBorders>
              <w:left w:val="single" w:sz="4" w:space="0" w:color="auto"/>
              <w:bottom w:val="single" w:sz="4" w:space="0" w:color="auto"/>
            </w:tcBorders>
          </w:tcPr>
          <w:p w:rsidR="00C802EE" w:rsidRPr="00942C19" w:rsidRDefault="00C802EE" w:rsidP="00C652DB">
            <w:pPr>
              <w:pStyle w:val="BodyText"/>
              <w:spacing w:line="288" w:lineRule="auto"/>
            </w:pPr>
            <w:r w:rsidRPr="00942C19">
              <w:t>Energy Charges</w:t>
            </w:r>
          </w:p>
        </w:tc>
        <w:tc>
          <w:tcPr>
            <w:tcW w:w="1260" w:type="dxa"/>
            <w:tcBorders>
              <w:bottom w:val="single" w:sz="4" w:space="0" w:color="auto"/>
              <w:right w:val="single" w:sz="4" w:space="0" w:color="auto"/>
            </w:tcBorders>
          </w:tcPr>
          <w:p w:rsidR="00C802EE" w:rsidRPr="00942C19" w:rsidRDefault="00C802EE" w:rsidP="00C652DB">
            <w:pPr>
              <w:pStyle w:val="BodyText"/>
              <w:spacing w:line="288" w:lineRule="auto"/>
            </w:pPr>
            <w:r w:rsidRPr="00942C19">
              <w:t>Fixed Charges</w:t>
            </w:r>
          </w:p>
        </w:tc>
        <w:tc>
          <w:tcPr>
            <w:tcW w:w="1260" w:type="dxa"/>
            <w:tcBorders>
              <w:left w:val="single" w:sz="4" w:space="0" w:color="auto"/>
              <w:bottom w:val="single" w:sz="4" w:space="0" w:color="auto"/>
            </w:tcBorders>
          </w:tcPr>
          <w:p w:rsidR="00C802EE" w:rsidRPr="00942C19" w:rsidRDefault="00C802EE" w:rsidP="00C652DB">
            <w:pPr>
              <w:pStyle w:val="BodyText"/>
              <w:spacing w:line="288" w:lineRule="auto"/>
            </w:pPr>
            <w:r w:rsidRPr="00942C19">
              <w:t>Energy Charges</w:t>
            </w:r>
          </w:p>
        </w:tc>
        <w:tc>
          <w:tcPr>
            <w:tcW w:w="1170" w:type="dxa"/>
            <w:tcBorders>
              <w:bottom w:val="single" w:sz="4" w:space="0" w:color="auto"/>
              <w:right w:val="single" w:sz="4" w:space="0" w:color="auto"/>
            </w:tcBorders>
          </w:tcPr>
          <w:p w:rsidR="00C802EE" w:rsidRPr="00942C19" w:rsidRDefault="00C802EE" w:rsidP="00C652DB">
            <w:pPr>
              <w:pStyle w:val="BodyText"/>
              <w:spacing w:line="288" w:lineRule="auto"/>
            </w:pPr>
            <w:r w:rsidRPr="00942C19">
              <w:t>Fixed Charges</w:t>
            </w:r>
          </w:p>
        </w:tc>
        <w:tc>
          <w:tcPr>
            <w:tcW w:w="1260" w:type="dxa"/>
            <w:tcBorders>
              <w:left w:val="single" w:sz="4" w:space="0" w:color="auto"/>
              <w:bottom w:val="single" w:sz="4" w:space="0" w:color="auto"/>
            </w:tcBorders>
          </w:tcPr>
          <w:p w:rsidR="00C802EE" w:rsidRPr="00942C19" w:rsidRDefault="00C802EE" w:rsidP="00C652DB">
            <w:pPr>
              <w:pStyle w:val="BodyText"/>
              <w:spacing w:line="288" w:lineRule="auto"/>
            </w:pPr>
            <w:r w:rsidRPr="00942C19">
              <w:t>Energy Charges</w:t>
            </w:r>
          </w:p>
        </w:tc>
      </w:tr>
      <w:tr w:rsidR="00C802EE" w:rsidRPr="00942C19" w:rsidTr="00C652DB">
        <w:trPr>
          <w:trHeight w:val="570"/>
        </w:trPr>
        <w:tc>
          <w:tcPr>
            <w:tcW w:w="1260" w:type="dxa"/>
            <w:vMerge/>
          </w:tcPr>
          <w:p w:rsidR="00C802EE" w:rsidRPr="00942C19" w:rsidRDefault="00C802EE" w:rsidP="00C652DB">
            <w:pPr>
              <w:ind w:right="-4"/>
            </w:pPr>
          </w:p>
        </w:tc>
        <w:tc>
          <w:tcPr>
            <w:tcW w:w="1170" w:type="dxa"/>
            <w:tcBorders>
              <w:top w:val="single" w:sz="4" w:space="0" w:color="auto"/>
              <w:bottom w:val="single" w:sz="4" w:space="0" w:color="auto"/>
              <w:right w:val="single" w:sz="4" w:space="0" w:color="auto"/>
            </w:tcBorders>
          </w:tcPr>
          <w:p w:rsidR="00C802EE" w:rsidRPr="00942C19" w:rsidRDefault="00C802EE" w:rsidP="00C652DB">
            <w:pPr>
              <w:pStyle w:val="BodyText"/>
              <w:spacing w:line="288" w:lineRule="auto"/>
              <w:jc w:val="left"/>
            </w:pPr>
            <w:r w:rsidRPr="00942C19">
              <w:t>Rs. 120 / kW / month</w:t>
            </w:r>
          </w:p>
        </w:tc>
        <w:tc>
          <w:tcPr>
            <w:tcW w:w="1170" w:type="dxa"/>
            <w:tcBorders>
              <w:top w:val="single" w:sz="4" w:space="0" w:color="auto"/>
              <w:left w:val="single" w:sz="4" w:space="0" w:color="auto"/>
              <w:bottom w:val="single" w:sz="4" w:space="0" w:color="auto"/>
            </w:tcBorders>
          </w:tcPr>
          <w:p w:rsidR="00C802EE" w:rsidRPr="00942C19" w:rsidRDefault="00C802EE" w:rsidP="00C652DB">
            <w:pPr>
              <w:pStyle w:val="BodyText"/>
              <w:spacing w:line="288" w:lineRule="auto"/>
              <w:jc w:val="left"/>
            </w:pPr>
            <w:r w:rsidRPr="00942C19">
              <w:t>Rs. 5.25 / kWh</w:t>
            </w:r>
          </w:p>
        </w:tc>
        <w:tc>
          <w:tcPr>
            <w:tcW w:w="1260" w:type="dxa"/>
            <w:tcBorders>
              <w:top w:val="single" w:sz="4" w:space="0" w:color="auto"/>
              <w:bottom w:val="single" w:sz="4" w:space="0" w:color="auto"/>
              <w:right w:val="single" w:sz="4" w:space="0" w:color="auto"/>
            </w:tcBorders>
          </w:tcPr>
          <w:p w:rsidR="00C802EE" w:rsidRPr="00942C19" w:rsidRDefault="00C802EE" w:rsidP="00C652DB">
            <w:pPr>
              <w:pStyle w:val="BodyText"/>
              <w:spacing w:line="288" w:lineRule="auto"/>
              <w:jc w:val="left"/>
            </w:pPr>
            <w:r w:rsidRPr="00942C19">
              <w:t>Rs. 150 / kW / month</w:t>
            </w:r>
          </w:p>
        </w:tc>
        <w:tc>
          <w:tcPr>
            <w:tcW w:w="1260" w:type="dxa"/>
            <w:tcBorders>
              <w:top w:val="single" w:sz="4" w:space="0" w:color="auto"/>
              <w:left w:val="single" w:sz="4" w:space="0" w:color="auto"/>
              <w:bottom w:val="single" w:sz="4" w:space="0" w:color="auto"/>
            </w:tcBorders>
          </w:tcPr>
          <w:p w:rsidR="00C802EE" w:rsidRPr="00942C19" w:rsidRDefault="00C802EE" w:rsidP="00C652DB">
            <w:pPr>
              <w:pStyle w:val="BodyText"/>
              <w:spacing w:line="288" w:lineRule="auto"/>
              <w:jc w:val="left"/>
            </w:pPr>
            <w:r w:rsidRPr="00942C19">
              <w:t>Rs. 5.60 /</w:t>
            </w:r>
          </w:p>
          <w:p w:rsidR="00C802EE" w:rsidRPr="00942C19" w:rsidRDefault="00C802EE" w:rsidP="00C652DB">
            <w:pPr>
              <w:pStyle w:val="BodyText"/>
              <w:spacing w:line="288" w:lineRule="auto"/>
              <w:jc w:val="left"/>
            </w:pPr>
            <w:r w:rsidRPr="00942C19">
              <w:t>kWh</w:t>
            </w:r>
          </w:p>
        </w:tc>
        <w:tc>
          <w:tcPr>
            <w:tcW w:w="1170" w:type="dxa"/>
            <w:tcBorders>
              <w:top w:val="single" w:sz="4" w:space="0" w:color="auto"/>
              <w:bottom w:val="single" w:sz="4" w:space="0" w:color="auto"/>
              <w:right w:val="single" w:sz="4" w:space="0" w:color="auto"/>
            </w:tcBorders>
          </w:tcPr>
          <w:p w:rsidR="00C802EE" w:rsidRPr="00942C19" w:rsidRDefault="00C802EE" w:rsidP="00C652DB">
            <w:pPr>
              <w:pStyle w:val="BodyText"/>
              <w:spacing w:line="288" w:lineRule="auto"/>
              <w:jc w:val="left"/>
            </w:pPr>
            <w:r w:rsidRPr="00942C19">
              <w:t>Rs. 160 / kW / month</w:t>
            </w:r>
          </w:p>
        </w:tc>
        <w:tc>
          <w:tcPr>
            <w:tcW w:w="1260" w:type="dxa"/>
            <w:tcBorders>
              <w:top w:val="single" w:sz="4" w:space="0" w:color="auto"/>
              <w:left w:val="single" w:sz="4" w:space="0" w:color="auto"/>
              <w:bottom w:val="single" w:sz="4" w:space="0" w:color="auto"/>
            </w:tcBorders>
          </w:tcPr>
          <w:p w:rsidR="00C802EE" w:rsidRPr="00942C19" w:rsidRDefault="00C802EE" w:rsidP="00C652DB">
            <w:pPr>
              <w:pStyle w:val="BodyText"/>
              <w:spacing w:line="288" w:lineRule="auto"/>
              <w:jc w:val="left"/>
            </w:pPr>
            <w:r w:rsidRPr="00942C19">
              <w:t>Rs. 5.75 / kWh</w:t>
            </w:r>
          </w:p>
        </w:tc>
      </w:tr>
    </w:tbl>
    <w:p w:rsidR="00C802EE" w:rsidRPr="00942C19" w:rsidRDefault="00C802EE" w:rsidP="00C802EE">
      <w:pPr>
        <w:tabs>
          <w:tab w:val="left" w:pos="360"/>
        </w:tabs>
        <w:spacing w:before="60" w:after="120"/>
        <w:ind w:right="29"/>
        <w:rPr>
          <w:szCs w:val="22"/>
        </w:rPr>
      </w:pPr>
      <w:r w:rsidRPr="00942C19">
        <w:rPr>
          <w:b/>
          <w:szCs w:val="22"/>
        </w:rPr>
        <w:tab/>
      </w:r>
      <w:r w:rsidRPr="00942C19">
        <w:rPr>
          <w:szCs w:val="22"/>
        </w:rPr>
        <w:t xml:space="preserve"> </w:t>
      </w:r>
    </w:p>
    <w:p w:rsidR="00C802EE" w:rsidRPr="00942C19" w:rsidRDefault="00C802EE" w:rsidP="00C802EE">
      <w:pPr>
        <w:tabs>
          <w:tab w:val="left" w:pos="360"/>
        </w:tabs>
        <w:spacing w:before="60" w:after="120"/>
        <w:ind w:right="29"/>
        <w:jc w:val="center"/>
        <w:rPr>
          <w:b/>
          <w:szCs w:val="22"/>
        </w:rPr>
      </w:pPr>
      <w:r w:rsidRPr="00942C19">
        <w:rPr>
          <w:b/>
          <w:szCs w:val="22"/>
        </w:rPr>
        <w:t>TOD Rates applicable for the metered supply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942C19" w:rsidTr="00C652DB">
        <w:trPr>
          <w:jc w:val="center"/>
        </w:trPr>
        <w:tc>
          <w:tcPr>
            <w:tcW w:w="2947" w:type="dxa"/>
          </w:tcPr>
          <w:p w:rsidR="00C802EE" w:rsidRPr="00942C19" w:rsidRDefault="00C802EE" w:rsidP="00C652DB">
            <w:pPr>
              <w:tabs>
                <w:tab w:val="left" w:pos="360"/>
              </w:tabs>
              <w:spacing w:before="60" w:after="120"/>
              <w:ind w:right="29"/>
            </w:pPr>
            <w:r w:rsidRPr="00942C19">
              <w:rPr>
                <w:szCs w:val="22"/>
              </w:rPr>
              <w:t>18:00 hrs – 06:00 hrs</w:t>
            </w:r>
          </w:p>
        </w:tc>
        <w:tc>
          <w:tcPr>
            <w:tcW w:w="2976" w:type="dxa"/>
          </w:tcPr>
          <w:p w:rsidR="00C802EE" w:rsidRPr="00942C19" w:rsidRDefault="00C802EE" w:rsidP="00C652DB">
            <w:pPr>
              <w:tabs>
                <w:tab w:val="left" w:pos="360"/>
              </w:tabs>
              <w:spacing w:before="60" w:after="120"/>
              <w:ind w:right="29"/>
            </w:pPr>
            <w:r w:rsidRPr="00942C19">
              <w:rPr>
                <w:szCs w:val="22"/>
              </w:rPr>
              <w:t xml:space="preserve">0% </w:t>
            </w:r>
          </w:p>
        </w:tc>
      </w:tr>
      <w:tr w:rsidR="00C802EE" w:rsidRPr="00942C19" w:rsidTr="00C652DB">
        <w:trPr>
          <w:jc w:val="center"/>
        </w:trPr>
        <w:tc>
          <w:tcPr>
            <w:tcW w:w="2947" w:type="dxa"/>
          </w:tcPr>
          <w:p w:rsidR="00C802EE" w:rsidRPr="00942C19" w:rsidRDefault="00C802EE" w:rsidP="00C652DB">
            <w:pPr>
              <w:tabs>
                <w:tab w:val="left" w:pos="360"/>
              </w:tabs>
              <w:spacing w:before="60" w:after="120"/>
              <w:ind w:right="29"/>
            </w:pPr>
            <w:r w:rsidRPr="00942C19">
              <w:rPr>
                <w:szCs w:val="22"/>
              </w:rPr>
              <w:t>06:00 hrs – 18:00 hrs</w:t>
            </w:r>
          </w:p>
        </w:tc>
        <w:tc>
          <w:tcPr>
            <w:tcW w:w="2976" w:type="dxa"/>
          </w:tcPr>
          <w:p w:rsidR="00C802EE" w:rsidRPr="00942C19" w:rsidRDefault="00C802EE" w:rsidP="00C652DB">
            <w:pPr>
              <w:tabs>
                <w:tab w:val="left" w:pos="360"/>
              </w:tabs>
              <w:spacing w:before="60" w:after="120"/>
              <w:ind w:right="29"/>
            </w:pPr>
            <w:r w:rsidRPr="00942C19">
              <w:rPr>
                <w:szCs w:val="22"/>
              </w:rPr>
              <w:t xml:space="preserve">(+) 20% </w:t>
            </w:r>
          </w:p>
        </w:tc>
      </w:tr>
    </w:tbl>
    <w:p w:rsidR="00C802EE" w:rsidRPr="00942C19" w:rsidRDefault="00C802EE" w:rsidP="00C802EE">
      <w:pPr>
        <w:tabs>
          <w:tab w:val="left" w:pos="360"/>
        </w:tabs>
        <w:spacing w:before="60" w:after="120"/>
        <w:ind w:right="29"/>
        <w:rPr>
          <w:szCs w:val="22"/>
        </w:rPr>
      </w:pPr>
    </w:p>
    <w:p w:rsidR="00C802EE" w:rsidRPr="00942C19" w:rsidRDefault="00785E17" w:rsidP="00C802EE">
      <w:pPr>
        <w:tabs>
          <w:tab w:val="left" w:pos="360"/>
        </w:tabs>
        <w:spacing w:before="60" w:after="120"/>
        <w:ind w:left="360" w:right="29" w:hanging="360"/>
        <w:rPr>
          <w:b/>
          <w:bCs/>
          <w:szCs w:val="22"/>
          <w:u w:val="single"/>
        </w:rPr>
      </w:pPr>
      <w:r w:rsidRPr="00942C19">
        <w:rPr>
          <w:b/>
          <w:szCs w:val="22"/>
        </w:rPr>
        <w:t>4.</w:t>
      </w:r>
      <w:r w:rsidRPr="00942C19">
        <w:rPr>
          <w:b/>
          <w:szCs w:val="22"/>
        </w:rPr>
        <w:tab/>
      </w:r>
      <w:r w:rsidRPr="00942C19">
        <w:rPr>
          <w:szCs w:val="22"/>
        </w:rPr>
        <w:t>For ‘Maintenance Charges’, ‘Provision of Lamps’ and ‘Verification of Load’ refer ANNEXURE 10.2.2</w:t>
      </w:r>
      <w:r w:rsidRPr="00942C19">
        <w:rPr>
          <w:b/>
          <w:szCs w:val="22"/>
        </w:rPr>
        <w:t>.</w:t>
      </w:r>
    </w:p>
    <w:p w:rsidR="00C802EE" w:rsidRPr="00942C19" w:rsidRDefault="00C802EE" w:rsidP="00C802EE">
      <w:pPr>
        <w:tabs>
          <w:tab w:val="left" w:pos="8280"/>
        </w:tabs>
        <w:spacing w:before="60" w:after="120"/>
        <w:ind w:right="29"/>
        <w:jc w:val="center"/>
        <w:rPr>
          <w:b/>
          <w:u w:val="single"/>
        </w:rPr>
      </w:pPr>
      <w:r w:rsidRPr="00942C19">
        <w:rPr>
          <w:b/>
          <w:bCs/>
          <w:szCs w:val="22"/>
          <w:u w:val="single"/>
        </w:rPr>
        <w:br w:type="page"/>
      </w:r>
      <w:r w:rsidRPr="00942C19">
        <w:rPr>
          <w:b/>
          <w:u w:val="single"/>
        </w:rPr>
        <w:t>RATE SCHEDULE LMV– 4:</w:t>
      </w:r>
    </w:p>
    <w:p w:rsidR="00C802EE" w:rsidRPr="00942C19" w:rsidRDefault="00C802EE" w:rsidP="00C802EE">
      <w:pPr>
        <w:jc w:val="center"/>
        <w:rPr>
          <w:b/>
        </w:rPr>
      </w:pPr>
    </w:p>
    <w:p w:rsidR="00C802EE" w:rsidRPr="00942C19" w:rsidRDefault="00C802EE" w:rsidP="00C802EE">
      <w:pPr>
        <w:jc w:val="center"/>
        <w:rPr>
          <w:b/>
        </w:rPr>
      </w:pPr>
      <w:r w:rsidRPr="00942C19">
        <w:rPr>
          <w:b/>
        </w:rPr>
        <w:t>LIGHT, FAN &amp; POWER FOR PUBLIC INSTITUTIONS AND PRIVATE INSTITUTIONS:</w:t>
      </w:r>
    </w:p>
    <w:p w:rsidR="00C802EE" w:rsidRPr="00942C19" w:rsidRDefault="00C802EE" w:rsidP="00C802EE">
      <w:pPr>
        <w:jc w:val="center"/>
        <w:rPr>
          <w:b/>
        </w:rPr>
      </w:pPr>
    </w:p>
    <w:p w:rsidR="00C802EE" w:rsidRPr="00942C19" w:rsidRDefault="00C802EE" w:rsidP="00C802EE">
      <w:pPr>
        <w:rPr>
          <w:b/>
        </w:rPr>
      </w:pPr>
      <w:r w:rsidRPr="00942C19">
        <w:rPr>
          <w:b/>
        </w:rPr>
        <w:t>1.</w:t>
      </w:r>
      <w:r w:rsidRPr="00942C19">
        <w:rPr>
          <w:b/>
        </w:rPr>
        <w:tab/>
        <w:t>APPLICABILITY:</w:t>
      </w:r>
    </w:p>
    <w:p w:rsidR="00C802EE" w:rsidRPr="00942C19" w:rsidRDefault="00C802EE" w:rsidP="00C802EE">
      <w:pPr>
        <w:tabs>
          <w:tab w:val="left" w:pos="540"/>
        </w:tabs>
        <w:spacing w:before="60" w:after="120"/>
        <w:ind w:right="-61"/>
        <w:rPr>
          <w:szCs w:val="22"/>
        </w:rPr>
      </w:pPr>
      <w:r w:rsidRPr="00942C19">
        <w:rPr>
          <w:b/>
          <w:szCs w:val="22"/>
        </w:rPr>
        <w:tab/>
      </w:r>
      <w:r w:rsidRPr="00942C19">
        <w:rPr>
          <w:b/>
          <w:szCs w:val="22"/>
        </w:rPr>
        <w:tab/>
        <w:t>LMV- 4 (A) - PUBLIC INSTITUTIONS:</w:t>
      </w:r>
    </w:p>
    <w:p w:rsidR="00C802EE" w:rsidRPr="00942C19" w:rsidRDefault="00C802EE" w:rsidP="00C802EE">
      <w:pPr>
        <w:spacing w:before="60" w:after="120"/>
        <w:ind w:left="540" w:right="-61"/>
        <w:rPr>
          <w:szCs w:val="22"/>
        </w:rPr>
      </w:pPr>
      <w:r w:rsidRPr="00942C19">
        <w:rPr>
          <w:szCs w:val="22"/>
        </w:rPr>
        <w:tab/>
        <w:t>This schedule shall apply to:</w:t>
      </w:r>
    </w:p>
    <w:p w:rsidR="00C802EE" w:rsidRPr="00942C19" w:rsidRDefault="00C802EE" w:rsidP="00C802EE">
      <w:pPr>
        <w:spacing w:before="60" w:after="120"/>
        <w:ind w:left="1440" w:right="-58" w:hanging="720"/>
        <w:rPr>
          <w:szCs w:val="22"/>
        </w:rPr>
      </w:pPr>
      <w:r w:rsidRPr="00942C19">
        <w:rPr>
          <w:szCs w:val="22"/>
        </w:rPr>
        <w:t xml:space="preserve">(a) </w:t>
      </w:r>
      <w:r w:rsidRPr="00942C19">
        <w:rPr>
          <w:szCs w:val="22"/>
        </w:rPr>
        <w:tab/>
      </w:r>
      <w:smartTag w:uri="urn:schemas-microsoft-com:office:smarttags" w:element="place">
        <w:smartTag w:uri="urn:schemas-microsoft-com:office:smarttags" w:element="PlaceName">
          <w:r w:rsidRPr="00942C19">
            <w:rPr>
              <w:szCs w:val="22"/>
            </w:rPr>
            <w:t>Government</w:t>
          </w:r>
        </w:smartTag>
        <w:r w:rsidRPr="00942C19">
          <w:rPr>
            <w:szCs w:val="22"/>
          </w:rPr>
          <w:t xml:space="preserve"> </w:t>
        </w:r>
        <w:smartTag w:uri="urn:schemas-microsoft-com:office:smarttags" w:element="PlaceType">
          <w:r w:rsidRPr="00942C19">
            <w:rPr>
              <w:szCs w:val="22"/>
            </w:rPr>
            <w:t>Hospitals</w:t>
          </w:r>
        </w:smartTag>
      </w:smartTag>
      <w:r w:rsidRPr="00942C19">
        <w:rPr>
          <w:szCs w:val="22"/>
        </w:rPr>
        <w:t xml:space="preserve"> / Government Research Institutions / Offices of the Government Organizations other than companies registered under Companies Act 1956.</w:t>
      </w:r>
    </w:p>
    <w:p w:rsidR="00C802EE" w:rsidRPr="00942C19" w:rsidRDefault="00C802EE" w:rsidP="00C802EE">
      <w:pPr>
        <w:spacing w:before="60" w:after="120"/>
        <w:ind w:left="1440" w:right="-58" w:hanging="720"/>
        <w:rPr>
          <w:szCs w:val="22"/>
        </w:rPr>
      </w:pPr>
      <w:r w:rsidRPr="00942C19">
        <w:rPr>
          <w:szCs w:val="22"/>
        </w:rPr>
        <w:t xml:space="preserve">(b) </w:t>
      </w:r>
      <w:r w:rsidRPr="00942C19">
        <w:rPr>
          <w:szCs w:val="22"/>
        </w:rPr>
        <w:tab/>
        <w:t>Government &amp; Government aided (i) Educational Institutions (ii) Hostels (iii) Libraries</w:t>
      </w:r>
    </w:p>
    <w:p w:rsidR="00C802EE" w:rsidRPr="00942C19"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942C19">
        <w:rPr>
          <w:szCs w:val="22"/>
        </w:rPr>
        <w:t xml:space="preserve">Religious and charitable Institutions including orphanage homes, old age homes and those providing services free of cost or at the charges / structure of charges not exceeding those in similar Government operated institutions. </w:t>
      </w:r>
    </w:p>
    <w:p w:rsidR="00C802EE" w:rsidRPr="00942C19"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942C19">
        <w:rPr>
          <w:szCs w:val="22"/>
        </w:rPr>
        <w:t xml:space="preserve">Railway Establishments (excluding railway traction, industrial premises &amp; Metro) such as Booking Centres, Railway Stations &amp; Railway Research and Development Organization, Railway rest houses, Railway holiday homes, Railway inspection houses. </w:t>
      </w:r>
    </w:p>
    <w:p w:rsidR="00C802EE" w:rsidRPr="00942C19"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942C19">
        <w:rPr>
          <w:szCs w:val="22"/>
        </w:rPr>
        <w:t xml:space="preserve">All </w:t>
      </w:r>
      <w:smartTag w:uri="urn:schemas-microsoft-com:office:smarttags" w:element="place">
        <w:smartTag w:uri="urn:schemas-microsoft-com:office:smarttags" w:element="country-region">
          <w:r w:rsidRPr="00942C19">
            <w:rPr>
              <w:szCs w:val="22"/>
            </w:rPr>
            <w:t>India</w:t>
          </w:r>
        </w:smartTag>
      </w:smartTag>
      <w:r w:rsidRPr="00942C19">
        <w:rPr>
          <w:szCs w:val="22"/>
        </w:rPr>
        <w:t xml:space="preserve"> Radio and Doordarshan.</w:t>
      </w:r>
    </w:p>
    <w:p w:rsidR="00C802EE" w:rsidRPr="00942C19" w:rsidRDefault="00C802EE" w:rsidP="00C802EE">
      <w:pPr>
        <w:tabs>
          <w:tab w:val="num" w:pos="1440"/>
        </w:tabs>
        <w:spacing w:before="60" w:after="120"/>
        <w:ind w:left="720" w:right="-58"/>
        <w:rPr>
          <w:szCs w:val="22"/>
        </w:rPr>
      </w:pPr>
    </w:p>
    <w:p w:rsidR="00C802EE" w:rsidRPr="00942C19" w:rsidRDefault="00C802EE" w:rsidP="00C802EE">
      <w:pPr>
        <w:tabs>
          <w:tab w:val="left" w:pos="720"/>
        </w:tabs>
        <w:spacing w:before="60" w:after="120"/>
        <w:ind w:right="-61"/>
        <w:rPr>
          <w:b/>
          <w:szCs w:val="22"/>
        </w:rPr>
      </w:pPr>
      <w:r w:rsidRPr="00942C19">
        <w:rPr>
          <w:b/>
          <w:szCs w:val="22"/>
        </w:rPr>
        <w:tab/>
        <w:t>LMV-4 (B) - PRIVATE INSTITUTIONS:</w:t>
      </w:r>
    </w:p>
    <w:p w:rsidR="00C802EE" w:rsidRPr="00942C19" w:rsidRDefault="00C802EE" w:rsidP="00C802EE">
      <w:pPr>
        <w:tabs>
          <w:tab w:val="left" w:pos="360"/>
        </w:tabs>
        <w:spacing w:before="60" w:after="120"/>
        <w:ind w:left="720" w:right="-61"/>
        <w:rPr>
          <w:b/>
          <w:szCs w:val="22"/>
        </w:rPr>
      </w:pPr>
      <w:r w:rsidRPr="00942C19">
        <w:rPr>
          <w:szCs w:val="22"/>
        </w:rPr>
        <w:t>This schedule shall apply to non-Government hospitals, nursing homes / dispensaries / clinics, private research institutes, and schools / colleges / educational institutes &amp; charitable institutions / trusts not covered under</w:t>
      </w:r>
      <w:r w:rsidR="00D31265" w:rsidRPr="00942C19">
        <w:rPr>
          <w:szCs w:val="22"/>
        </w:rPr>
        <w:t xml:space="preserve"> </w:t>
      </w:r>
      <w:r w:rsidR="00785E17" w:rsidRPr="00942C19">
        <w:rPr>
          <w:b/>
          <w:szCs w:val="22"/>
        </w:rPr>
        <w:t>(A)</w:t>
      </w:r>
      <w:r w:rsidR="00D31265" w:rsidRPr="00942C19">
        <w:rPr>
          <w:szCs w:val="22"/>
        </w:rPr>
        <w:t xml:space="preserve"> </w:t>
      </w:r>
      <w:r w:rsidRPr="00942C19">
        <w:rPr>
          <w:szCs w:val="22"/>
        </w:rPr>
        <w:t>above</w:t>
      </w:r>
      <w:r w:rsidRPr="00942C19">
        <w:rPr>
          <w:b/>
          <w:szCs w:val="22"/>
        </w:rPr>
        <w:t>.</w:t>
      </w:r>
    </w:p>
    <w:p w:rsidR="00C802EE" w:rsidRPr="00942C19" w:rsidRDefault="00C802EE" w:rsidP="00C802EE">
      <w:pPr>
        <w:tabs>
          <w:tab w:val="left" w:pos="360"/>
        </w:tabs>
        <w:spacing w:before="60" w:after="120"/>
        <w:ind w:left="720" w:right="-61"/>
        <w:rPr>
          <w:b/>
          <w:szCs w:val="22"/>
        </w:rPr>
      </w:pPr>
    </w:p>
    <w:p w:rsidR="00C802EE" w:rsidRPr="00942C19" w:rsidRDefault="00C802EE" w:rsidP="00C802EE">
      <w:pPr>
        <w:ind w:left="720" w:hanging="720"/>
        <w:rPr>
          <w:szCs w:val="22"/>
        </w:rPr>
      </w:pPr>
      <w:r w:rsidRPr="00942C19">
        <w:rPr>
          <w:b/>
          <w:szCs w:val="22"/>
        </w:rPr>
        <w:t>2</w:t>
      </w:r>
      <w:r w:rsidRPr="00942C19">
        <w:rPr>
          <w:szCs w:val="22"/>
        </w:rPr>
        <w:t xml:space="preserve">. </w:t>
      </w:r>
      <w:r w:rsidRPr="00942C19">
        <w:rPr>
          <w:b/>
          <w:szCs w:val="22"/>
        </w:rPr>
        <w:t xml:space="preserve"> </w:t>
      </w:r>
      <w:r w:rsidRPr="00942C19">
        <w:rPr>
          <w:b/>
          <w:szCs w:val="22"/>
        </w:rPr>
        <w:tab/>
        <w:t>CHARACTER AND POINT OF SUPPLY</w:t>
      </w:r>
      <w:r w:rsidRPr="00942C19">
        <w:rPr>
          <w:szCs w:val="22"/>
        </w:rPr>
        <w:t xml:space="preserve">: </w:t>
      </w:r>
    </w:p>
    <w:p w:rsidR="00C802EE" w:rsidRPr="00942C19" w:rsidRDefault="00C802EE" w:rsidP="00C802EE">
      <w:pPr>
        <w:spacing w:line="240" w:lineRule="auto"/>
        <w:ind w:left="360" w:right="-58" w:firstLine="360"/>
        <w:rPr>
          <w:rFonts w:cs="Arial"/>
          <w:szCs w:val="22"/>
        </w:rPr>
      </w:pPr>
      <w:r w:rsidRPr="00942C19">
        <w:rPr>
          <w:szCs w:val="22"/>
        </w:rPr>
        <w:t>As per the applicable provisions of Electricity Supply Code.</w:t>
      </w:r>
    </w:p>
    <w:p w:rsidR="00C802EE" w:rsidRPr="00942C19" w:rsidRDefault="00C802EE" w:rsidP="00C802EE">
      <w:pPr>
        <w:ind w:left="720" w:hanging="360"/>
        <w:rPr>
          <w:szCs w:val="22"/>
        </w:rPr>
      </w:pPr>
    </w:p>
    <w:p w:rsidR="00C802EE" w:rsidRPr="00942C19" w:rsidRDefault="00C802EE" w:rsidP="00C802EE">
      <w:pPr>
        <w:rPr>
          <w:b/>
        </w:rPr>
      </w:pPr>
      <w:r w:rsidRPr="00942C19">
        <w:rPr>
          <w:b/>
        </w:rPr>
        <w:t>3.</w:t>
      </w:r>
      <w:r w:rsidRPr="00942C19">
        <w:rPr>
          <w:b/>
        </w:rPr>
        <w:tab/>
        <w:t>RATE:</w:t>
      </w:r>
    </w:p>
    <w:p w:rsidR="00C802EE" w:rsidRPr="00942C19" w:rsidRDefault="00C802EE" w:rsidP="00C802EE">
      <w:pPr>
        <w:spacing w:after="240"/>
        <w:ind w:left="720"/>
        <w:rPr>
          <w:szCs w:val="22"/>
        </w:rPr>
      </w:pPr>
      <w:r w:rsidRPr="00942C19">
        <w:rPr>
          <w:szCs w:val="22"/>
        </w:rPr>
        <w:t>Rate, gives the fixed and energy charges at which the consumer shall be billed for his consumption during the billing period applicable to the category:</w:t>
      </w:r>
    </w:p>
    <w:tbl>
      <w:tblPr>
        <w:tblW w:w="7920" w:type="dxa"/>
        <w:jc w:val="right"/>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9"/>
        <w:gridCol w:w="2611"/>
        <w:gridCol w:w="2340"/>
      </w:tblGrid>
      <w:tr w:rsidR="00C802EE" w:rsidRPr="00942C19" w:rsidTr="00C652DB">
        <w:trPr>
          <w:jc w:val="right"/>
        </w:trPr>
        <w:tc>
          <w:tcPr>
            <w:tcW w:w="2969" w:type="dxa"/>
            <w:shd w:val="pct12" w:color="auto" w:fill="auto"/>
          </w:tcPr>
          <w:p w:rsidR="00C802EE" w:rsidRPr="00942C19" w:rsidRDefault="00C802EE" w:rsidP="00C652DB">
            <w:pPr>
              <w:tabs>
                <w:tab w:val="left" w:pos="360"/>
              </w:tabs>
              <w:ind w:right="612"/>
              <w:rPr>
                <w:rFonts w:cs="Arial"/>
                <w:b/>
              </w:rPr>
            </w:pPr>
            <w:r w:rsidRPr="00942C19">
              <w:rPr>
                <w:rFonts w:cs="Arial"/>
                <w:b/>
                <w:szCs w:val="22"/>
              </w:rPr>
              <w:t>Description</w:t>
            </w:r>
          </w:p>
        </w:tc>
        <w:tc>
          <w:tcPr>
            <w:tcW w:w="2611" w:type="dxa"/>
            <w:shd w:val="pct12" w:color="auto" w:fill="auto"/>
          </w:tcPr>
          <w:p w:rsidR="00C802EE" w:rsidRPr="00942C19" w:rsidRDefault="00C802EE" w:rsidP="00C652DB">
            <w:pPr>
              <w:tabs>
                <w:tab w:val="left" w:pos="360"/>
              </w:tabs>
              <w:ind w:right="72"/>
              <w:jc w:val="center"/>
              <w:rPr>
                <w:rFonts w:cs="Arial"/>
                <w:b/>
              </w:rPr>
            </w:pPr>
            <w:r w:rsidRPr="00942C19">
              <w:rPr>
                <w:rFonts w:cs="Arial"/>
                <w:b/>
                <w:szCs w:val="22"/>
              </w:rPr>
              <w:t>Fixed Charge</w:t>
            </w:r>
          </w:p>
        </w:tc>
        <w:tc>
          <w:tcPr>
            <w:tcW w:w="2340" w:type="dxa"/>
            <w:shd w:val="pct12" w:color="auto" w:fill="auto"/>
          </w:tcPr>
          <w:p w:rsidR="00C802EE" w:rsidRPr="00942C19" w:rsidRDefault="00C802EE" w:rsidP="00C652DB">
            <w:pPr>
              <w:pStyle w:val="Header"/>
              <w:tabs>
                <w:tab w:val="clear" w:pos="4320"/>
                <w:tab w:val="clear" w:pos="8640"/>
                <w:tab w:val="left" w:pos="360"/>
              </w:tabs>
              <w:jc w:val="center"/>
              <w:rPr>
                <w:rFonts w:cs="Arial"/>
                <w:bCs/>
              </w:rPr>
            </w:pPr>
            <w:r w:rsidRPr="00942C19">
              <w:rPr>
                <w:rFonts w:cs="Arial"/>
                <w:b/>
                <w:szCs w:val="22"/>
              </w:rPr>
              <w:t>Energy Charge</w:t>
            </w:r>
          </w:p>
        </w:tc>
      </w:tr>
      <w:tr w:rsidR="00C802EE" w:rsidRPr="00942C19" w:rsidTr="00C652DB">
        <w:trPr>
          <w:jc w:val="right"/>
        </w:trPr>
        <w:tc>
          <w:tcPr>
            <w:tcW w:w="2969" w:type="dxa"/>
          </w:tcPr>
          <w:p w:rsidR="00C802EE" w:rsidRPr="00942C19" w:rsidRDefault="00C802EE" w:rsidP="00C652DB">
            <w:pPr>
              <w:pStyle w:val="Header"/>
              <w:tabs>
                <w:tab w:val="clear" w:pos="4320"/>
                <w:tab w:val="clear" w:pos="8640"/>
                <w:tab w:val="left" w:pos="360"/>
              </w:tabs>
              <w:rPr>
                <w:rFonts w:cs="Arial"/>
                <w:bCs/>
              </w:rPr>
            </w:pPr>
            <w:r w:rsidRPr="00942C19">
              <w:rPr>
                <w:rFonts w:cs="Arial"/>
                <w:b/>
                <w:bCs/>
                <w:szCs w:val="22"/>
              </w:rPr>
              <w:t>(A) For Public Institutions</w:t>
            </w:r>
          </w:p>
        </w:tc>
        <w:tc>
          <w:tcPr>
            <w:tcW w:w="2611" w:type="dxa"/>
          </w:tcPr>
          <w:p w:rsidR="00C802EE" w:rsidRPr="00942C19" w:rsidRDefault="00C802EE" w:rsidP="00C652DB">
            <w:pPr>
              <w:pStyle w:val="Header"/>
              <w:tabs>
                <w:tab w:val="clear" w:pos="4320"/>
                <w:tab w:val="clear" w:pos="8640"/>
                <w:tab w:val="left" w:pos="360"/>
              </w:tabs>
              <w:rPr>
                <w:rFonts w:cs="Arial"/>
                <w:bCs/>
              </w:rPr>
            </w:pPr>
            <w:r w:rsidRPr="00942C19">
              <w:rPr>
                <w:rFonts w:cs="Arial"/>
                <w:bCs/>
                <w:szCs w:val="22"/>
              </w:rPr>
              <w:t>Rs. 200 / kW / month</w:t>
            </w:r>
          </w:p>
        </w:tc>
        <w:tc>
          <w:tcPr>
            <w:tcW w:w="2340" w:type="dxa"/>
          </w:tcPr>
          <w:p w:rsidR="00C802EE" w:rsidRPr="00942C19" w:rsidRDefault="00C802EE" w:rsidP="00C652DB">
            <w:pPr>
              <w:pStyle w:val="Header"/>
              <w:tabs>
                <w:tab w:val="clear" w:pos="4320"/>
                <w:tab w:val="clear" w:pos="8640"/>
                <w:tab w:val="left" w:pos="360"/>
              </w:tabs>
              <w:rPr>
                <w:rFonts w:cs="Arial"/>
                <w:bCs/>
              </w:rPr>
            </w:pPr>
            <w:r w:rsidRPr="00942C19">
              <w:rPr>
                <w:rFonts w:cs="Arial"/>
                <w:bCs/>
                <w:szCs w:val="22"/>
              </w:rPr>
              <w:t>Rs. 6.50 / kWh</w:t>
            </w:r>
          </w:p>
        </w:tc>
      </w:tr>
      <w:tr w:rsidR="00C802EE" w:rsidRPr="00942C19" w:rsidTr="00C652DB">
        <w:trPr>
          <w:jc w:val="right"/>
        </w:trPr>
        <w:tc>
          <w:tcPr>
            <w:tcW w:w="2969" w:type="dxa"/>
          </w:tcPr>
          <w:p w:rsidR="00C802EE" w:rsidRPr="00942C19" w:rsidRDefault="00C802EE" w:rsidP="00C652DB">
            <w:pPr>
              <w:tabs>
                <w:tab w:val="left" w:pos="360"/>
              </w:tabs>
              <w:ind w:right="6"/>
              <w:rPr>
                <w:rFonts w:cs="Arial"/>
                <w:bCs/>
                <w:strike/>
              </w:rPr>
            </w:pPr>
            <w:r w:rsidRPr="00942C19">
              <w:rPr>
                <w:rFonts w:cs="Arial"/>
                <w:b/>
                <w:bCs/>
                <w:szCs w:val="22"/>
              </w:rPr>
              <w:t>(B) For Private Institutions</w:t>
            </w:r>
          </w:p>
        </w:tc>
        <w:tc>
          <w:tcPr>
            <w:tcW w:w="2611" w:type="dxa"/>
          </w:tcPr>
          <w:p w:rsidR="00C802EE" w:rsidRPr="00942C19" w:rsidRDefault="00C802EE" w:rsidP="00C652DB">
            <w:pPr>
              <w:pStyle w:val="Header"/>
              <w:tabs>
                <w:tab w:val="clear" w:pos="4320"/>
                <w:tab w:val="clear" w:pos="8640"/>
                <w:tab w:val="left" w:pos="360"/>
              </w:tabs>
              <w:rPr>
                <w:rFonts w:cs="Arial"/>
                <w:bCs/>
              </w:rPr>
            </w:pPr>
            <w:r w:rsidRPr="00942C19">
              <w:rPr>
                <w:rFonts w:cs="Arial"/>
                <w:bCs/>
                <w:szCs w:val="22"/>
              </w:rPr>
              <w:t>Rs. 200 / kW / month</w:t>
            </w:r>
          </w:p>
        </w:tc>
        <w:tc>
          <w:tcPr>
            <w:tcW w:w="2340" w:type="dxa"/>
          </w:tcPr>
          <w:p w:rsidR="00C802EE" w:rsidRPr="00942C19" w:rsidRDefault="00C802EE" w:rsidP="00C652DB">
            <w:pPr>
              <w:pStyle w:val="Header"/>
              <w:tabs>
                <w:tab w:val="clear" w:pos="4320"/>
                <w:tab w:val="clear" w:pos="8640"/>
                <w:tab w:val="left" w:pos="360"/>
              </w:tabs>
              <w:rPr>
                <w:rFonts w:cs="Arial"/>
                <w:bCs/>
              </w:rPr>
            </w:pPr>
            <w:r w:rsidRPr="00942C19">
              <w:rPr>
                <w:rFonts w:cs="Arial"/>
                <w:bCs/>
                <w:szCs w:val="22"/>
              </w:rPr>
              <w:t>Rs. 6.75 / kWh</w:t>
            </w:r>
          </w:p>
        </w:tc>
      </w:tr>
    </w:tbl>
    <w:p w:rsidR="00C802EE" w:rsidRPr="00942C19" w:rsidRDefault="00C802EE" w:rsidP="00C802EE">
      <w:pPr>
        <w:spacing w:before="60" w:after="120"/>
        <w:ind w:right="-61"/>
        <w:rPr>
          <w:b/>
          <w:bCs/>
          <w:szCs w:val="22"/>
          <w:u w:val="single"/>
        </w:rPr>
      </w:pPr>
    </w:p>
    <w:p w:rsidR="00C802EE" w:rsidRPr="00942C19" w:rsidRDefault="00C802EE" w:rsidP="00C802EE">
      <w:pPr>
        <w:spacing w:before="60" w:after="120"/>
        <w:ind w:right="-61"/>
        <w:rPr>
          <w:b/>
          <w:bCs/>
          <w:szCs w:val="22"/>
          <w:u w:val="single"/>
        </w:rPr>
      </w:pPr>
    </w:p>
    <w:p w:rsidR="00C802EE" w:rsidRPr="00942C19" w:rsidRDefault="00C802EE" w:rsidP="00C802EE">
      <w:pPr>
        <w:spacing w:before="60" w:after="120"/>
        <w:ind w:right="-61"/>
        <w:rPr>
          <w:b/>
          <w:bCs/>
          <w:szCs w:val="22"/>
          <w:u w:val="single"/>
        </w:rPr>
      </w:pPr>
    </w:p>
    <w:p w:rsidR="00C802EE" w:rsidRPr="00942C19" w:rsidRDefault="00C802EE" w:rsidP="00C802EE">
      <w:pPr>
        <w:spacing w:before="60" w:after="120"/>
        <w:ind w:right="-61"/>
        <w:jc w:val="center"/>
        <w:rPr>
          <w:b/>
          <w:u w:val="single"/>
        </w:rPr>
      </w:pPr>
      <w:r w:rsidRPr="00942C19">
        <w:rPr>
          <w:b/>
          <w:bCs/>
          <w:szCs w:val="22"/>
          <w:u w:val="single"/>
        </w:rPr>
        <w:br w:type="page"/>
      </w:r>
      <w:r w:rsidRPr="00942C19">
        <w:rPr>
          <w:b/>
          <w:u w:val="single"/>
        </w:rPr>
        <w:t>RATE SCHEDULE LMV– 5:</w:t>
      </w:r>
    </w:p>
    <w:p w:rsidR="00C802EE" w:rsidRPr="00942C19" w:rsidRDefault="00C802EE" w:rsidP="00C802EE">
      <w:pPr>
        <w:jc w:val="center"/>
        <w:rPr>
          <w:b/>
        </w:rPr>
      </w:pPr>
    </w:p>
    <w:p w:rsidR="00C802EE" w:rsidRPr="00942C19" w:rsidRDefault="00C802EE" w:rsidP="00C802EE">
      <w:pPr>
        <w:jc w:val="center"/>
        <w:rPr>
          <w:b/>
        </w:rPr>
      </w:pPr>
      <w:r w:rsidRPr="00942C19">
        <w:rPr>
          <w:b/>
        </w:rPr>
        <w:t>SMALL POWER FOR PRIVATE TUBE WELLS / PUMPING SETS FOR IRRIGATION PURPOSES:</w:t>
      </w:r>
    </w:p>
    <w:p w:rsidR="00C802EE" w:rsidRPr="00942C19" w:rsidRDefault="00C802EE" w:rsidP="00C802EE">
      <w:pPr>
        <w:jc w:val="center"/>
        <w:rPr>
          <w:b/>
        </w:rPr>
      </w:pPr>
    </w:p>
    <w:p w:rsidR="00C802EE" w:rsidRPr="00942C19" w:rsidRDefault="00C802EE" w:rsidP="00C802EE">
      <w:pPr>
        <w:rPr>
          <w:b/>
        </w:rPr>
      </w:pPr>
      <w:r w:rsidRPr="00942C19">
        <w:rPr>
          <w:b/>
        </w:rPr>
        <w:t>1.</w:t>
      </w:r>
      <w:r w:rsidRPr="00942C19">
        <w:rPr>
          <w:b/>
        </w:rPr>
        <w:tab/>
        <w:t xml:space="preserve"> APPLICABILITY:</w:t>
      </w:r>
    </w:p>
    <w:p w:rsidR="00C802EE" w:rsidRPr="00942C19" w:rsidRDefault="00C802EE" w:rsidP="00C802EE">
      <w:pPr>
        <w:ind w:left="720"/>
      </w:pPr>
      <w:r w:rsidRPr="00942C19">
        <w:t xml:space="preserve">This schedule shall apply to all power consumers getting supply as per Rural / Urban Schedule for Private Tube-wells / Pumping Sets for irrigation purposes having a contracted load </w:t>
      </w:r>
      <w:r w:rsidR="00D31494" w:rsidRPr="00942C19">
        <w:t>up to</w:t>
      </w:r>
      <w:r w:rsidRPr="00942C19">
        <w:t xml:space="preserve"> 25 BHP and for additional agricultural processes confined to Chaff-Cutter, Thresher, Cane Crusher and Rice Huller. All new connections under this category shall necessarily have the ISI marked energy efficient mono-bloc pump sets with power factor compensation capacitors of adequate rating to qualify for the supply. All existing pump sets shall be required to install power factor compensation capacitors. </w:t>
      </w:r>
    </w:p>
    <w:p w:rsidR="00C802EE" w:rsidRPr="00942C19" w:rsidRDefault="00C802EE" w:rsidP="00C802EE">
      <w:pPr>
        <w:ind w:left="720"/>
      </w:pPr>
    </w:p>
    <w:p w:rsidR="00C802EE" w:rsidRPr="00942C19" w:rsidRDefault="00C802EE" w:rsidP="00C802EE">
      <w:pPr>
        <w:rPr>
          <w:b/>
        </w:rPr>
      </w:pPr>
      <w:r w:rsidRPr="00942C19">
        <w:rPr>
          <w:b/>
        </w:rPr>
        <w:t xml:space="preserve">2. </w:t>
      </w:r>
      <w:r w:rsidRPr="00942C19">
        <w:rPr>
          <w:b/>
        </w:rPr>
        <w:tab/>
        <w:t xml:space="preserve">CHARACTER AND POINT OF SUPPLY: </w:t>
      </w:r>
    </w:p>
    <w:p w:rsidR="00C802EE" w:rsidRPr="00942C19" w:rsidRDefault="00C802EE" w:rsidP="00C802EE">
      <w:pPr>
        <w:spacing w:line="240" w:lineRule="auto"/>
        <w:ind w:left="-360" w:right="-58" w:firstLine="1080"/>
        <w:rPr>
          <w:rFonts w:cs="Arial"/>
          <w:szCs w:val="22"/>
        </w:rPr>
      </w:pPr>
      <w:r w:rsidRPr="00942C19">
        <w:rPr>
          <w:szCs w:val="22"/>
        </w:rPr>
        <w:t>As per the applicable provisions of Electricity Supply Code.</w:t>
      </w:r>
    </w:p>
    <w:p w:rsidR="00C802EE" w:rsidRPr="00942C19" w:rsidRDefault="00C802EE" w:rsidP="00C802EE">
      <w:pPr>
        <w:rPr>
          <w:rFonts w:asciiTheme="minorHAnsi" w:hAnsiTheme="minorHAnsi" w:cstheme="minorHAnsi"/>
          <w:b/>
          <w:bCs/>
          <w:color w:val="000000"/>
        </w:rPr>
      </w:pPr>
    </w:p>
    <w:p w:rsidR="00C802EE" w:rsidRPr="00942C19" w:rsidRDefault="00C802EE" w:rsidP="00C802EE">
      <w:pPr>
        <w:rPr>
          <w:b/>
        </w:rPr>
      </w:pPr>
      <w:r w:rsidRPr="00942C19">
        <w:rPr>
          <w:rFonts w:asciiTheme="minorHAnsi" w:hAnsiTheme="minorHAnsi" w:cstheme="minorHAnsi"/>
          <w:b/>
          <w:bCs/>
          <w:color w:val="000000"/>
        </w:rPr>
        <w:t>3.</w:t>
      </w:r>
      <w:r w:rsidRPr="00942C19">
        <w:rPr>
          <w:b/>
        </w:rPr>
        <w:t xml:space="preserve"> </w:t>
      </w:r>
      <w:r w:rsidRPr="00942C19">
        <w:rPr>
          <w:b/>
        </w:rPr>
        <w:tab/>
        <w:t>RATE:</w:t>
      </w:r>
    </w:p>
    <w:p w:rsidR="00C802EE" w:rsidRPr="00942C19" w:rsidRDefault="00C802EE" w:rsidP="00C802EE">
      <w:pPr>
        <w:spacing w:after="240"/>
        <w:ind w:left="720"/>
        <w:rPr>
          <w:szCs w:val="22"/>
        </w:rPr>
      </w:pPr>
      <w:r w:rsidRPr="00942C19">
        <w:rPr>
          <w:szCs w:val="22"/>
        </w:rPr>
        <w:t>Rate gives the fixed and energy charges at which the consumer shall be billed for his consumption during the billing period applicable to the category:</w:t>
      </w:r>
    </w:p>
    <w:p w:rsidR="00C802EE" w:rsidRPr="00942C19" w:rsidRDefault="00C802EE" w:rsidP="00A818DC">
      <w:pPr>
        <w:numPr>
          <w:ilvl w:val="1"/>
          <w:numId w:val="74"/>
        </w:numPr>
        <w:spacing w:before="0" w:after="240" w:line="288" w:lineRule="auto"/>
        <w:jc w:val="left"/>
        <w:rPr>
          <w:rFonts w:cs="Arial"/>
          <w:szCs w:val="22"/>
        </w:rPr>
      </w:pPr>
      <w:r w:rsidRPr="00942C19">
        <w:rPr>
          <w:rFonts w:cs="Arial"/>
          <w:szCs w:val="22"/>
        </w:rPr>
        <w:t>For consumers getting supply as per</w:t>
      </w:r>
      <w:r w:rsidRPr="00942C19">
        <w:rPr>
          <w:rFonts w:cs="Arial"/>
          <w:b/>
          <w:szCs w:val="22"/>
        </w:rPr>
        <w:t xml:space="preserve"> Rural Schedule</w:t>
      </w:r>
      <w:r w:rsidRPr="00942C19">
        <w:rPr>
          <w:rFonts w:cs="Arial"/>
          <w:szCs w:val="22"/>
        </w:rPr>
        <w:t xml:space="preserve">: </w:t>
      </w:r>
    </w:p>
    <w:p w:rsidR="00C802EE" w:rsidRPr="00942C19" w:rsidRDefault="00C802EE" w:rsidP="00C802EE">
      <w:pPr>
        <w:spacing w:before="100" w:beforeAutospacing="1" w:after="240"/>
        <w:ind w:left="360"/>
        <w:rPr>
          <w:szCs w:val="22"/>
        </w:rPr>
      </w:pPr>
      <w:r w:rsidRPr="00942C19">
        <w:rPr>
          <w:rFonts w:cs="Arial"/>
          <w:b/>
          <w:bCs/>
          <w:szCs w:val="22"/>
        </w:rPr>
        <w:t>(i)</w:t>
      </w:r>
      <w:r w:rsidRPr="00942C19">
        <w:rPr>
          <w:rFonts w:cs="Arial"/>
          <w:szCs w:val="22"/>
        </w:rPr>
        <w:tab/>
      </w:r>
      <w:r w:rsidRPr="00942C19">
        <w:rPr>
          <w:rFonts w:cs="Arial"/>
          <w:b/>
          <w:bCs/>
          <w:szCs w:val="22"/>
        </w:rPr>
        <w:t>Un-metered Supply</w:t>
      </w:r>
    </w:p>
    <w:tbl>
      <w:tblPr>
        <w:tblW w:w="5423"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0"/>
        <w:gridCol w:w="2363"/>
      </w:tblGrid>
      <w:tr w:rsidR="00C802EE" w:rsidRPr="00942C19" w:rsidTr="00280396">
        <w:trPr>
          <w:cantSplit/>
          <w:jc w:val="center"/>
        </w:trPr>
        <w:tc>
          <w:tcPr>
            <w:tcW w:w="3060" w:type="dxa"/>
            <w:shd w:val="pct12" w:color="auto" w:fill="auto"/>
          </w:tcPr>
          <w:p w:rsidR="00C802EE" w:rsidRPr="00942C19" w:rsidRDefault="00C802EE" w:rsidP="00C652DB">
            <w:pPr>
              <w:pStyle w:val="BodyTextIndent"/>
              <w:tabs>
                <w:tab w:val="left" w:pos="360"/>
              </w:tabs>
              <w:spacing w:line="288" w:lineRule="auto"/>
              <w:ind w:left="0" w:right="29"/>
              <w:jc w:val="center"/>
              <w:rPr>
                <w:rFonts w:ascii="Calibri" w:hAnsi="Calibri" w:cs="Arial"/>
                <w:b/>
                <w:bCs w:val="0"/>
                <w:lang w:val="en-GB"/>
              </w:rPr>
            </w:pPr>
            <w:r w:rsidRPr="00942C19">
              <w:rPr>
                <w:rFonts w:ascii="Calibri" w:hAnsi="Calibri" w:cs="Arial"/>
                <w:b/>
                <w:bCs w:val="0"/>
                <w:lang w:val="en-GB"/>
              </w:rPr>
              <w:t>Fixed Charge</w:t>
            </w:r>
          </w:p>
        </w:tc>
        <w:tc>
          <w:tcPr>
            <w:tcW w:w="2363" w:type="dxa"/>
            <w:shd w:val="pct12" w:color="auto" w:fill="auto"/>
          </w:tcPr>
          <w:p w:rsidR="00C802EE" w:rsidRPr="00942C19" w:rsidRDefault="00C802EE" w:rsidP="00C652DB">
            <w:pPr>
              <w:pStyle w:val="BodyTextIndent"/>
              <w:tabs>
                <w:tab w:val="left" w:pos="360"/>
              </w:tabs>
              <w:spacing w:line="288" w:lineRule="auto"/>
              <w:ind w:left="0" w:right="29"/>
              <w:jc w:val="center"/>
              <w:rPr>
                <w:rFonts w:ascii="Calibri" w:hAnsi="Calibri" w:cs="Arial"/>
                <w:b/>
                <w:bCs w:val="0"/>
                <w:lang w:val="en-GB"/>
              </w:rPr>
            </w:pPr>
            <w:r w:rsidRPr="00942C19">
              <w:rPr>
                <w:rFonts w:ascii="Calibri" w:hAnsi="Calibri" w:cs="Arial"/>
                <w:b/>
                <w:bCs w:val="0"/>
                <w:lang w:val="en-GB"/>
              </w:rPr>
              <w:t>Energy Charge</w:t>
            </w:r>
          </w:p>
        </w:tc>
      </w:tr>
      <w:tr w:rsidR="00C802EE" w:rsidRPr="00942C19" w:rsidTr="00280396">
        <w:trPr>
          <w:jc w:val="center"/>
        </w:trPr>
        <w:tc>
          <w:tcPr>
            <w:tcW w:w="3060" w:type="dxa"/>
          </w:tcPr>
          <w:p w:rsidR="00C802EE" w:rsidRPr="00942C19" w:rsidRDefault="00C802EE" w:rsidP="00C652DB">
            <w:pPr>
              <w:pStyle w:val="BodyTextIndent"/>
              <w:tabs>
                <w:tab w:val="left" w:pos="360"/>
              </w:tabs>
              <w:spacing w:line="288" w:lineRule="auto"/>
              <w:ind w:left="0" w:right="29"/>
              <w:jc w:val="center"/>
              <w:rPr>
                <w:rFonts w:ascii="Calibri" w:hAnsi="Calibri" w:cs="Arial"/>
                <w:lang w:val="en-GB"/>
              </w:rPr>
            </w:pPr>
            <w:r w:rsidRPr="00942C19">
              <w:rPr>
                <w:rFonts w:ascii="Calibri" w:hAnsi="Calibri" w:cs="Arial"/>
                <w:lang w:val="en-GB"/>
              </w:rPr>
              <w:t>Rs. 100 / BHP / month</w:t>
            </w:r>
          </w:p>
        </w:tc>
        <w:tc>
          <w:tcPr>
            <w:tcW w:w="2363" w:type="dxa"/>
          </w:tcPr>
          <w:p w:rsidR="00C802EE" w:rsidRPr="00942C19" w:rsidRDefault="00C802EE" w:rsidP="00C652DB">
            <w:pPr>
              <w:pStyle w:val="BodyTextIndent"/>
              <w:tabs>
                <w:tab w:val="left" w:pos="360"/>
              </w:tabs>
              <w:spacing w:line="288" w:lineRule="auto"/>
              <w:ind w:left="0" w:right="29"/>
              <w:jc w:val="center"/>
              <w:rPr>
                <w:rFonts w:ascii="Calibri" w:hAnsi="Calibri" w:cs="Arial"/>
                <w:lang w:val="en-GB"/>
              </w:rPr>
            </w:pPr>
            <w:r w:rsidRPr="00942C19">
              <w:rPr>
                <w:rFonts w:ascii="Calibri" w:hAnsi="Calibri" w:cs="Arial"/>
                <w:lang w:val="en-GB"/>
              </w:rPr>
              <w:t>Nil</w:t>
            </w:r>
          </w:p>
        </w:tc>
      </w:tr>
      <w:tr w:rsidR="00C802EE" w:rsidRPr="00942C19" w:rsidTr="00280396">
        <w:trPr>
          <w:cantSplit/>
          <w:jc w:val="center"/>
        </w:trPr>
        <w:tc>
          <w:tcPr>
            <w:tcW w:w="5423" w:type="dxa"/>
            <w:gridSpan w:val="2"/>
          </w:tcPr>
          <w:p w:rsidR="00C802EE" w:rsidRPr="00942C19" w:rsidRDefault="00C802EE" w:rsidP="00C652DB">
            <w:pPr>
              <w:pStyle w:val="BodyTextIndent"/>
              <w:tabs>
                <w:tab w:val="left" w:pos="360"/>
              </w:tabs>
              <w:spacing w:line="288" w:lineRule="auto"/>
              <w:ind w:left="0" w:right="29"/>
              <w:jc w:val="center"/>
              <w:rPr>
                <w:rFonts w:ascii="Calibri" w:hAnsi="Calibri" w:cs="Arial"/>
                <w:bCs w:val="0"/>
                <w:lang w:val="en-GB"/>
              </w:rPr>
            </w:pPr>
            <w:r w:rsidRPr="00942C19">
              <w:rPr>
                <w:rFonts w:ascii="Calibri" w:hAnsi="Calibri" w:cs="Arial"/>
                <w:bCs w:val="0"/>
                <w:lang w:val="en-GB"/>
              </w:rPr>
              <w:t>Consumer under this category will be allowed a maximum lighting load of 120 Watts.</w:t>
            </w:r>
          </w:p>
        </w:tc>
      </w:tr>
    </w:tbl>
    <w:p w:rsidR="00C802EE" w:rsidRPr="00942C19" w:rsidRDefault="00C802EE" w:rsidP="00C802EE">
      <w:pPr>
        <w:pStyle w:val="Header"/>
        <w:tabs>
          <w:tab w:val="clear" w:pos="4320"/>
          <w:tab w:val="clear" w:pos="8640"/>
        </w:tabs>
      </w:pPr>
    </w:p>
    <w:p w:rsidR="00C802EE" w:rsidRPr="00942C19" w:rsidRDefault="00C802EE" w:rsidP="00C802EE">
      <w:pPr>
        <w:spacing w:line="240" w:lineRule="auto"/>
        <w:jc w:val="left"/>
        <w:rPr>
          <w:b/>
          <w:bCs/>
        </w:rPr>
      </w:pPr>
      <w:r w:rsidRPr="00942C19">
        <w:rPr>
          <w:b/>
          <w:bCs/>
        </w:rPr>
        <w:br w:type="page"/>
      </w:r>
    </w:p>
    <w:p w:rsidR="00C802EE" w:rsidRPr="00942C19" w:rsidRDefault="00C802EE" w:rsidP="00C802EE">
      <w:pPr>
        <w:ind w:firstLine="360"/>
        <w:rPr>
          <w:rFonts w:cs="Arial"/>
          <w:b/>
          <w:bCs/>
        </w:rPr>
      </w:pPr>
      <w:r w:rsidRPr="00942C19">
        <w:rPr>
          <w:b/>
          <w:bCs/>
        </w:rPr>
        <w:t>(ii)</w:t>
      </w:r>
      <w:r w:rsidRPr="00942C19">
        <w:tab/>
      </w:r>
      <w:r w:rsidRPr="00942C19">
        <w:rPr>
          <w:rFonts w:cs="Arial"/>
          <w:b/>
          <w:bCs/>
        </w:rPr>
        <w:t>Metered Supply</w:t>
      </w:r>
    </w:p>
    <w:p w:rsidR="00C802EE" w:rsidRPr="00942C19" w:rsidRDefault="00C802EE" w:rsidP="00C802EE">
      <w:pPr>
        <w:ind w:firstLine="360"/>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942C19" w:rsidTr="00C652DB">
        <w:trPr>
          <w:trHeight w:val="197"/>
        </w:trPr>
        <w:tc>
          <w:tcPr>
            <w:tcW w:w="2595" w:type="dxa"/>
            <w:shd w:val="pct12" w:color="auto" w:fill="auto"/>
          </w:tcPr>
          <w:p w:rsidR="00C802EE" w:rsidRPr="00942C19" w:rsidRDefault="00C802EE" w:rsidP="00C652DB">
            <w:pPr>
              <w:pStyle w:val="BodyTextIndent"/>
              <w:tabs>
                <w:tab w:val="left" w:pos="360"/>
              </w:tabs>
              <w:spacing w:line="288" w:lineRule="auto"/>
              <w:ind w:left="0" w:right="29"/>
              <w:jc w:val="center"/>
              <w:rPr>
                <w:rFonts w:ascii="Calibri" w:hAnsi="Calibri" w:cs="Arial"/>
                <w:b/>
                <w:bCs w:val="0"/>
                <w:lang w:val="en-GB"/>
              </w:rPr>
            </w:pPr>
            <w:r w:rsidRPr="00942C19">
              <w:rPr>
                <w:rFonts w:ascii="Calibri" w:hAnsi="Calibri" w:cs="Arial"/>
                <w:b/>
                <w:bCs w:val="0"/>
                <w:lang w:val="en-GB"/>
              </w:rPr>
              <w:t>Fixed Charge</w:t>
            </w:r>
          </w:p>
        </w:tc>
        <w:tc>
          <w:tcPr>
            <w:tcW w:w="2595" w:type="dxa"/>
            <w:shd w:val="pct12" w:color="auto" w:fill="auto"/>
          </w:tcPr>
          <w:p w:rsidR="00C802EE" w:rsidRPr="00942C19" w:rsidRDefault="00C802EE" w:rsidP="00C652DB">
            <w:pPr>
              <w:pStyle w:val="BodyTextIndent"/>
              <w:tabs>
                <w:tab w:val="left" w:pos="0"/>
              </w:tabs>
              <w:spacing w:line="288" w:lineRule="auto"/>
              <w:ind w:left="0" w:right="29"/>
              <w:jc w:val="center"/>
              <w:rPr>
                <w:rFonts w:ascii="Calibri" w:hAnsi="Calibri" w:cs="Arial"/>
                <w:b/>
                <w:bCs w:val="0"/>
                <w:lang w:val="en-GB"/>
              </w:rPr>
            </w:pPr>
            <w:r w:rsidRPr="00942C19">
              <w:rPr>
                <w:rFonts w:ascii="Calibri" w:hAnsi="Calibri" w:cs="Arial"/>
                <w:b/>
                <w:bCs w:val="0"/>
                <w:lang w:val="en-GB"/>
              </w:rPr>
              <w:t>Minimum Charges</w:t>
            </w:r>
          </w:p>
        </w:tc>
        <w:tc>
          <w:tcPr>
            <w:tcW w:w="2596" w:type="dxa"/>
            <w:shd w:val="pct12" w:color="auto" w:fill="auto"/>
          </w:tcPr>
          <w:p w:rsidR="00C802EE" w:rsidRPr="00942C19" w:rsidRDefault="00C802EE" w:rsidP="00C652DB">
            <w:pPr>
              <w:pStyle w:val="BodyTextIndent"/>
              <w:tabs>
                <w:tab w:val="left" w:pos="360"/>
              </w:tabs>
              <w:spacing w:line="288" w:lineRule="auto"/>
              <w:ind w:left="0" w:right="29"/>
              <w:jc w:val="center"/>
              <w:rPr>
                <w:rFonts w:ascii="Calibri" w:hAnsi="Calibri" w:cs="Arial"/>
                <w:b/>
                <w:bCs w:val="0"/>
                <w:lang w:val="en-GB"/>
              </w:rPr>
            </w:pPr>
            <w:r w:rsidRPr="00942C19">
              <w:rPr>
                <w:rFonts w:ascii="Calibri" w:hAnsi="Calibri" w:cs="Arial"/>
                <w:b/>
                <w:bCs w:val="0"/>
                <w:lang w:val="en-GB"/>
              </w:rPr>
              <w:t>Energy Charge</w:t>
            </w:r>
          </w:p>
        </w:tc>
      </w:tr>
      <w:tr w:rsidR="00C802EE" w:rsidRPr="00942C19" w:rsidTr="00C652DB">
        <w:trPr>
          <w:trHeight w:val="260"/>
        </w:trPr>
        <w:tc>
          <w:tcPr>
            <w:tcW w:w="2595" w:type="dxa"/>
          </w:tcPr>
          <w:p w:rsidR="00C802EE" w:rsidRPr="00942C19" w:rsidRDefault="00C802EE" w:rsidP="00C652DB">
            <w:pPr>
              <w:pStyle w:val="BodyTextIndent"/>
              <w:tabs>
                <w:tab w:val="left" w:pos="360"/>
              </w:tabs>
              <w:spacing w:line="288" w:lineRule="auto"/>
              <w:ind w:left="0" w:right="29"/>
              <w:jc w:val="center"/>
              <w:rPr>
                <w:rFonts w:ascii="Calibri" w:hAnsi="Calibri" w:cs="Arial"/>
                <w:lang w:val="en-GB"/>
              </w:rPr>
            </w:pPr>
            <w:r w:rsidRPr="00942C19">
              <w:rPr>
                <w:rFonts w:ascii="Calibri" w:hAnsi="Calibri" w:cs="Arial"/>
                <w:lang w:val="en-GB"/>
              </w:rPr>
              <w:t>Rs. 30 / BHP / month</w:t>
            </w:r>
          </w:p>
        </w:tc>
        <w:tc>
          <w:tcPr>
            <w:tcW w:w="2595" w:type="dxa"/>
          </w:tcPr>
          <w:p w:rsidR="00C802EE" w:rsidRPr="00942C19" w:rsidRDefault="00C802EE" w:rsidP="00C652DB">
            <w:pPr>
              <w:pStyle w:val="BodyTextIndent"/>
              <w:spacing w:line="288" w:lineRule="auto"/>
              <w:ind w:left="0" w:right="-61"/>
              <w:jc w:val="center"/>
              <w:rPr>
                <w:rFonts w:ascii="Calibri" w:hAnsi="Calibri" w:cs="Arial"/>
                <w:lang w:val="en-GB"/>
              </w:rPr>
            </w:pPr>
            <w:r w:rsidRPr="00942C19">
              <w:rPr>
                <w:rFonts w:ascii="Calibri" w:hAnsi="Calibri" w:cs="Arial"/>
                <w:lang w:val="en-GB"/>
              </w:rPr>
              <w:t>Rs. 75 / BHP / month</w:t>
            </w:r>
          </w:p>
        </w:tc>
        <w:tc>
          <w:tcPr>
            <w:tcW w:w="2596" w:type="dxa"/>
          </w:tcPr>
          <w:p w:rsidR="00C802EE" w:rsidRPr="00942C19" w:rsidRDefault="00C802EE" w:rsidP="00C652DB">
            <w:pPr>
              <w:pStyle w:val="BodyTextIndent"/>
              <w:spacing w:line="288" w:lineRule="auto"/>
              <w:ind w:left="0" w:right="-61"/>
              <w:jc w:val="center"/>
              <w:rPr>
                <w:rFonts w:ascii="Calibri" w:hAnsi="Calibri" w:cs="Arial"/>
                <w:lang w:val="en-GB"/>
              </w:rPr>
            </w:pPr>
            <w:r w:rsidRPr="00942C19">
              <w:rPr>
                <w:rFonts w:ascii="Calibri" w:hAnsi="Calibri" w:cs="Arial"/>
                <w:lang w:val="en-GB"/>
              </w:rPr>
              <w:t>Rs. 1.00 / kWh</w:t>
            </w:r>
          </w:p>
        </w:tc>
      </w:tr>
    </w:tbl>
    <w:p w:rsidR="00C802EE" w:rsidRPr="00942C19" w:rsidRDefault="00C802EE" w:rsidP="00C802EE">
      <w:pPr>
        <w:pStyle w:val="Heading2"/>
        <w:numPr>
          <w:ilvl w:val="0"/>
          <w:numId w:val="0"/>
        </w:numPr>
        <w:ind w:left="360"/>
        <w:rPr>
          <w:i/>
          <w:iCs/>
          <w:szCs w:val="22"/>
        </w:rPr>
      </w:pPr>
    </w:p>
    <w:p w:rsidR="00C802EE" w:rsidRPr="00942C19" w:rsidRDefault="00C802EE" w:rsidP="00C802EE">
      <w:pPr>
        <w:ind w:left="360"/>
        <w:rPr>
          <w:i/>
        </w:rPr>
      </w:pPr>
      <w:r w:rsidRPr="00942C19">
        <w:rPr>
          <w:b/>
          <w:i/>
        </w:rPr>
        <w:t>NOTE:</w:t>
      </w:r>
      <w:r w:rsidRPr="00942C19">
        <w:rPr>
          <w:i/>
        </w:rPr>
        <w:t xml:space="preserve"> Minimum bill payable by a consumer under </w:t>
      </w:r>
      <w:r w:rsidRPr="00942C19">
        <w:rPr>
          <w:bCs/>
          <w:i/>
        </w:rPr>
        <w:t>Rural Schedule</w:t>
      </w:r>
      <w:r w:rsidRPr="00942C19">
        <w:rPr>
          <w:i/>
        </w:rPr>
        <w:t xml:space="preserve"> (Metered Supply) shall be Rs. 75 per BHP per month, till the installation of the meter.</w:t>
      </w:r>
    </w:p>
    <w:p w:rsidR="00C802EE" w:rsidRPr="00942C19" w:rsidRDefault="00C802EE" w:rsidP="00C802EE"/>
    <w:p w:rsidR="00C802EE" w:rsidRPr="00942C19" w:rsidRDefault="00C802EE" w:rsidP="00C802EE">
      <w:pPr>
        <w:ind w:left="720" w:hanging="360"/>
        <w:rPr>
          <w:szCs w:val="22"/>
        </w:rPr>
      </w:pPr>
      <w:r w:rsidRPr="00942C19">
        <w:rPr>
          <w:rFonts w:cs="Arial"/>
          <w:b/>
        </w:rPr>
        <w:t>(B)</w:t>
      </w:r>
      <w:r w:rsidRPr="00942C19">
        <w:rPr>
          <w:rFonts w:cs="Arial"/>
          <w:b/>
        </w:rPr>
        <w:tab/>
      </w:r>
      <w:r w:rsidRPr="00942C19">
        <w:rPr>
          <w:rFonts w:cs="Arial"/>
        </w:rPr>
        <w:t xml:space="preserve">For consumers getting supply as per </w:t>
      </w:r>
      <w:r w:rsidRPr="00942C19">
        <w:rPr>
          <w:rFonts w:cs="Arial"/>
          <w:b/>
          <w:bCs/>
        </w:rPr>
        <w:t>Urban Schedule</w:t>
      </w:r>
      <w:r w:rsidRPr="00942C19">
        <w:rPr>
          <w:rFonts w:cs="Arial"/>
        </w:rPr>
        <w:t xml:space="preserve"> (Metered Supply) including consumers getting supply through rural feeders exempted from scheduled rostering or through co-generating</w:t>
      </w:r>
      <w:r w:rsidRPr="00942C19">
        <w:rPr>
          <w:rFonts w:cs="Arial"/>
          <w:szCs w:val="22"/>
        </w:rPr>
        <w:t xml:space="preserve"> radial feeders in villages and towns.</w:t>
      </w:r>
    </w:p>
    <w:p w:rsidR="00C802EE" w:rsidRPr="00942C19" w:rsidRDefault="00C802EE" w:rsidP="00C802EE">
      <w:pPr>
        <w:rPr>
          <w:szCs w:val="22"/>
        </w:rPr>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942C19" w:rsidTr="00C652DB">
        <w:trPr>
          <w:cantSplit/>
          <w:trHeight w:val="375"/>
        </w:trPr>
        <w:tc>
          <w:tcPr>
            <w:tcW w:w="2595" w:type="dxa"/>
            <w:shd w:val="pct12" w:color="auto" w:fill="auto"/>
            <w:vAlign w:val="center"/>
          </w:tcPr>
          <w:p w:rsidR="00C802EE" w:rsidRPr="00942C19" w:rsidRDefault="00C802EE" w:rsidP="00C652DB">
            <w:pPr>
              <w:pStyle w:val="BodyTextIndent"/>
              <w:tabs>
                <w:tab w:val="left" w:pos="360"/>
              </w:tabs>
              <w:spacing w:line="288" w:lineRule="auto"/>
              <w:ind w:left="0" w:right="29"/>
              <w:jc w:val="center"/>
              <w:rPr>
                <w:rFonts w:ascii="Calibri" w:hAnsi="Calibri" w:cs="Arial"/>
                <w:b/>
                <w:bCs w:val="0"/>
                <w:lang w:val="en-GB"/>
              </w:rPr>
            </w:pPr>
            <w:r w:rsidRPr="00942C19">
              <w:rPr>
                <w:rFonts w:ascii="Calibri" w:hAnsi="Calibri" w:cs="Arial"/>
                <w:b/>
                <w:bCs w:val="0"/>
                <w:szCs w:val="22"/>
                <w:lang w:val="en-GB"/>
              </w:rPr>
              <w:t>Fixed Charge</w:t>
            </w:r>
          </w:p>
        </w:tc>
        <w:tc>
          <w:tcPr>
            <w:tcW w:w="2595" w:type="dxa"/>
            <w:shd w:val="pct12" w:color="auto" w:fill="auto"/>
            <w:vAlign w:val="center"/>
          </w:tcPr>
          <w:p w:rsidR="00C802EE" w:rsidRPr="00942C19" w:rsidRDefault="00C802EE" w:rsidP="00C652DB">
            <w:pPr>
              <w:pStyle w:val="BodyTextIndent"/>
              <w:tabs>
                <w:tab w:val="left" w:pos="360"/>
              </w:tabs>
              <w:spacing w:line="288" w:lineRule="auto"/>
              <w:ind w:left="0" w:right="29"/>
              <w:jc w:val="center"/>
              <w:rPr>
                <w:rFonts w:ascii="Calibri" w:hAnsi="Calibri" w:cs="Arial"/>
                <w:b/>
                <w:bCs w:val="0"/>
                <w:lang w:val="en-GB"/>
              </w:rPr>
            </w:pPr>
            <w:r w:rsidRPr="00942C19">
              <w:rPr>
                <w:rFonts w:ascii="Calibri" w:hAnsi="Calibri" w:cs="Arial"/>
                <w:b/>
                <w:bCs w:val="0"/>
                <w:lang w:val="en-GB"/>
              </w:rPr>
              <w:t>Minimum Charges</w:t>
            </w:r>
          </w:p>
        </w:tc>
        <w:tc>
          <w:tcPr>
            <w:tcW w:w="2596" w:type="dxa"/>
            <w:shd w:val="pct12" w:color="auto" w:fill="auto"/>
            <w:vAlign w:val="center"/>
          </w:tcPr>
          <w:p w:rsidR="00C802EE" w:rsidRPr="00942C19" w:rsidRDefault="00C802EE" w:rsidP="00C652DB">
            <w:pPr>
              <w:pStyle w:val="BodyTextIndent"/>
              <w:tabs>
                <w:tab w:val="left" w:pos="360"/>
              </w:tabs>
              <w:spacing w:line="288" w:lineRule="auto"/>
              <w:ind w:left="0" w:right="29"/>
              <w:jc w:val="center"/>
              <w:rPr>
                <w:rFonts w:ascii="Calibri" w:hAnsi="Calibri" w:cs="Arial"/>
                <w:b/>
                <w:bCs w:val="0"/>
                <w:lang w:val="en-GB"/>
              </w:rPr>
            </w:pPr>
            <w:r w:rsidRPr="00942C19">
              <w:rPr>
                <w:rFonts w:ascii="Calibri" w:hAnsi="Calibri" w:cs="Arial"/>
                <w:b/>
                <w:bCs w:val="0"/>
                <w:szCs w:val="22"/>
                <w:lang w:val="en-GB"/>
              </w:rPr>
              <w:t>Energy Charge</w:t>
            </w:r>
          </w:p>
        </w:tc>
      </w:tr>
      <w:tr w:rsidR="00C802EE" w:rsidRPr="00942C19" w:rsidTr="00C652DB">
        <w:trPr>
          <w:cantSplit/>
          <w:trHeight w:val="420"/>
        </w:trPr>
        <w:tc>
          <w:tcPr>
            <w:tcW w:w="2595" w:type="dxa"/>
            <w:vAlign w:val="center"/>
          </w:tcPr>
          <w:p w:rsidR="00C802EE" w:rsidRPr="00942C19" w:rsidRDefault="00C802EE" w:rsidP="00C652DB">
            <w:pPr>
              <w:pStyle w:val="BodyTextIndent"/>
              <w:tabs>
                <w:tab w:val="left" w:pos="360"/>
              </w:tabs>
              <w:spacing w:line="288" w:lineRule="auto"/>
              <w:ind w:left="0" w:right="29"/>
              <w:jc w:val="center"/>
              <w:rPr>
                <w:rFonts w:ascii="Calibri" w:hAnsi="Calibri" w:cs="Arial"/>
                <w:lang w:val="en-GB"/>
              </w:rPr>
            </w:pPr>
            <w:r w:rsidRPr="00942C19">
              <w:rPr>
                <w:rFonts w:ascii="Calibri" w:hAnsi="Calibri" w:cs="Arial"/>
                <w:szCs w:val="22"/>
                <w:lang w:val="en-GB"/>
              </w:rPr>
              <w:t>Rs. 55 / BHP / month</w:t>
            </w:r>
          </w:p>
        </w:tc>
        <w:tc>
          <w:tcPr>
            <w:tcW w:w="2595" w:type="dxa"/>
            <w:vAlign w:val="center"/>
          </w:tcPr>
          <w:p w:rsidR="00C802EE" w:rsidRPr="00942C19" w:rsidRDefault="00C802EE" w:rsidP="00C652DB">
            <w:pPr>
              <w:pStyle w:val="BodyTextIndent"/>
              <w:spacing w:line="288" w:lineRule="auto"/>
              <w:ind w:left="0" w:right="-61"/>
              <w:jc w:val="center"/>
              <w:rPr>
                <w:rFonts w:ascii="Calibri" w:hAnsi="Calibri" w:cs="Arial"/>
                <w:lang w:val="en-GB"/>
              </w:rPr>
            </w:pPr>
            <w:r w:rsidRPr="00942C19">
              <w:rPr>
                <w:rFonts w:ascii="Calibri" w:hAnsi="Calibri" w:cs="Arial"/>
                <w:lang w:val="en-GB"/>
              </w:rPr>
              <w:t>Rs. 140 / BHP / month</w:t>
            </w:r>
          </w:p>
        </w:tc>
        <w:tc>
          <w:tcPr>
            <w:tcW w:w="2596" w:type="dxa"/>
            <w:vAlign w:val="center"/>
          </w:tcPr>
          <w:p w:rsidR="00C802EE" w:rsidRPr="00942C19" w:rsidRDefault="00C802EE" w:rsidP="00C652DB">
            <w:pPr>
              <w:pStyle w:val="BodyTextIndent"/>
              <w:spacing w:line="288" w:lineRule="auto"/>
              <w:ind w:left="0" w:right="-61"/>
              <w:jc w:val="center"/>
              <w:rPr>
                <w:rFonts w:ascii="Calibri" w:hAnsi="Calibri" w:cs="Arial"/>
                <w:lang w:val="en-GB"/>
              </w:rPr>
            </w:pPr>
            <w:r w:rsidRPr="00942C19">
              <w:rPr>
                <w:rFonts w:ascii="Calibri" w:hAnsi="Calibri" w:cs="Arial"/>
                <w:szCs w:val="22"/>
                <w:lang w:val="en-GB"/>
              </w:rPr>
              <w:t>Rs. 4.00 / kWh</w:t>
            </w:r>
          </w:p>
        </w:tc>
      </w:tr>
    </w:tbl>
    <w:p w:rsidR="00C802EE" w:rsidRPr="00942C19" w:rsidRDefault="00C802EE" w:rsidP="00C802EE">
      <w:pPr>
        <w:pStyle w:val="Heading2"/>
        <w:numPr>
          <w:ilvl w:val="0"/>
          <w:numId w:val="0"/>
        </w:numPr>
        <w:rPr>
          <w:i/>
          <w:iCs/>
          <w:szCs w:val="22"/>
        </w:rPr>
      </w:pPr>
    </w:p>
    <w:p w:rsidR="00C802EE" w:rsidRPr="00942C19" w:rsidRDefault="00C802EE" w:rsidP="00C802EE">
      <w:pPr>
        <w:ind w:left="720"/>
        <w:rPr>
          <w:i/>
        </w:rPr>
      </w:pPr>
      <w:r w:rsidRPr="00942C19">
        <w:rPr>
          <w:b/>
          <w:i/>
        </w:rPr>
        <w:t>NOTE:</w:t>
      </w:r>
      <w:r w:rsidRPr="00942C19">
        <w:rPr>
          <w:i/>
        </w:rPr>
        <w:t xml:space="preserve"> Minimum bill payable by a consumer under </w:t>
      </w:r>
      <w:r w:rsidRPr="00942C19">
        <w:rPr>
          <w:bCs/>
          <w:i/>
        </w:rPr>
        <w:t>Urban Schedule</w:t>
      </w:r>
      <w:r w:rsidRPr="00942C19">
        <w:rPr>
          <w:i/>
        </w:rPr>
        <w:t xml:space="preserve"> (Metered Supply) shall be Rs. 140 per BHP per month, till the installation of the meter.</w:t>
      </w:r>
    </w:p>
    <w:p w:rsidR="00C802EE" w:rsidRPr="00942C19" w:rsidRDefault="00C802EE" w:rsidP="00C802EE">
      <w:pPr>
        <w:rPr>
          <w:szCs w:val="22"/>
        </w:rPr>
      </w:pPr>
    </w:p>
    <w:p w:rsidR="00C802EE" w:rsidRPr="00942C19" w:rsidRDefault="00C802EE" w:rsidP="00C802EE">
      <w:pPr>
        <w:spacing w:before="60" w:after="120"/>
        <w:ind w:right="29"/>
        <w:jc w:val="center"/>
        <w:rPr>
          <w:b/>
          <w:bCs/>
          <w:szCs w:val="22"/>
          <w:u w:val="single"/>
        </w:rPr>
      </w:pPr>
      <w:r w:rsidRPr="00942C19">
        <w:rPr>
          <w:szCs w:val="22"/>
        </w:rPr>
        <w:br w:type="page"/>
      </w:r>
      <w:r w:rsidRPr="00942C19">
        <w:rPr>
          <w:b/>
          <w:bCs/>
          <w:szCs w:val="22"/>
          <w:u w:val="single"/>
        </w:rPr>
        <w:t>Rate Schedule LMV– 6:</w:t>
      </w:r>
    </w:p>
    <w:p w:rsidR="00C802EE" w:rsidRPr="00942C19" w:rsidRDefault="00C802EE" w:rsidP="00C802EE">
      <w:pPr>
        <w:spacing w:before="60" w:after="120"/>
        <w:ind w:right="-61"/>
        <w:jc w:val="center"/>
        <w:rPr>
          <w:rFonts w:cs="Arial"/>
          <w:b/>
          <w:szCs w:val="22"/>
        </w:rPr>
      </w:pPr>
      <w:r w:rsidRPr="00942C19">
        <w:rPr>
          <w:rFonts w:cs="Arial"/>
          <w:b/>
          <w:szCs w:val="22"/>
        </w:rPr>
        <w:t>SMALL AND MEDIUM POWER:</w:t>
      </w:r>
    </w:p>
    <w:p w:rsidR="00C802EE" w:rsidRPr="00942C19" w:rsidRDefault="00C802EE" w:rsidP="00C802EE">
      <w:pPr>
        <w:tabs>
          <w:tab w:val="left" w:pos="360"/>
        </w:tabs>
        <w:spacing w:before="100" w:after="120"/>
        <w:ind w:right="29"/>
        <w:rPr>
          <w:b/>
        </w:rPr>
      </w:pPr>
      <w:r w:rsidRPr="00942C19">
        <w:rPr>
          <w:rFonts w:cs="Arial"/>
          <w:b/>
          <w:szCs w:val="22"/>
        </w:rPr>
        <w:t>1.</w:t>
      </w:r>
      <w:r w:rsidRPr="00942C19">
        <w:rPr>
          <w:rFonts w:cs="Arial"/>
          <w:b/>
          <w:szCs w:val="22"/>
        </w:rPr>
        <w:tab/>
      </w:r>
      <w:r w:rsidRPr="00942C19">
        <w:rPr>
          <w:b/>
        </w:rPr>
        <w:t>APPLICABILITY:</w:t>
      </w:r>
    </w:p>
    <w:p w:rsidR="00C802EE" w:rsidRPr="00942C19" w:rsidRDefault="00C802EE" w:rsidP="00C802EE">
      <w:pPr>
        <w:tabs>
          <w:tab w:val="left" w:pos="360"/>
        </w:tabs>
        <w:spacing w:before="100" w:after="120"/>
        <w:ind w:left="360"/>
      </w:pPr>
      <w:r w:rsidRPr="00942C19">
        <w:t xml:space="preserve">This schedule shall apply to all consumers of electrical energy having a contracted load </w:t>
      </w:r>
      <w:r w:rsidR="00D31494" w:rsidRPr="00942C19">
        <w:t>up to</w:t>
      </w:r>
      <w:r w:rsidRPr="00942C19">
        <w:t xml:space="preserve"> 100 HP (75 kW) for industrial / processing or agro-industrial purposes, power loom (load of 5 kW and above) and to other power consumers, not covered under any other rate schedule.  Floriculture / Mushroom farming units having loads up-to 100 BHP (75kW) shall also be covered under this rate schedule.  This schedule shall also apply to pumping sets above 25 BHP.</w:t>
      </w:r>
    </w:p>
    <w:p w:rsidR="00C802EE" w:rsidRPr="00942C19" w:rsidRDefault="00C802EE" w:rsidP="00C802EE">
      <w:pPr>
        <w:rPr>
          <w:b/>
        </w:rPr>
      </w:pPr>
      <w:r w:rsidRPr="00942C19">
        <w:rPr>
          <w:b/>
        </w:rPr>
        <w:t>2.   CHARACTER AND POINT OF SUPPLY:</w:t>
      </w:r>
    </w:p>
    <w:p w:rsidR="00C802EE" w:rsidRPr="00942C19" w:rsidRDefault="00C802EE" w:rsidP="00C802EE">
      <w:pPr>
        <w:spacing w:line="240" w:lineRule="auto"/>
        <w:ind w:left="360" w:right="-58"/>
        <w:rPr>
          <w:rFonts w:cs="Arial"/>
          <w:szCs w:val="22"/>
        </w:rPr>
      </w:pPr>
      <w:r w:rsidRPr="00942C19">
        <w:rPr>
          <w:szCs w:val="22"/>
        </w:rPr>
        <w:t>As per the applicable provisions of Electricity Supply Code.</w:t>
      </w:r>
    </w:p>
    <w:p w:rsidR="00C802EE" w:rsidRPr="00942C19" w:rsidRDefault="00C802EE" w:rsidP="00C802EE">
      <w:pPr>
        <w:tabs>
          <w:tab w:val="left" w:pos="360"/>
        </w:tabs>
        <w:spacing w:before="240" w:after="120"/>
        <w:ind w:right="1440"/>
        <w:rPr>
          <w:rFonts w:cs="Arial"/>
          <w:b/>
        </w:rPr>
      </w:pPr>
      <w:r w:rsidRPr="00942C19">
        <w:rPr>
          <w:rFonts w:cs="Arial"/>
          <w:b/>
        </w:rPr>
        <w:t>3.</w:t>
      </w:r>
      <w:r w:rsidRPr="00942C19">
        <w:rPr>
          <w:rFonts w:cs="Arial"/>
          <w:b/>
        </w:rPr>
        <w:tab/>
        <w:t>RATE:</w:t>
      </w:r>
    </w:p>
    <w:p w:rsidR="00C802EE" w:rsidRPr="00942C19" w:rsidRDefault="00C802EE" w:rsidP="00C802EE">
      <w:pPr>
        <w:ind w:left="360"/>
      </w:pPr>
      <w:r w:rsidRPr="00942C19">
        <w:t>Rate, gives the fixed and energy charges (including the TOD rates as applicable to the hour of operation) at which the consumer shall be billed for his consumption during the billing period applicable to the category:</w:t>
      </w:r>
    </w:p>
    <w:p w:rsidR="00C802EE" w:rsidRPr="00942C19" w:rsidRDefault="00C802EE" w:rsidP="00C802EE">
      <w:pPr>
        <w:ind w:left="360"/>
      </w:pPr>
    </w:p>
    <w:p w:rsidR="00C802EE" w:rsidRPr="00942C19" w:rsidRDefault="00C802EE" w:rsidP="00A818DC">
      <w:pPr>
        <w:numPr>
          <w:ilvl w:val="0"/>
          <w:numId w:val="90"/>
        </w:numPr>
        <w:spacing w:before="0"/>
        <w:rPr>
          <w:rFonts w:cs="Arial"/>
        </w:rPr>
      </w:pPr>
      <w:r w:rsidRPr="00942C19">
        <w:rPr>
          <w:rFonts w:cs="Arial"/>
          <w:b/>
        </w:rPr>
        <w:t>Consumers getting supply</w:t>
      </w:r>
      <w:r w:rsidRPr="00942C19">
        <w:rPr>
          <w:rFonts w:cs="Arial"/>
        </w:rPr>
        <w:t xml:space="preserve"> </w:t>
      </w:r>
      <w:r w:rsidRPr="00942C19">
        <w:rPr>
          <w:rFonts w:cs="Arial"/>
          <w:b/>
        </w:rPr>
        <w:t>other than Rural Schedule</w:t>
      </w:r>
      <w:r w:rsidRPr="00942C19">
        <w:rPr>
          <w:rFonts w:cs="Arial"/>
        </w:rPr>
        <w:t>:</w:t>
      </w:r>
    </w:p>
    <w:p w:rsidR="00C802EE" w:rsidRPr="00942C19" w:rsidRDefault="00C802EE" w:rsidP="00C802EE">
      <w:pPr>
        <w:rPr>
          <w:rFonts w:cs="Arial"/>
        </w:rPr>
      </w:pPr>
    </w:p>
    <w:tbl>
      <w:tblPr>
        <w:tblW w:w="7650" w:type="dxa"/>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2610"/>
        <w:gridCol w:w="2627"/>
      </w:tblGrid>
      <w:tr w:rsidR="00C802EE" w:rsidRPr="00942C19" w:rsidTr="00C652DB">
        <w:trPr>
          <w:jc w:val="center"/>
        </w:trPr>
        <w:tc>
          <w:tcPr>
            <w:tcW w:w="2413" w:type="dxa"/>
            <w:shd w:val="pct12" w:color="auto" w:fill="auto"/>
          </w:tcPr>
          <w:p w:rsidR="00C802EE" w:rsidRPr="00942C19" w:rsidRDefault="00C802EE" w:rsidP="00C652DB">
            <w:pPr>
              <w:keepNext/>
              <w:spacing w:after="120"/>
              <w:jc w:val="center"/>
              <w:rPr>
                <w:rFonts w:cs="Arial"/>
                <w:b/>
                <w:bCs/>
              </w:rPr>
            </w:pPr>
            <w:r w:rsidRPr="00942C19">
              <w:rPr>
                <w:rFonts w:cs="Arial"/>
                <w:b/>
                <w:bCs/>
              </w:rPr>
              <w:t xml:space="preserve">Consumption Range </w:t>
            </w:r>
          </w:p>
        </w:tc>
        <w:tc>
          <w:tcPr>
            <w:tcW w:w="2610" w:type="dxa"/>
            <w:shd w:val="pct12" w:color="auto" w:fill="auto"/>
          </w:tcPr>
          <w:p w:rsidR="00C802EE" w:rsidRPr="00942C19" w:rsidRDefault="00C802EE" w:rsidP="00C652DB">
            <w:pPr>
              <w:keepNext/>
              <w:spacing w:after="120"/>
              <w:jc w:val="center"/>
              <w:rPr>
                <w:rFonts w:cs="Arial"/>
                <w:b/>
                <w:bCs/>
              </w:rPr>
            </w:pPr>
            <w:r w:rsidRPr="00942C19">
              <w:rPr>
                <w:rFonts w:cs="Arial"/>
                <w:b/>
                <w:bCs/>
              </w:rPr>
              <w:t>Fixed Charge</w:t>
            </w:r>
          </w:p>
        </w:tc>
        <w:tc>
          <w:tcPr>
            <w:tcW w:w="2627" w:type="dxa"/>
            <w:shd w:val="pct12" w:color="auto" w:fill="auto"/>
          </w:tcPr>
          <w:p w:rsidR="00C802EE" w:rsidRPr="00942C19" w:rsidRDefault="00C802EE" w:rsidP="00C652DB">
            <w:pPr>
              <w:keepNext/>
              <w:spacing w:after="120"/>
              <w:jc w:val="center"/>
              <w:rPr>
                <w:rFonts w:cs="Arial"/>
                <w:b/>
                <w:bCs/>
              </w:rPr>
            </w:pPr>
            <w:r w:rsidRPr="00942C19">
              <w:rPr>
                <w:rFonts w:cs="Arial"/>
                <w:b/>
                <w:bCs/>
              </w:rPr>
              <w:t>Energy Charge</w:t>
            </w:r>
          </w:p>
        </w:tc>
      </w:tr>
      <w:tr w:rsidR="00C802EE" w:rsidRPr="00942C19" w:rsidTr="00C652DB">
        <w:trPr>
          <w:jc w:val="center"/>
        </w:trPr>
        <w:tc>
          <w:tcPr>
            <w:tcW w:w="2413" w:type="dxa"/>
            <w:vAlign w:val="center"/>
          </w:tcPr>
          <w:p w:rsidR="00C802EE" w:rsidRPr="00942C19" w:rsidRDefault="00C802EE" w:rsidP="00C652DB">
            <w:pPr>
              <w:keepNext/>
              <w:spacing w:after="120"/>
              <w:jc w:val="center"/>
              <w:rPr>
                <w:rFonts w:cs="Arial"/>
                <w:bCs/>
              </w:rPr>
            </w:pPr>
            <w:r w:rsidRPr="00942C19">
              <w:rPr>
                <w:rFonts w:cs="Arial"/>
                <w:bCs/>
              </w:rPr>
              <w:t>For all Consumption</w:t>
            </w:r>
          </w:p>
        </w:tc>
        <w:tc>
          <w:tcPr>
            <w:tcW w:w="2610" w:type="dxa"/>
            <w:vAlign w:val="center"/>
          </w:tcPr>
          <w:p w:rsidR="00C802EE" w:rsidRPr="00942C19" w:rsidRDefault="00C802EE" w:rsidP="00C652DB">
            <w:pPr>
              <w:keepNext/>
              <w:spacing w:after="120"/>
              <w:jc w:val="center"/>
              <w:rPr>
                <w:rFonts w:cs="Arial"/>
                <w:bCs/>
              </w:rPr>
            </w:pPr>
            <w:r w:rsidRPr="00942C19">
              <w:rPr>
                <w:bCs/>
              </w:rPr>
              <w:t>Rs. 225.00 / kW / month</w:t>
            </w:r>
          </w:p>
        </w:tc>
        <w:tc>
          <w:tcPr>
            <w:tcW w:w="2627" w:type="dxa"/>
            <w:vAlign w:val="center"/>
          </w:tcPr>
          <w:p w:rsidR="00C802EE" w:rsidRPr="00942C19" w:rsidRDefault="00C802EE" w:rsidP="00C652DB">
            <w:pPr>
              <w:keepNext/>
              <w:spacing w:after="120"/>
              <w:jc w:val="center"/>
              <w:rPr>
                <w:rFonts w:cs="Arial"/>
                <w:bCs/>
              </w:rPr>
            </w:pPr>
            <w:r w:rsidRPr="00942C19">
              <w:rPr>
                <w:rFonts w:cs="Arial"/>
                <w:bCs/>
              </w:rPr>
              <w:t>Rs. 6.00 / kWh</w:t>
            </w:r>
          </w:p>
        </w:tc>
      </w:tr>
    </w:tbl>
    <w:p w:rsidR="00C802EE" w:rsidRPr="00942C19" w:rsidRDefault="00C802EE" w:rsidP="00C802EE">
      <w:pPr>
        <w:ind w:left="360"/>
      </w:pPr>
    </w:p>
    <w:p w:rsidR="00C802EE" w:rsidRPr="00942C19" w:rsidRDefault="00C802EE" w:rsidP="00C802EE">
      <w:pPr>
        <w:tabs>
          <w:tab w:val="left" w:pos="360"/>
        </w:tabs>
        <w:spacing w:before="60" w:after="120"/>
        <w:ind w:right="29"/>
        <w:jc w:val="center"/>
        <w:rPr>
          <w:b/>
          <w:szCs w:val="22"/>
        </w:rPr>
      </w:pPr>
      <w:r w:rsidRPr="00942C19">
        <w:rPr>
          <w:b/>
          <w:szCs w:val="22"/>
        </w:rPr>
        <w:t>TOD Rates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942C19" w:rsidTr="00C652DB">
        <w:trPr>
          <w:jc w:val="center"/>
        </w:trPr>
        <w:tc>
          <w:tcPr>
            <w:tcW w:w="2947" w:type="dxa"/>
          </w:tcPr>
          <w:p w:rsidR="00C802EE" w:rsidRPr="00942C19" w:rsidRDefault="00C802EE" w:rsidP="00C652DB">
            <w:pPr>
              <w:tabs>
                <w:tab w:val="left" w:pos="360"/>
              </w:tabs>
              <w:spacing w:before="60" w:after="120"/>
              <w:ind w:right="29"/>
            </w:pPr>
            <w:r w:rsidRPr="00942C19">
              <w:rPr>
                <w:szCs w:val="22"/>
              </w:rPr>
              <w:t>22:00 hrs – 06:00 hrs</w:t>
            </w:r>
          </w:p>
        </w:tc>
        <w:tc>
          <w:tcPr>
            <w:tcW w:w="2976" w:type="dxa"/>
          </w:tcPr>
          <w:p w:rsidR="00C802EE" w:rsidRPr="00942C19" w:rsidRDefault="00C802EE" w:rsidP="00C652DB">
            <w:pPr>
              <w:tabs>
                <w:tab w:val="left" w:pos="360"/>
              </w:tabs>
              <w:spacing w:before="60" w:after="120"/>
              <w:ind w:right="29"/>
            </w:pPr>
            <w:r w:rsidRPr="00942C19">
              <w:rPr>
                <w:szCs w:val="22"/>
              </w:rPr>
              <w:t xml:space="preserve">(-) 7.5% </w:t>
            </w:r>
          </w:p>
        </w:tc>
      </w:tr>
      <w:tr w:rsidR="00C802EE" w:rsidRPr="00942C19" w:rsidTr="00C652DB">
        <w:trPr>
          <w:jc w:val="center"/>
        </w:trPr>
        <w:tc>
          <w:tcPr>
            <w:tcW w:w="2947" w:type="dxa"/>
          </w:tcPr>
          <w:p w:rsidR="00C802EE" w:rsidRPr="00942C19" w:rsidRDefault="00C802EE" w:rsidP="00C652DB">
            <w:pPr>
              <w:tabs>
                <w:tab w:val="left" w:pos="360"/>
              </w:tabs>
              <w:spacing w:before="60" w:after="120"/>
              <w:ind w:right="29"/>
            </w:pPr>
            <w:r w:rsidRPr="00942C19">
              <w:rPr>
                <w:szCs w:val="22"/>
              </w:rPr>
              <w:t>06:00 hrs – 17:00 hrs</w:t>
            </w:r>
          </w:p>
        </w:tc>
        <w:tc>
          <w:tcPr>
            <w:tcW w:w="2976" w:type="dxa"/>
          </w:tcPr>
          <w:p w:rsidR="00C802EE" w:rsidRPr="00942C19" w:rsidRDefault="00C802EE" w:rsidP="00C652DB">
            <w:pPr>
              <w:tabs>
                <w:tab w:val="left" w:pos="360"/>
              </w:tabs>
              <w:spacing w:before="60" w:after="120"/>
              <w:ind w:right="29"/>
            </w:pPr>
            <w:r w:rsidRPr="00942C19">
              <w:rPr>
                <w:szCs w:val="22"/>
              </w:rPr>
              <w:t xml:space="preserve">0% </w:t>
            </w:r>
          </w:p>
        </w:tc>
      </w:tr>
      <w:tr w:rsidR="00C802EE" w:rsidRPr="00942C19" w:rsidTr="00C652DB">
        <w:trPr>
          <w:jc w:val="center"/>
        </w:trPr>
        <w:tc>
          <w:tcPr>
            <w:tcW w:w="2947" w:type="dxa"/>
          </w:tcPr>
          <w:p w:rsidR="00C802EE" w:rsidRPr="00942C19" w:rsidRDefault="00C802EE" w:rsidP="00C652DB">
            <w:pPr>
              <w:tabs>
                <w:tab w:val="left" w:pos="360"/>
              </w:tabs>
              <w:spacing w:before="60" w:after="120"/>
              <w:ind w:right="29"/>
            </w:pPr>
            <w:r w:rsidRPr="00942C19">
              <w:rPr>
                <w:szCs w:val="22"/>
              </w:rPr>
              <w:t>17:00 hrs – 22:00 hrs</w:t>
            </w:r>
          </w:p>
        </w:tc>
        <w:tc>
          <w:tcPr>
            <w:tcW w:w="2976" w:type="dxa"/>
          </w:tcPr>
          <w:p w:rsidR="00C802EE" w:rsidRPr="00942C19" w:rsidRDefault="00C802EE" w:rsidP="00C652DB">
            <w:pPr>
              <w:tabs>
                <w:tab w:val="left" w:pos="360"/>
              </w:tabs>
              <w:spacing w:before="60" w:after="120"/>
              <w:ind w:right="29"/>
            </w:pPr>
            <w:r w:rsidRPr="00942C19">
              <w:rPr>
                <w:szCs w:val="22"/>
              </w:rPr>
              <w:t xml:space="preserve">(+) 15% </w:t>
            </w:r>
          </w:p>
        </w:tc>
      </w:tr>
    </w:tbl>
    <w:p w:rsidR="00D31265" w:rsidRPr="00942C19" w:rsidRDefault="00D31265" w:rsidP="00C802EE">
      <w:pPr>
        <w:tabs>
          <w:tab w:val="left" w:pos="360"/>
        </w:tabs>
      </w:pPr>
    </w:p>
    <w:p w:rsidR="00C802EE" w:rsidRPr="00942C19" w:rsidRDefault="00C802EE" w:rsidP="00C802EE">
      <w:pPr>
        <w:tabs>
          <w:tab w:val="left" w:pos="360"/>
        </w:tabs>
        <w:rPr>
          <w:rFonts w:cs="Arial"/>
          <w:b/>
        </w:rPr>
      </w:pPr>
      <w:r w:rsidRPr="00942C19">
        <w:rPr>
          <w:rFonts w:cs="Arial"/>
          <w:b/>
          <w:bCs/>
        </w:rPr>
        <w:t xml:space="preserve">(B) </w:t>
      </w:r>
      <w:r w:rsidRPr="00942C19">
        <w:rPr>
          <w:rFonts w:cs="Arial"/>
          <w:b/>
          <w:bCs/>
        </w:rPr>
        <w:tab/>
      </w:r>
      <w:r w:rsidRPr="00942C19">
        <w:rPr>
          <w:rFonts w:cs="Arial"/>
          <w:b/>
        </w:rPr>
        <w:t>Consumers getting supply</w:t>
      </w:r>
      <w:r w:rsidRPr="00942C19">
        <w:rPr>
          <w:rFonts w:cs="Arial"/>
        </w:rPr>
        <w:t xml:space="preserve"> </w:t>
      </w:r>
      <w:r w:rsidRPr="00942C19">
        <w:rPr>
          <w:rFonts w:cs="Arial"/>
          <w:b/>
        </w:rPr>
        <w:t>as per Rural Schedule:</w:t>
      </w:r>
    </w:p>
    <w:p w:rsidR="00C802EE" w:rsidRPr="00942C19" w:rsidRDefault="00C802EE" w:rsidP="00C802EE">
      <w:pPr>
        <w:tabs>
          <w:tab w:val="left" w:pos="360"/>
        </w:tabs>
        <w:ind w:left="720"/>
        <w:rPr>
          <w:bCs/>
        </w:rPr>
      </w:pPr>
      <w:r w:rsidRPr="00942C19">
        <w:rPr>
          <w:bCs/>
        </w:rPr>
        <w:t>The consumer under this category shall be entitled to a rebate of 15% on demand &amp; energy charges as given for under urban schedule without TOD rates.</w:t>
      </w:r>
    </w:p>
    <w:p w:rsidR="00C802EE" w:rsidRPr="00942C19" w:rsidRDefault="00C802EE" w:rsidP="00C802EE">
      <w:pPr>
        <w:tabs>
          <w:tab w:val="left" w:pos="720"/>
        </w:tabs>
        <w:spacing w:before="240" w:after="120"/>
        <w:ind w:right="29"/>
        <w:rPr>
          <w:rFonts w:cs="Arial"/>
          <w:b/>
        </w:rPr>
      </w:pPr>
      <w:r w:rsidRPr="00942C19">
        <w:rPr>
          <w:b/>
        </w:rPr>
        <w:t>4.</w:t>
      </w:r>
      <w:r w:rsidRPr="00942C19">
        <w:rPr>
          <w:b/>
        </w:rPr>
        <w:tab/>
      </w:r>
      <w:r w:rsidRPr="00942C19">
        <w:rPr>
          <w:rFonts w:cs="Arial"/>
          <w:b/>
        </w:rPr>
        <w:t xml:space="preserve">PROVISIONS RELATED TO SEASONAL INDUSTRIES: </w:t>
      </w:r>
    </w:p>
    <w:p w:rsidR="00C802EE" w:rsidRPr="00942C19" w:rsidRDefault="00C802EE" w:rsidP="00C802EE">
      <w:pPr>
        <w:spacing w:before="60"/>
        <w:ind w:left="720" w:right="29"/>
      </w:pPr>
      <w:r w:rsidRPr="00942C19">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942C19" w:rsidRDefault="00C802EE" w:rsidP="00A818DC">
      <w:pPr>
        <w:numPr>
          <w:ilvl w:val="0"/>
          <w:numId w:val="78"/>
        </w:numPr>
        <w:tabs>
          <w:tab w:val="clear" w:pos="1080"/>
        </w:tabs>
        <w:spacing w:before="60" w:line="288" w:lineRule="auto"/>
        <w:ind w:left="1440" w:right="29"/>
      </w:pPr>
      <w:r w:rsidRPr="00942C19">
        <w:t>The load of such industry is above 13.4 BHP (for motive power loads) &amp; 10 kW (other loads) and have Tri-vector Meters / TOD meters installed at their premises.</w:t>
      </w:r>
    </w:p>
    <w:p w:rsidR="00C802EE" w:rsidRPr="00942C19" w:rsidRDefault="00C802EE" w:rsidP="00A818DC">
      <w:pPr>
        <w:numPr>
          <w:ilvl w:val="0"/>
          <w:numId w:val="78"/>
        </w:numPr>
        <w:tabs>
          <w:tab w:val="clear" w:pos="1080"/>
        </w:tabs>
        <w:spacing w:before="60" w:line="288" w:lineRule="auto"/>
        <w:ind w:left="1440" w:right="29"/>
      </w:pPr>
      <w:r w:rsidRPr="00942C19">
        <w:t xml:space="preserve">The continuous period of operation of such industries shall be at least 4 (four) months but not more than 9 (nine) months in a financial year. </w:t>
      </w:r>
    </w:p>
    <w:p w:rsidR="00C802EE" w:rsidRPr="00942C19" w:rsidRDefault="00C802EE" w:rsidP="00A818DC">
      <w:pPr>
        <w:numPr>
          <w:ilvl w:val="0"/>
          <w:numId w:val="78"/>
        </w:numPr>
        <w:tabs>
          <w:tab w:val="clear" w:pos="1080"/>
        </w:tabs>
        <w:spacing w:before="60" w:line="288" w:lineRule="auto"/>
        <w:ind w:left="1440" w:right="29"/>
      </w:pPr>
      <w:r w:rsidRPr="00942C19">
        <w:t xml:space="preserve">Any prospective consumer, desirous of availing the seasonal benefit, shall specifically declare his season at the time of submission of declaration / execution of agreement mentioning the period of operation unambiguously. </w:t>
      </w:r>
    </w:p>
    <w:p w:rsidR="00C802EE" w:rsidRPr="00942C19" w:rsidRDefault="00C802EE" w:rsidP="00A818DC">
      <w:pPr>
        <w:numPr>
          <w:ilvl w:val="0"/>
          <w:numId w:val="78"/>
        </w:numPr>
        <w:tabs>
          <w:tab w:val="clear" w:pos="1080"/>
        </w:tabs>
        <w:spacing w:before="60" w:line="288" w:lineRule="auto"/>
        <w:ind w:left="1440" w:right="29"/>
      </w:pPr>
      <w:r w:rsidRPr="00942C19">
        <w:t>The seasonal period once notified cannot be reduced during the next consecutive 12 months. The off-season tariff is not applicable to composite units having seasonal and other category loads.</w:t>
      </w:r>
    </w:p>
    <w:p w:rsidR="00C802EE" w:rsidRPr="00942C19" w:rsidRDefault="00C802EE" w:rsidP="00A818DC">
      <w:pPr>
        <w:numPr>
          <w:ilvl w:val="0"/>
          <w:numId w:val="78"/>
        </w:numPr>
        <w:tabs>
          <w:tab w:val="clear" w:pos="1080"/>
        </w:tabs>
        <w:spacing w:before="60" w:line="288" w:lineRule="auto"/>
        <w:ind w:left="1440" w:right="29"/>
      </w:pPr>
      <w:r w:rsidRPr="00942C19">
        <w:t xml:space="preserve">The off-season tariff is also not available to those units who have captive generation exclusively for process during season and who avail </w:t>
      </w:r>
      <w:r w:rsidR="009A3804" w:rsidRPr="00942C19">
        <w:t>Licensee</w:t>
      </w:r>
      <w:r w:rsidRPr="00942C19">
        <w:t xml:space="preserve">s supply for miscellaneous loads and other non-process loads.  </w:t>
      </w:r>
    </w:p>
    <w:p w:rsidR="00C802EE" w:rsidRPr="00942C19" w:rsidRDefault="00C802EE" w:rsidP="00C802EE">
      <w:pPr>
        <w:spacing w:before="60"/>
        <w:ind w:left="1440" w:right="29" w:hanging="720"/>
        <w:rPr>
          <w:b/>
        </w:rPr>
      </w:pPr>
      <w:r w:rsidRPr="00942C19">
        <w:t xml:space="preserve">vi)  </w:t>
      </w:r>
      <w:r w:rsidRPr="00942C19">
        <w:tab/>
        <w:t xml:space="preserve">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 </w:t>
      </w:r>
    </w:p>
    <w:p w:rsidR="00C802EE" w:rsidRPr="00942C19" w:rsidRDefault="00C802EE" w:rsidP="00C802EE">
      <w:pPr>
        <w:tabs>
          <w:tab w:val="left" w:pos="360"/>
          <w:tab w:val="left" w:pos="720"/>
        </w:tabs>
        <w:spacing w:before="100"/>
        <w:ind w:right="29"/>
        <w:rPr>
          <w:b/>
        </w:rPr>
      </w:pPr>
    </w:p>
    <w:p w:rsidR="00C802EE" w:rsidRPr="00942C19" w:rsidRDefault="00C802EE" w:rsidP="00C802EE">
      <w:pPr>
        <w:tabs>
          <w:tab w:val="left" w:pos="360"/>
          <w:tab w:val="left" w:pos="720"/>
        </w:tabs>
        <w:spacing w:before="100"/>
        <w:ind w:right="29"/>
        <w:rPr>
          <w:b/>
        </w:rPr>
      </w:pPr>
      <w:r w:rsidRPr="00942C19">
        <w:rPr>
          <w:b/>
        </w:rPr>
        <w:t>5.</w:t>
      </w:r>
      <w:r w:rsidRPr="00942C19">
        <w:rPr>
          <w:b/>
        </w:rPr>
        <w:tab/>
      </w:r>
      <w:r w:rsidRPr="00942C19">
        <w:rPr>
          <w:b/>
        </w:rPr>
        <w:tab/>
        <w:t>REBATE TO POWER LOOMS:</w:t>
      </w:r>
    </w:p>
    <w:p w:rsidR="00C802EE" w:rsidRPr="00942C19" w:rsidRDefault="00C802EE" w:rsidP="00C802EE">
      <w:pPr>
        <w:tabs>
          <w:tab w:val="left" w:pos="360"/>
          <w:tab w:val="left" w:pos="720"/>
        </w:tabs>
        <w:spacing w:before="100"/>
        <w:ind w:left="720" w:right="29"/>
      </w:pPr>
      <w:r w:rsidRPr="00942C19">
        <w:t>Rebate to Power Loom consumers shall be applicable in accordance with the Government order dated 14</w:t>
      </w:r>
      <w:r w:rsidRPr="00942C19">
        <w:rPr>
          <w:vertAlign w:val="superscript"/>
        </w:rPr>
        <w:t>th</w:t>
      </w:r>
      <w:r w:rsidRPr="00942C19">
        <w:t xml:space="preserve"> June, 2006 and the Commission’s order dated 11</w:t>
      </w:r>
      <w:r w:rsidRPr="00942C19">
        <w:rPr>
          <w:vertAlign w:val="superscript"/>
        </w:rPr>
        <w:t>th</w:t>
      </w:r>
      <w:r w:rsidRPr="00942C19">
        <w:t xml:space="preserve"> July, 2006 subject to adherence of provision of advance subsidy.  </w:t>
      </w:r>
    </w:p>
    <w:p w:rsidR="00C802EE" w:rsidRPr="00942C19" w:rsidRDefault="00C802EE" w:rsidP="00C802EE">
      <w:pPr>
        <w:tabs>
          <w:tab w:val="left" w:pos="360"/>
          <w:tab w:val="left" w:pos="720"/>
        </w:tabs>
        <w:spacing w:before="100"/>
        <w:ind w:left="720" w:right="29"/>
      </w:pPr>
    </w:p>
    <w:p w:rsidR="00C802EE" w:rsidRPr="00942C19" w:rsidRDefault="00C802EE" w:rsidP="00C802EE">
      <w:pPr>
        <w:tabs>
          <w:tab w:val="left" w:pos="360"/>
        </w:tabs>
        <w:spacing w:before="100" w:after="100"/>
        <w:ind w:right="29"/>
        <w:rPr>
          <w:b/>
        </w:rPr>
      </w:pPr>
      <w:r w:rsidRPr="00942C19">
        <w:rPr>
          <w:b/>
        </w:rPr>
        <w:t>6.</w:t>
      </w:r>
      <w:r w:rsidRPr="00942C19">
        <w:rPr>
          <w:b/>
        </w:rPr>
        <w:tab/>
      </w:r>
      <w:r w:rsidRPr="00942C19">
        <w:rPr>
          <w:b/>
        </w:rPr>
        <w:tab/>
        <w:t>FACTORY LIGHTING:</w:t>
      </w:r>
    </w:p>
    <w:p w:rsidR="00C802EE" w:rsidRPr="00942C19" w:rsidRDefault="00C802EE" w:rsidP="00C802EE">
      <w:pPr>
        <w:spacing w:before="60" w:after="120"/>
        <w:ind w:left="720" w:right="29"/>
      </w:pPr>
      <w:r w:rsidRPr="00942C19">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942C19" w:rsidRDefault="00C802EE" w:rsidP="00C802EE">
      <w:pPr>
        <w:spacing w:before="60" w:after="120"/>
        <w:ind w:left="720" w:right="29"/>
      </w:pPr>
    </w:p>
    <w:p w:rsidR="00C802EE" w:rsidRPr="00942C19" w:rsidRDefault="00C802EE" w:rsidP="00C802EE">
      <w:pPr>
        <w:tabs>
          <w:tab w:val="left" w:pos="720"/>
        </w:tabs>
        <w:spacing w:before="100" w:after="100"/>
        <w:ind w:right="29"/>
        <w:rPr>
          <w:b/>
        </w:rPr>
      </w:pPr>
      <w:r w:rsidRPr="00942C19">
        <w:rPr>
          <w:b/>
        </w:rPr>
        <w:t>7.</w:t>
      </w:r>
      <w:r w:rsidRPr="00942C19">
        <w:rPr>
          <w:b/>
        </w:rPr>
        <w:tab/>
        <w:t>LOAD FACTOR REBATE:</w:t>
      </w:r>
    </w:p>
    <w:p w:rsidR="00C802EE" w:rsidRPr="00942C19" w:rsidRDefault="00C802EE" w:rsidP="00C802EE">
      <w:pPr>
        <w:tabs>
          <w:tab w:val="left" w:pos="360"/>
        </w:tabs>
        <w:spacing w:before="100" w:after="100"/>
        <w:ind w:left="720" w:right="29"/>
      </w:pPr>
      <w:r w:rsidRPr="00942C19">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942C19" w:rsidRDefault="00C802EE" w:rsidP="00C802EE">
      <w:pPr>
        <w:spacing w:line="240" w:lineRule="auto"/>
        <w:jc w:val="left"/>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942C19" w:rsidTr="00C652DB">
        <w:trPr>
          <w:tblHeader/>
        </w:trPr>
        <w:tc>
          <w:tcPr>
            <w:tcW w:w="3060" w:type="dxa"/>
            <w:shd w:val="pct12" w:color="auto" w:fill="auto"/>
          </w:tcPr>
          <w:p w:rsidR="00C802EE" w:rsidRPr="00942C19" w:rsidRDefault="00C802EE" w:rsidP="00C652DB">
            <w:pPr>
              <w:jc w:val="center"/>
              <w:rPr>
                <w:b/>
              </w:rPr>
            </w:pPr>
            <w:r w:rsidRPr="00942C19">
              <w:rPr>
                <w:b/>
              </w:rPr>
              <w:t>Description</w:t>
            </w:r>
          </w:p>
        </w:tc>
        <w:tc>
          <w:tcPr>
            <w:tcW w:w="5220" w:type="dxa"/>
            <w:shd w:val="pct12" w:color="auto" w:fill="auto"/>
          </w:tcPr>
          <w:p w:rsidR="00C802EE" w:rsidRPr="00942C19" w:rsidRDefault="00C802EE" w:rsidP="00C652DB">
            <w:pPr>
              <w:jc w:val="center"/>
              <w:rPr>
                <w:b/>
              </w:rPr>
            </w:pPr>
            <w:r w:rsidRPr="00942C19">
              <w:rPr>
                <w:b/>
              </w:rPr>
              <w:t>Rebate on Energy charges</w:t>
            </w:r>
          </w:p>
        </w:tc>
      </w:tr>
      <w:tr w:rsidR="00C802EE" w:rsidRPr="00942C19" w:rsidTr="00C652DB">
        <w:tc>
          <w:tcPr>
            <w:tcW w:w="3060" w:type="dxa"/>
          </w:tcPr>
          <w:p w:rsidR="00C802EE" w:rsidRPr="00942C19" w:rsidRDefault="00C802EE" w:rsidP="00C652DB">
            <w:pPr>
              <w:ind w:right="-18"/>
              <w:rPr>
                <w:rFonts w:cs="Arial"/>
              </w:rPr>
            </w:pPr>
            <w:r w:rsidRPr="00942C19">
              <w:rPr>
                <w:rFonts w:cs="Arial"/>
              </w:rPr>
              <w:t>For all consumption over 288 kVAh per kVA up to 432 kVAh per kVA per month</w:t>
            </w:r>
          </w:p>
        </w:tc>
        <w:tc>
          <w:tcPr>
            <w:tcW w:w="5220" w:type="dxa"/>
          </w:tcPr>
          <w:p w:rsidR="00C802EE" w:rsidRPr="00942C19" w:rsidRDefault="00C802EE" w:rsidP="00C652DB">
            <w:pPr>
              <w:jc w:val="center"/>
            </w:pPr>
            <w:r w:rsidRPr="00942C19">
              <w:rPr>
                <w:rFonts w:cs="Arial"/>
              </w:rPr>
              <w:t>7.5% on the consumption over  288 kVAh / kVA / month and up to 432 kVAh / kVA / month</w:t>
            </w:r>
          </w:p>
        </w:tc>
      </w:tr>
      <w:tr w:rsidR="00C802EE" w:rsidRPr="00942C19" w:rsidTr="00C652DB">
        <w:tc>
          <w:tcPr>
            <w:tcW w:w="3060" w:type="dxa"/>
          </w:tcPr>
          <w:p w:rsidR="00C802EE" w:rsidRPr="00942C19" w:rsidRDefault="00C802EE" w:rsidP="00C652DB">
            <w:r w:rsidRPr="00942C19">
              <w:rPr>
                <w:rFonts w:cs="Arial"/>
              </w:rPr>
              <w:t>For all consumption over 432 kVAh per kVA up to 504 kVAh per kVA per month</w:t>
            </w:r>
          </w:p>
        </w:tc>
        <w:tc>
          <w:tcPr>
            <w:tcW w:w="5220" w:type="dxa"/>
          </w:tcPr>
          <w:p w:rsidR="00C802EE" w:rsidRPr="00942C19" w:rsidRDefault="00C802EE" w:rsidP="00C652DB">
            <w:pPr>
              <w:pStyle w:val="BodyText"/>
              <w:spacing w:line="288" w:lineRule="auto"/>
              <w:jc w:val="center"/>
              <w:rPr>
                <w:rFonts w:cs="Arial"/>
              </w:rPr>
            </w:pPr>
            <w:r w:rsidRPr="00942C19">
              <w:rPr>
                <w:rFonts w:cs="Arial"/>
              </w:rPr>
              <w:t>7.5% as applicable in first slab</w:t>
            </w:r>
          </w:p>
          <w:p w:rsidR="00C802EE" w:rsidRPr="00942C19" w:rsidRDefault="00C802EE" w:rsidP="00C652DB">
            <w:pPr>
              <w:pStyle w:val="BodyText"/>
              <w:tabs>
                <w:tab w:val="left" w:pos="1946"/>
                <w:tab w:val="center" w:pos="2502"/>
              </w:tabs>
              <w:spacing w:line="288" w:lineRule="auto"/>
              <w:jc w:val="left"/>
              <w:rPr>
                <w:rFonts w:cs="Arial"/>
                <w:i/>
              </w:rPr>
            </w:pPr>
            <w:r w:rsidRPr="00942C19">
              <w:rPr>
                <w:rFonts w:cs="Arial"/>
                <w:i/>
              </w:rPr>
              <w:tab/>
            </w:r>
            <w:r w:rsidRPr="00942C19">
              <w:rPr>
                <w:rFonts w:cs="Arial"/>
                <w:i/>
              </w:rPr>
              <w:tab/>
              <w:t xml:space="preserve">plus </w:t>
            </w:r>
          </w:p>
          <w:p w:rsidR="00C802EE" w:rsidRPr="00942C19" w:rsidRDefault="00C802EE" w:rsidP="00C652DB">
            <w:pPr>
              <w:pStyle w:val="BodyText"/>
              <w:spacing w:line="288" w:lineRule="auto"/>
              <w:jc w:val="center"/>
              <w:rPr>
                <w:rFonts w:cs="Arial"/>
              </w:rPr>
            </w:pPr>
            <w:r w:rsidRPr="00942C19">
              <w:rPr>
                <w:rFonts w:cs="Arial"/>
              </w:rPr>
              <w:t>10% on the consumption over  432 kVAh / kVA / month and up to 504 kVAh / kVA / month</w:t>
            </w:r>
          </w:p>
        </w:tc>
      </w:tr>
      <w:tr w:rsidR="00C802EE" w:rsidRPr="00942C19" w:rsidTr="00C652DB">
        <w:tc>
          <w:tcPr>
            <w:tcW w:w="3060" w:type="dxa"/>
          </w:tcPr>
          <w:p w:rsidR="00C802EE" w:rsidRPr="00942C19" w:rsidRDefault="00C802EE" w:rsidP="00C652DB">
            <w:r w:rsidRPr="00942C19">
              <w:t>For all consumption in excess of 504 kVAh per kVA per month</w:t>
            </w:r>
          </w:p>
        </w:tc>
        <w:tc>
          <w:tcPr>
            <w:tcW w:w="5220" w:type="dxa"/>
          </w:tcPr>
          <w:p w:rsidR="00A44CA7" w:rsidRPr="00942C19" w:rsidRDefault="00C802EE">
            <w:pPr>
              <w:pStyle w:val="BodyText"/>
              <w:spacing w:before="80" w:after="0" w:line="288" w:lineRule="auto"/>
              <w:jc w:val="center"/>
              <w:rPr>
                <w:rFonts w:cs="Arial"/>
              </w:rPr>
            </w:pPr>
            <w:r w:rsidRPr="00942C19">
              <w:rPr>
                <w:rFonts w:cs="Arial"/>
              </w:rPr>
              <w:t>7.5% as applicable in first slab</w:t>
            </w:r>
          </w:p>
          <w:p w:rsidR="00A44CA7" w:rsidRPr="00942C19" w:rsidRDefault="00C802EE">
            <w:pPr>
              <w:pStyle w:val="BodyText"/>
              <w:spacing w:before="80" w:after="0" w:line="288" w:lineRule="auto"/>
              <w:jc w:val="center"/>
              <w:rPr>
                <w:rFonts w:cs="Arial"/>
                <w:i/>
                <w:iCs/>
              </w:rPr>
            </w:pPr>
            <w:r w:rsidRPr="00942C19">
              <w:rPr>
                <w:rFonts w:cs="Arial"/>
                <w:i/>
                <w:iCs/>
              </w:rPr>
              <w:t>plus</w:t>
            </w:r>
          </w:p>
          <w:p w:rsidR="00A44CA7" w:rsidRPr="00942C19" w:rsidRDefault="00C802EE">
            <w:pPr>
              <w:pStyle w:val="BodyText"/>
              <w:spacing w:before="80" w:after="0" w:line="288" w:lineRule="auto"/>
              <w:jc w:val="center"/>
              <w:rPr>
                <w:rFonts w:cs="Arial"/>
              </w:rPr>
            </w:pPr>
            <w:r w:rsidRPr="00942C19">
              <w:rPr>
                <w:rFonts w:cs="Arial"/>
              </w:rPr>
              <w:t>10% as applicable in second slab</w:t>
            </w:r>
          </w:p>
          <w:p w:rsidR="00A44CA7" w:rsidRPr="00942C19" w:rsidRDefault="00C802EE">
            <w:pPr>
              <w:pStyle w:val="BodyText"/>
              <w:spacing w:before="80" w:after="0" w:line="288" w:lineRule="auto"/>
              <w:jc w:val="center"/>
              <w:rPr>
                <w:rFonts w:cs="Arial"/>
                <w:i/>
                <w:iCs/>
              </w:rPr>
            </w:pPr>
            <w:r w:rsidRPr="00942C19">
              <w:rPr>
                <w:rFonts w:cs="Arial"/>
                <w:i/>
                <w:iCs/>
              </w:rPr>
              <w:t>plus</w:t>
            </w:r>
          </w:p>
          <w:p w:rsidR="00A44CA7" w:rsidRPr="00942C19" w:rsidRDefault="00C802EE">
            <w:pPr>
              <w:spacing w:before="80"/>
              <w:jc w:val="center"/>
            </w:pPr>
            <w:r w:rsidRPr="00942C19">
              <w:rPr>
                <w:rFonts w:cs="Arial"/>
              </w:rPr>
              <w:t>20% on the consumption over 504 kVAh / kVA / month</w:t>
            </w:r>
          </w:p>
        </w:tc>
      </w:tr>
    </w:tbl>
    <w:p w:rsidR="00C802EE" w:rsidRPr="00942C19" w:rsidRDefault="00C802EE" w:rsidP="00C802EE">
      <w:pPr>
        <w:ind w:left="720"/>
      </w:pPr>
      <w:r w:rsidRPr="00942C19">
        <w:rPr>
          <w:b/>
        </w:rPr>
        <w:t xml:space="preserve">Note:  </w:t>
      </w:r>
      <w:r w:rsidRPr="00942C19">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942C19" w:rsidRDefault="00C802EE" w:rsidP="00C802EE">
      <w:pPr>
        <w:spacing w:before="60" w:after="120"/>
        <w:ind w:right="29"/>
        <w:jc w:val="center"/>
        <w:rPr>
          <w:rFonts w:cs="Arial"/>
          <w:caps/>
          <w:szCs w:val="22"/>
          <w:u w:val="single"/>
        </w:rPr>
      </w:pPr>
      <w:r w:rsidRPr="00942C19">
        <w:rPr>
          <w:rFonts w:cs="Arial"/>
          <w:szCs w:val="22"/>
        </w:rPr>
        <w:br w:type="page"/>
      </w:r>
      <w:r w:rsidRPr="00942C19">
        <w:rPr>
          <w:rFonts w:cs="Arial"/>
          <w:b/>
          <w:bCs/>
          <w:caps/>
          <w:szCs w:val="22"/>
          <w:u w:val="single"/>
        </w:rPr>
        <w:t>Rate Schedule LMV– 7:</w:t>
      </w:r>
    </w:p>
    <w:p w:rsidR="00C802EE" w:rsidRPr="00942C19" w:rsidRDefault="00C802EE" w:rsidP="00C802EE">
      <w:pPr>
        <w:spacing w:before="100" w:beforeAutospacing="1" w:after="120"/>
        <w:ind w:right="29"/>
        <w:jc w:val="center"/>
        <w:rPr>
          <w:rFonts w:cs="Arial"/>
          <w:b/>
          <w:szCs w:val="22"/>
        </w:rPr>
      </w:pPr>
      <w:r w:rsidRPr="00942C19">
        <w:rPr>
          <w:rFonts w:cs="Arial"/>
          <w:b/>
          <w:szCs w:val="22"/>
        </w:rPr>
        <w:t>PUBLIC WATER WORKS:</w:t>
      </w:r>
    </w:p>
    <w:p w:rsidR="00C802EE" w:rsidRPr="00942C19" w:rsidRDefault="00C802EE" w:rsidP="00C802EE">
      <w:pPr>
        <w:tabs>
          <w:tab w:val="left" w:pos="360"/>
        </w:tabs>
        <w:spacing w:before="100" w:beforeAutospacing="1" w:after="120"/>
        <w:ind w:right="29"/>
        <w:rPr>
          <w:rFonts w:cs="Arial"/>
          <w:b/>
        </w:rPr>
      </w:pPr>
      <w:r w:rsidRPr="00942C19">
        <w:rPr>
          <w:rFonts w:cs="Arial"/>
          <w:b/>
        </w:rPr>
        <w:t>1.</w:t>
      </w:r>
      <w:r w:rsidRPr="00942C19">
        <w:rPr>
          <w:rFonts w:cs="Arial"/>
          <w:b/>
        </w:rPr>
        <w:tab/>
        <w:t>APPLICABILITY:</w:t>
      </w:r>
    </w:p>
    <w:p w:rsidR="00C802EE" w:rsidRPr="00942C19" w:rsidRDefault="00C802EE" w:rsidP="00C802EE">
      <w:pPr>
        <w:spacing w:before="100" w:beforeAutospacing="1" w:after="120"/>
        <w:ind w:left="360" w:right="29"/>
        <w:rPr>
          <w:rFonts w:cs="Arial"/>
        </w:rPr>
      </w:pPr>
      <w:r w:rsidRPr="00942C19">
        <w:rPr>
          <w:rFonts w:cs="Arial"/>
        </w:rPr>
        <w:t xml:space="preserve">This schedule shall apply to Public Water Works, Sewage Treatment Plants and Sewage Pumping Stations functioning under Jal Sansthan, Jal Nigam or other local bodies. </w:t>
      </w:r>
    </w:p>
    <w:p w:rsidR="00C802EE" w:rsidRPr="00942C19" w:rsidRDefault="00C802EE" w:rsidP="00C802EE">
      <w:pPr>
        <w:spacing w:before="100" w:beforeAutospacing="1" w:after="120"/>
        <w:ind w:left="360" w:right="29"/>
        <w:rPr>
          <w:rFonts w:cs="Arial"/>
        </w:rPr>
      </w:pPr>
    </w:p>
    <w:p w:rsidR="00C802EE" w:rsidRPr="00942C19" w:rsidRDefault="00C802EE" w:rsidP="00C802EE">
      <w:pPr>
        <w:tabs>
          <w:tab w:val="left" w:pos="360"/>
        </w:tabs>
        <w:spacing w:before="100" w:after="120"/>
        <w:ind w:right="29"/>
        <w:rPr>
          <w:b/>
        </w:rPr>
      </w:pPr>
      <w:r w:rsidRPr="00942C19">
        <w:rPr>
          <w:b/>
        </w:rPr>
        <w:t>2.</w:t>
      </w:r>
      <w:r w:rsidRPr="00942C19">
        <w:rPr>
          <w:b/>
        </w:rPr>
        <w:tab/>
        <w:t>CHARACTER AND POINT OF SUPPLY:</w:t>
      </w:r>
    </w:p>
    <w:p w:rsidR="00C802EE" w:rsidRPr="00942C19" w:rsidRDefault="00C802EE" w:rsidP="00C802EE">
      <w:pPr>
        <w:spacing w:line="240" w:lineRule="auto"/>
        <w:ind w:left="360" w:right="-58"/>
        <w:rPr>
          <w:rFonts w:cs="Arial"/>
          <w:szCs w:val="22"/>
        </w:rPr>
      </w:pPr>
      <w:r w:rsidRPr="00942C19">
        <w:rPr>
          <w:szCs w:val="22"/>
        </w:rPr>
        <w:t>As per the applicable provisions of Electricity Supply Code.</w:t>
      </w:r>
    </w:p>
    <w:p w:rsidR="00C802EE" w:rsidRPr="00942C19" w:rsidRDefault="00C802EE" w:rsidP="00C802EE">
      <w:pPr>
        <w:tabs>
          <w:tab w:val="left" w:pos="360"/>
        </w:tabs>
        <w:spacing w:before="100" w:after="120"/>
        <w:ind w:right="29"/>
        <w:rPr>
          <w:rFonts w:cs="Arial"/>
          <w:b/>
        </w:rPr>
      </w:pPr>
    </w:p>
    <w:p w:rsidR="00C802EE" w:rsidRPr="00942C19" w:rsidRDefault="00C802EE" w:rsidP="00C802EE">
      <w:pPr>
        <w:tabs>
          <w:tab w:val="left" w:pos="360"/>
        </w:tabs>
        <w:spacing w:before="100" w:after="120"/>
        <w:ind w:right="29"/>
        <w:rPr>
          <w:rFonts w:cs="Arial"/>
          <w:b/>
        </w:rPr>
      </w:pPr>
      <w:r w:rsidRPr="00942C19">
        <w:rPr>
          <w:rFonts w:cs="Arial"/>
          <w:b/>
        </w:rPr>
        <w:t>3.</w:t>
      </w:r>
      <w:r w:rsidRPr="00942C19">
        <w:rPr>
          <w:rFonts w:cs="Arial"/>
          <w:b/>
        </w:rPr>
        <w:tab/>
        <w:t>RATE:</w:t>
      </w:r>
    </w:p>
    <w:p w:rsidR="00C802EE" w:rsidRPr="00942C19" w:rsidRDefault="00C802EE" w:rsidP="00C802EE">
      <w:pPr>
        <w:tabs>
          <w:tab w:val="left" w:pos="720"/>
        </w:tabs>
        <w:ind w:left="360"/>
        <w:rPr>
          <w:rFonts w:cs="Arial"/>
          <w:b/>
        </w:rPr>
      </w:pPr>
      <w:r w:rsidRPr="00942C19">
        <w:rPr>
          <w:rFonts w:cs="Arial"/>
          <w:b/>
          <w:bCs/>
        </w:rPr>
        <w:t xml:space="preserve">(A) </w:t>
      </w:r>
      <w:r w:rsidRPr="00942C19">
        <w:rPr>
          <w:rFonts w:cs="Arial"/>
          <w:b/>
        </w:rPr>
        <w:t>Consumers getting supply</w:t>
      </w:r>
      <w:r w:rsidRPr="00942C19">
        <w:rPr>
          <w:rFonts w:cs="Arial"/>
        </w:rPr>
        <w:t xml:space="preserve"> </w:t>
      </w:r>
      <w:r w:rsidRPr="00942C19">
        <w:rPr>
          <w:rFonts w:cs="Arial"/>
          <w:b/>
        </w:rPr>
        <w:t>other than “Rural</w:t>
      </w:r>
      <w:r w:rsidRPr="00942C19">
        <w:rPr>
          <w:rFonts w:cs="Arial"/>
        </w:rPr>
        <w:t xml:space="preserve"> </w:t>
      </w:r>
      <w:r w:rsidRPr="00942C19">
        <w:rPr>
          <w:rFonts w:cs="Arial"/>
          <w:b/>
        </w:rPr>
        <w:t>Schedule”:</w:t>
      </w:r>
    </w:p>
    <w:p w:rsidR="00C802EE" w:rsidRPr="00942C19" w:rsidRDefault="00C802EE" w:rsidP="00C802EE">
      <w:pPr>
        <w:spacing w:before="100" w:beforeAutospacing="1" w:after="120"/>
        <w:ind w:left="360"/>
      </w:pPr>
      <w:r w:rsidRPr="00942C19">
        <w:t>Rate gives the fixed and energy charges at which the consumer shall be billed for his consumption during the billing period applicable to the category:</w:t>
      </w:r>
    </w:p>
    <w:tbl>
      <w:tblPr>
        <w:tblW w:w="5836"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6"/>
        <w:gridCol w:w="2970"/>
      </w:tblGrid>
      <w:tr w:rsidR="00C802EE" w:rsidRPr="00942C19" w:rsidTr="00C652DB">
        <w:trPr>
          <w:jc w:val="center"/>
        </w:trPr>
        <w:tc>
          <w:tcPr>
            <w:tcW w:w="2866" w:type="dxa"/>
            <w:shd w:val="pct12" w:color="auto" w:fill="auto"/>
          </w:tcPr>
          <w:p w:rsidR="00C802EE" w:rsidRPr="00942C19" w:rsidRDefault="00C802EE" w:rsidP="00C652DB">
            <w:pPr>
              <w:ind w:right="29"/>
              <w:jc w:val="center"/>
              <w:rPr>
                <w:rFonts w:cs="Arial"/>
                <w:b/>
              </w:rPr>
            </w:pPr>
            <w:r w:rsidRPr="00942C19">
              <w:rPr>
                <w:rFonts w:cs="Arial"/>
                <w:b/>
              </w:rPr>
              <w:t>Fixed Charge</w:t>
            </w:r>
          </w:p>
        </w:tc>
        <w:tc>
          <w:tcPr>
            <w:tcW w:w="2970" w:type="dxa"/>
            <w:shd w:val="pct12" w:color="auto" w:fill="auto"/>
          </w:tcPr>
          <w:p w:rsidR="00C802EE" w:rsidRPr="00942C19" w:rsidRDefault="00C802EE" w:rsidP="00C652DB">
            <w:pPr>
              <w:ind w:right="29"/>
              <w:jc w:val="center"/>
              <w:rPr>
                <w:rFonts w:cs="Arial"/>
                <w:b/>
              </w:rPr>
            </w:pPr>
            <w:r w:rsidRPr="00942C19">
              <w:rPr>
                <w:rFonts w:cs="Arial"/>
                <w:b/>
              </w:rPr>
              <w:t>Energy Charge</w:t>
            </w:r>
          </w:p>
        </w:tc>
      </w:tr>
      <w:tr w:rsidR="00C802EE" w:rsidRPr="00942C19" w:rsidTr="00C652DB">
        <w:trPr>
          <w:jc w:val="center"/>
        </w:trPr>
        <w:tc>
          <w:tcPr>
            <w:tcW w:w="2866" w:type="dxa"/>
          </w:tcPr>
          <w:p w:rsidR="00C802EE" w:rsidRPr="00942C19" w:rsidRDefault="00C802EE" w:rsidP="00C652DB">
            <w:pPr>
              <w:ind w:right="29"/>
              <w:rPr>
                <w:rFonts w:cs="Arial"/>
                <w:bCs/>
              </w:rPr>
            </w:pPr>
            <w:r w:rsidRPr="00942C19">
              <w:rPr>
                <w:rFonts w:cs="Arial"/>
                <w:bCs/>
              </w:rPr>
              <w:t>Rs. 230 / kW / month</w:t>
            </w:r>
          </w:p>
        </w:tc>
        <w:tc>
          <w:tcPr>
            <w:tcW w:w="2970" w:type="dxa"/>
          </w:tcPr>
          <w:p w:rsidR="00C802EE" w:rsidRPr="00942C19" w:rsidRDefault="00C802EE" w:rsidP="00C652DB">
            <w:pPr>
              <w:ind w:right="29"/>
              <w:rPr>
                <w:rFonts w:cs="Arial"/>
                <w:bCs/>
              </w:rPr>
            </w:pPr>
            <w:r w:rsidRPr="00942C19">
              <w:rPr>
                <w:rFonts w:cs="Arial"/>
                <w:bCs/>
              </w:rPr>
              <w:t>Rs. 6.25 / kWh</w:t>
            </w:r>
          </w:p>
        </w:tc>
      </w:tr>
    </w:tbl>
    <w:p w:rsidR="00C802EE" w:rsidRPr="00942C19" w:rsidRDefault="00C802EE" w:rsidP="00C802EE">
      <w:pPr>
        <w:ind w:right="29"/>
        <w:rPr>
          <w:rFonts w:cs="Arial"/>
          <w:b/>
        </w:rPr>
      </w:pPr>
    </w:p>
    <w:p w:rsidR="00C802EE" w:rsidRPr="00942C19" w:rsidRDefault="00C802EE" w:rsidP="00C802EE">
      <w:pPr>
        <w:tabs>
          <w:tab w:val="left" w:pos="720"/>
        </w:tabs>
        <w:ind w:left="360"/>
        <w:rPr>
          <w:rFonts w:cs="Arial"/>
          <w:b/>
        </w:rPr>
      </w:pPr>
      <w:r w:rsidRPr="00942C19">
        <w:rPr>
          <w:rFonts w:cs="Arial"/>
          <w:b/>
          <w:bCs/>
        </w:rPr>
        <w:t xml:space="preserve"> (B) </w:t>
      </w:r>
      <w:r w:rsidRPr="00942C19">
        <w:rPr>
          <w:rFonts w:cs="Arial"/>
          <w:b/>
        </w:rPr>
        <w:t>Consumers getting supply</w:t>
      </w:r>
      <w:r w:rsidRPr="00942C19">
        <w:rPr>
          <w:rFonts w:cs="Arial"/>
        </w:rPr>
        <w:t xml:space="preserve"> </w:t>
      </w:r>
      <w:r w:rsidRPr="00942C19">
        <w:rPr>
          <w:rFonts w:cs="Arial"/>
          <w:b/>
        </w:rPr>
        <w:t>as per “Rural Schedule”:</w:t>
      </w:r>
    </w:p>
    <w:p w:rsidR="00C802EE" w:rsidRPr="00942C19" w:rsidRDefault="00C802EE" w:rsidP="00C802EE">
      <w:pPr>
        <w:tabs>
          <w:tab w:val="left" w:pos="360"/>
        </w:tabs>
        <w:ind w:left="720"/>
        <w:rPr>
          <w:bCs/>
        </w:rPr>
      </w:pPr>
      <w:r w:rsidRPr="00942C19">
        <w:rPr>
          <w:bCs/>
        </w:rPr>
        <w:t xml:space="preserve">The consumer under this category shall be entitled to a rebate of 15% on demand &amp; energy charges as given for under other than rural schedule. </w:t>
      </w:r>
    </w:p>
    <w:p w:rsidR="00C802EE" w:rsidRPr="00942C19" w:rsidRDefault="00C802EE" w:rsidP="00C802EE">
      <w:pPr>
        <w:jc w:val="center"/>
      </w:pPr>
    </w:p>
    <w:p w:rsidR="00C802EE" w:rsidRPr="00942C19" w:rsidRDefault="00C802EE" w:rsidP="00C802EE">
      <w:pPr>
        <w:spacing w:line="240" w:lineRule="auto"/>
        <w:jc w:val="left"/>
        <w:rPr>
          <w:b/>
          <w:u w:val="single"/>
        </w:rPr>
      </w:pPr>
      <w:r w:rsidRPr="00942C19">
        <w:rPr>
          <w:b/>
          <w:u w:val="single"/>
        </w:rPr>
        <w:br w:type="page"/>
      </w:r>
    </w:p>
    <w:p w:rsidR="00C802EE" w:rsidRPr="00942C19" w:rsidRDefault="00C802EE" w:rsidP="00C802EE">
      <w:pPr>
        <w:jc w:val="center"/>
        <w:rPr>
          <w:b/>
          <w:u w:val="single"/>
        </w:rPr>
      </w:pPr>
      <w:r w:rsidRPr="00942C19">
        <w:rPr>
          <w:b/>
          <w:u w:val="single"/>
        </w:rPr>
        <w:t>Rate Schedule LMV – 8:</w:t>
      </w:r>
    </w:p>
    <w:p w:rsidR="00C802EE" w:rsidRPr="00942C19" w:rsidRDefault="00C802EE" w:rsidP="00C802EE">
      <w:pPr>
        <w:jc w:val="center"/>
        <w:rPr>
          <w:rFonts w:cs="Arial"/>
          <w:b/>
        </w:rPr>
      </w:pPr>
    </w:p>
    <w:p w:rsidR="00C802EE" w:rsidRPr="00942C19" w:rsidRDefault="00C802EE" w:rsidP="00C802EE">
      <w:pPr>
        <w:jc w:val="center"/>
        <w:rPr>
          <w:rFonts w:cs="Arial"/>
          <w:b/>
        </w:rPr>
      </w:pPr>
      <w:r w:rsidRPr="00942C19">
        <w:rPr>
          <w:rFonts w:cs="Arial"/>
          <w:b/>
        </w:rPr>
        <w:t>STATE TUBE WELLS / PANCHAYTI RAJ TUBE WELL &amp; PUMPED CANALS:</w:t>
      </w:r>
    </w:p>
    <w:p w:rsidR="00C802EE" w:rsidRPr="00942C19" w:rsidRDefault="00C802EE" w:rsidP="00C802EE">
      <w:pPr>
        <w:tabs>
          <w:tab w:val="left" w:pos="360"/>
        </w:tabs>
        <w:spacing w:before="100" w:beforeAutospacing="1"/>
        <w:ind w:right="1440"/>
        <w:rPr>
          <w:rFonts w:cs="Arial"/>
          <w:b/>
          <w:szCs w:val="22"/>
        </w:rPr>
      </w:pPr>
      <w:r w:rsidRPr="00942C19">
        <w:rPr>
          <w:rFonts w:cs="Arial"/>
          <w:b/>
          <w:szCs w:val="22"/>
        </w:rPr>
        <w:t>1.</w:t>
      </w:r>
      <w:r w:rsidRPr="00942C19">
        <w:rPr>
          <w:rFonts w:cs="Arial"/>
          <w:b/>
          <w:szCs w:val="22"/>
        </w:rPr>
        <w:tab/>
        <w:t>APPLICABILITY:</w:t>
      </w:r>
    </w:p>
    <w:p w:rsidR="00C802EE" w:rsidRPr="00942C19" w:rsidRDefault="00C802EE" w:rsidP="00A818DC">
      <w:pPr>
        <w:numPr>
          <w:ilvl w:val="0"/>
          <w:numId w:val="75"/>
        </w:numPr>
        <w:tabs>
          <w:tab w:val="clear" w:pos="1080"/>
        </w:tabs>
        <w:spacing w:before="100" w:beforeAutospacing="1" w:line="288" w:lineRule="auto"/>
        <w:ind w:right="29"/>
        <w:rPr>
          <w:rFonts w:cs="Arial"/>
          <w:szCs w:val="22"/>
        </w:rPr>
      </w:pPr>
      <w:r w:rsidRPr="00942C19">
        <w:rPr>
          <w:rFonts w:cs="Arial"/>
          <w:szCs w:val="22"/>
        </w:rPr>
        <w:t xml:space="preserve">This schedule shall apply to supply of power for all State Tube wells, including Tube wells operated by Panchayti Raj, World Bank Tube wells, Indo Dutch Tube wells, Pumped Canals and Lift Irrigation schemes having a load </w:t>
      </w:r>
      <w:r w:rsidR="00D31494" w:rsidRPr="00942C19">
        <w:rPr>
          <w:rFonts w:cs="Arial"/>
          <w:szCs w:val="22"/>
        </w:rPr>
        <w:t>up to</w:t>
      </w:r>
      <w:r w:rsidRPr="00942C19">
        <w:rPr>
          <w:rFonts w:cs="Arial"/>
          <w:szCs w:val="22"/>
        </w:rPr>
        <w:t xml:space="preserve"> 100 BHP.</w:t>
      </w:r>
    </w:p>
    <w:p w:rsidR="00C802EE" w:rsidRPr="00942C19" w:rsidRDefault="00C802EE" w:rsidP="00A818DC">
      <w:pPr>
        <w:numPr>
          <w:ilvl w:val="0"/>
          <w:numId w:val="75"/>
        </w:numPr>
        <w:tabs>
          <w:tab w:val="clear" w:pos="1080"/>
        </w:tabs>
        <w:spacing w:before="100" w:beforeAutospacing="1" w:line="288" w:lineRule="auto"/>
        <w:ind w:right="1440"/>
        <w:rPr>
          <w:rFonts w:cs="Arial"/>
          <w:szCs w:val="22"/>
        </w:rPr>
      </w:pPr>
      <w:r w:rsidRPr="00942C19">
        <w:rPr>
          <w:rFonts w:cs="Arial"/>
          <w:szCs w:val="22"/>
        </w:rPr>
        <w:t xml:space="preserve">Laghu Dal Nahar having load above 100 BHP. </w:t>
      </w:r>
    </w:p>
    <w:p w:rsidR="00C802EE" w:rsidRPr="00942C19" w:rsidRDefault="00C802EE" w:rsidP="00C802EE"/>
    <w:p w:rsidR="00C802EE" w:rsidRPr="00942C19" w:rsidRDefault="00C802EE" w:rsidP="00C802EE">
      <w:pPr>
        <w:tabs>
          <w:tab w:val="left" w:pos="360"/>
        </w:tabs>
        <w:spacing w:line="240" w:lineRule="auto"/>
        <w:ind w:left="360" w:right="-58" w:hanging="360"/>
        <w:rPr>
          <w:b/>
          <w:szCs w:val="22"/>
        </w:rPr>
      </w:pPr>
      <w:r w:rsidRPr="00942C19">
        <w:rPr>
          <w:b/>
          <w:szCs w:val="22"/>
        </w:rPr>
        <w:t>2.</w:t>
      </w:r>
      <w:r w:rsidRPr="00942C19">
        <w:rPr>
          <w:b/>
          <w:szCs w:val="22"/>
        </w:rPr>
        <w:tab/>
        <w:t>CHARACTER AND POINT OF SUPPLY:</w:t>
      </w:r>
    </w:p>
    <w:p w:rsidR="00C802EE" w:rsidRPr="00942C19" w:rsidRDefault="00C802EE" w:rsidP="00C802EE">
      <w:pPr>
        <w:spacing w:line="240" w:lineRule="auto"/>
        <w:ind w:right="-58" w:firstLine="360"/>
        <w:rPr>
          <w:szCs w:val="22"/>
        </w:rPr>
      </w:pPr>
      <w:r w:rsidRPr="00942C19">
        <w:rPr>
          <w:b/>
          <w:szCs w:val="22"/>
        </w:rPr>
        <w:t xml:space="preserve"> </w:t>
      </w:r>
      <w:r w:rsidRPr="00942C19">
        <w:rPr>
          <w:szCs w:val="22"/>
        </w:rPr>
        <w:t>As per the applicable provisions of Electricity Supply Code.</w:t>
      </w:r>
    </w:p>
    <w:p w:rsidR="00C802EE" w:rsidRPr="00942C19" w:rsidRDefault="00C802EE" w:rsidP="00C802EE">
      <w:pPr>
        <w:spacing w:line="240" w:lineRule="auto"/>
        <w:ind w:right="-58" w:firstLine="360"/>
        <w:rPr>
          <w:rFonts w:cs="Arial"/>
          <w:szCs w:val="22"/>
        </w:rPr>
      </w:pPr>
    </w:p>
    <w:p w:rsidR="00C802EE" w:rsidRPr="00942C19" w:rsidRDefault="00C802EE" w:rsidP="00C802EE">
      <w:pPr>
        <w:tabs>
          <w:tab w:val="left" w:pos="360"/>
        </w:tabs>
        <w:spacing w:before="100"/>
        <w:ind w:right="-61"/>
        <w:rPr>
          <w:rFonts w:cs="Arial"/>
          <w:b/>
          <w:szCs w:val="22"/>
        </w:rPr>
      </w:pPr>
      <w:r w:rsidRPr="00942C19">
        <w:rPr>
          <w:rFonts w:cs="Arial"/>
          <w:b/>
          <w:szCs w:val="22"/>
        </w:rPr>
        <w:t>3.</w:t>
      </w:r>
      <w:r w:rsidRPr="00942C19">
        <w:rPr>
          <w:rFonts w:cs="Arial"/>
          <w:b/>
          <w:szCs w:val="22"/>
        </w:rPr>
        <w:tab/>
        <w:t>RATE:</w:t>
      </w:r>
    </w:p>
    <w:p w:rsidR="00C802EE" w:rsidRPr="00942C19" w:rsidRDefault="00C802EE" w:rsidP="00C802EE">
      <w:pPr>
        <w:spacing w:before="100" w:beforeAutospacing="1" w:after="120"/>
        <w:ind w:left="360"/>
        <w:rPr>
          <w:rFonts w:cs="Arial"/>
          <w:szCs w:val="22"/>
        </w:rPr>
      </w:pPr>
      <w:r w:rsidRPr="00942C19">
        <w:rPr>
          <w:szCs w:val="22"/>
        </w:rPr>
        <w:t xml:space="preserve">Rate gives the fixed and energy charges at which the consumer shall be billed for his consumption during the billing period applicable to the category: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610"/>
        <w:gridCol w:w="2250"/>
      </w:tblGrid>
      <w:tr w:rsidR="00C802EE" w:rsidRPr="00942C19" w:rsidTr="00C652DB">
        <w:tc>
          <w:tcPr>
            <w:tcW w:w="1980" w:type="dxa"/>
            <w:shd w:val="pct12" w:color="auto" w:fill="auto"/>
          </w:tcPr>
          <w:p w:rsidR="00C802EE" w:rsidRPr="00942C19" w:rsidRDefault="00C802EE" w:rsidP="00C652DB">
            <w:pPr>
              <w:ind w:right="29"/>
              <w:jc w:val="center"/>
              <w:rPr>
                <w:rFonts w:cs="Arial"/>
                <w:b/>
              </w:rPr>
            </w:pPr>
            <w:r w:rsidRPr="00942C19">
              <w:rPr>
                <w:rFonts w:cs="Arial"/>
                <w:b/>
                <w:szCs w:val="22"/>
              </w:rPr>
              <w:t>Description</w:t>
            </w:r>
          </w:p>
        </w:tc>
        <w:tc>
          <w:tcPr>
            <w:tcW w:w="2610" w:type="dxa"/>
            <w:shd w:val="pct12" w:color="auto" w:fill="auto"/>
          </w:tcPr>
          <w:p w:rsidR="00C802EE" w:rsidRPr="00942C19" w:rsidRDefault="00C802EE" w:rsidP="00C652DB">
            <w:pPr>
              <w:ind w:right="29"/>
              <w:jc w:val="center"/>
              <w:rPr>
                <w:rFonts w:cs="Arial"/>
                <w:b/>
              </w:rPr>
            </w:pPr>
            <w:r w:rsidRPr="00942C19">
              <w:rPr>
                <w:rFonts w:cs="Arial"/>
                <w:b/>
                <w:szCs w:val="22"/>
              </w:rPr>
              <w:t>Fixed Charge</w:t>
            </w:r>
          </w:p>
        </w:tc>
        <w:tc>
          <w:tcPr>
            <w:tcW w:w="2250" w:type="dxa"/>
            <w:shd w:val="pct12" w:color="auto" w:fill="auto"/>
          </w:tcPr>
          <w:p w:rsidR="00C802EE" w:rsidRPr="00942C19" w:rsidRDefault="00C802EE" w:rsidP="00C652DB">
            <w:pPr>
              <w:ind w:right="29"/>
              <w:jc w:val="center"/>
              <w:rPr>
                <w:rFonts w:cs="Arial"/>
                <w:b/>
              </w:rPr>
            </w:pPr>
            <w:r w:rsidRPr="00942C19">
              <w:rPr>
                <w:rFonts w:cs="Arial"/>
                <w:b/>
                <w:szCs w:val="22"/>
              </w:rPr>
              <w:t>Energy Charge</w:t>
            </w:r>
          </w:p>
        </w:tc>
      </w:tr>
      <w:tr w:rsidR="00C802EE" w:rsidRPr="00942C19" w:rsidTr="00C652DB">
        <w:tc>
          <w:tcPr>
            <w:tcW w:w="1980" w:type="dxa"/>
          </w:tcPr>
          <w:p w:rsidR="00C802EE" w:rsidRPr="00942C19" w:rsidRDefault="00C802EE" w:rsidP="00C652DB">
            <w:pPr>
              <w:ind w:right="29"/>
              <w:jc w:val="center"/>
              <w:rPr>
                <w:rFonts w:cs="Arial"/>
              </w:rPr>
            </w:pPr>
            <w:r w:rsidRPr="00942C19">
              <w:rPr>
                <w:rFonts w:cs="Arial"/>
                <w:szCs w:val="22"/>
              </w:rPr>
              <w:t>Metered</w:t>
            </w:r>
          </w:p>
        </w:tc>
        <w:tc>
          <w:tcPr>
            <w:tcW w:w="2610" w:type="dxa"/>
          </w:tcPr>
          <w:p w:rsidR="00C802EE" w:rsidRPr="00942C19" w:rsidRDefault="00C802EE" w:rsidP="00C652DB">
            <w:pPr>
              <w:ind w:right="29"/>
              <w:jc w:val="center"/>
              <w:rPr>
                <w:rFonts w:cs="Arial"/>
              </w:rPr>
            </w:pPr>
            <w:r w:rsidRPr="00942C19">
              <w:rPr>
                <w:rFonts w:cs="Arial"/>
                <w:szCs w:val="22"/>
              </w:rPr>
              <w:t>Rs. 200 / BHP / month</w:t>
            </w:r>
          </w:p>
        </w:tc>
        <w:tc>
          <w:tcPr>
            <w:tcW w:w="2250" w:type="dxa"/>
          </w:tcPr>
          <w:p w:rsidR="00C802EE" w:rsidRPr="00942C19" w:rsidRDefault="00C802EE" w:rsidP="00C652DB">
            <w:pPr>
              <w:ind w:right="29"/>
              <w:jc w:val="center"/>
              <w:rPr>
                <w:rFonts w:cs="Arial"/>
              </w:rPr>
            </w:pPr>
            <w:r w:rsidRPr="00942C19">
              <w:rPr>
                <w:rFonts w:cs="Arial"/>
                <w:szCs w:val="22"/>
              </w:rPr>
              <w:t>Rs. 6.00 / kWh</w:t>
            </w:r>
          </w:p>
        </w:tc>
      </w:tr>
      <w:tr w:rsidR="00C802EE" w:rsidRPr="00942C19" w:rsidTr="00C652DB">
        <w:tc>
          <w:tcPr>
            <w:tcW w:w="1980" w:type="dxa"/>
          </w:tcPr>
          <w:p w:rsidR="00C802EE" w:rsidRPr="00942C19" w:rsidRDefault="00C802EE" w:rsidP="00C652DB">
            <w:pPr>
              <w:ind w:right="29"/>
              <w:jc w:val="center"/>
              <w:rPr>
                <w:rFonts w:cs="Arial"/>
              </w:rPr>
            </w:pPr>
            <w:r w:rsidRPr="00942C19">
              <w:rPr>
                <w:rFonts w:cs="Arial"/>
                <w:szCs w:val="22"/>
              </w:rPr>
              <w:t>Un-metered</w:t>
            </w:r>
          </w:p>
        </w:tc>
        <w:tc>
          <w:tcPr>
            <w:tcW w:w="2610" w:type="dxa"/>
          </w:tcPr>
          <w:p w:rsidR="00C802EE" w:rsidRPr="00942C19" w:rsidRDefault="00C802EE" w:rsidP="00C652DB">
            <w:pPr>
              <w:ind w:right="29"/>
              <w:jc w:val="center"/>
              <w:rPr>
                <w:rFonts w:cs="Arial"/>
              </w:rPr>
            </w:pPr>
            <w:r w:rsidRPr="00942C19">
              <w:rPr>
                <w:rFonts w:cs="Arial"/>
                <w:szCs w:val="22"/>
              </w:rPr>
              <w:t>Rs. 1250 / BHP / month</w:t>
            </w:r>
          </w:p>
        </w:tc>
        <w:tc>
          <w:tcPr>
            <w:tcW w:w="2250" w:type="dxa"/>
          </w:tcPr>
          <w:p w:rsidR="00C802EE" w:rsidRPr="00942C19" w:rsidRDefault="00C802EE" w:rsidP="00C652DB">
            <w:pPr>
              <w:ind w:right="29"/>
              <w:jc w:val="center"/>
              <w:rPr>
                <w:rFonts w:cs="Arial"/>
              </w:rPr>
            </w:pPr>
            <w:r w:rsidRPr="00942C19">
              <w:rPr>
                <w:rFonts w:cs="Arial"/>
                <w:szCs w:val="22"/>
              </w:rPr>
              <w:t>Nil</w:t>
            </w:r>
          </w:p>
        </w:tc>
      </w:tr>
    </w:tbl>
    <w:p w:rsidR="00C802EE" w:rsidRPr="00942C19" w:rsidRDefault="00C802EE" w:rsidP="00C802EE">
      <w:pPr>
        <w:ind w:right="29"/>
        <w:rPr>
          <w:rFonts w:cs="Arial"/>
          <w:b/>
          <w:szCs w:val="22"/>
        </w:rPr>
      </w:pPr>
    </w:p>
    <w:p w:rsidR="00C802EE" w:rsidRPr="00942C19" w:rsidRDefault="00C802EE" w:rsidP="00C802EE">
      <w:pPr>
        <w:ind w:right="29"/>
        <w:rPr>
          <w:rFonts w:cs="Arial"/>
          <w:szCs w:val="22"/>
        </w:rPr>
      </w:pPr>
    </w:p>
    <w:p w:rsidR="00C802EE" w:rsidRPr="00942C19" w:rsidRDefault="00C802EE" w:rsidP="00C802EE">
      <w:pPr>
        <w:ind w:right="29"/>
        <w:rPr>
          <w:rFonts w:cs="Arial"/>
          <w:szCs w:val="22"/>
        </w:rPr>
      </w:pPr>
    </w:p>
    <w:p w:rsidR="00C802EE" w:rsidRPr="00942C19" w:rsidRDefault="00C802EE" w:rsidP="00C802EE">
      <w:pPr>
        <w:ind w:right="29"/>
        <w:rPr>
          <w:rFonts w:cs="Arial"/>
          <w:szCs w:val="22"/>
        </w:rPr>
      </w:pPr>
    </w:p>
    <w:p w:rsidR="00C802EE" w:rsidRPr="00942C19" w:rsidRDefault="00C802EE" w:rsidP="00C802EE">
      <w:pPr>
        <w:ind w:right="29"/>
        <w:rPr>
          <w:rFonts w:cs="Arial"/>
          <w:szCs w:val="22"/>
        </w:rPr>
      </w:pPr>
      <w:r w:rsidRPr="00942C19">
        <w:rPr>
          <w:rFonts w:cs="Arial"/>
          <w:szCs w:val="22"/>
        </w:rPr>
        <w:tab/>
      </w:r>
      <w:r w:rsidRPr="00942C19">
        <w:rPr>
          <w:rFonts w:cs="Arial"/>
          <w:szCs w:val="22"/>
        </w:rPr>
        <w:tab/>
      </w:r>
    </w:p>
    <w:p w:rsidR="00C802EE" w:rsidRPr="00942C19" w:rsidRDefault="00785E17" w:rsidP="00C802EE">
      <w:pPr>
        <w:tabs>
          <w:tab w:val="left" w:pos="360"/>
        </w:tabs>
        <w:spacing w:before="60"/>
        <w:ind w:left="360" w:right="-151" w:hanging="360"/>
        <w:rPr>
          <w:rFonts w:cs="Arial"/>
          <w:bCs/>
          <w:szCs w:val="22"/>
        </w:rPr>
      </w:pPr>
      <w:r w:rsidRPr="00942C19">
        <w:rPr>
          <w:rFonts w:cs="Arial"/>
          <w:b/>
          <w:szCs w:val="22"/>
        </w:rPr>
        <w:t>4.</w:t>
      </w:r>
      <w:r w:rsidRPr="00942C19">
        <w:rPr>
          <w:rFonts w:cs="Arial"/>
          <w:b/>
          <w:szCs w:val="22"/>
        </w:rPr>
        <w:tab/>
      </w:r>
      <w:r w:rsidRPr="00942C19">
        <w:rPr>
          <w:rFonts w:cs="Arial"/>
          <w:bCs/>
          <w:szCs w:val="22"/>
        </w:rPr>
        <w:t>For finding out net additional load during any quarter of the year for this category refer ANNEXURE</w:t>
      </w:r>
      <w:r w:rsidRPr="00942C19">
        <w:rPr>
          <w:rFonts w:cs="Arial"/>
          <w:szCs w:val="22"/>
        </w:rPr>
        <w:t xml:space="preserve"> 10.2.3</w:t>
      </w:r>
    </w:p>
    <w:p w:rsidR="00C802EE" w:rsidRPr="00942C19" w:rsidRDefault="00C802EE" w:rsidP="00C802EE">
      <w:pPr>
        <w:spacing w:before="60"/>
        <w:ind w:right="-151"/>
        <w:rPr>
          <w:rFonts w:cs="Arial"/>
          <w:b/>
          <w:szCs w:val="22"/>
        </w:rPr>
      </w:pPr>
    </w:p>
    <w:p w:rsidR="00C802EE" w:rsidRPr="00942C19" w:rsidRDefault="00C802EE" w:rsidP="00C802EE">
      <w:pPr>
        <w:spacing w:after="200"/>
        <w:jc w:val="left"/>
        <w:rPr>
          <w:rFonts w:cs="Arial"/>
          <w:b/>
          <w:szCs w:val="22"/>
        </w:rPr>
      </w:pPr>
      <w:r w:rsidRPr="00942C19">
        <w:rPr>
          <w:rFonts w:cs="Arial"/>
          <w:b/>
          <w:szCs w:val="22"/>
        </w:rPr>
        <w:br w:type="page"/>
      </w:r>
    </w:p>
    <w:p w:rsidR="00C802EE" w:rsidRPr="00942C19" w:rsidRDefault="00C802EE" w:rsidP="00C802EE">
      <w:pPr>
        <w:jc w:val="center"/>
        <w:rPr>
          <w:b/>
          <w:caps/>
          <w:u w:val="single"/>
        </w:rPr>
      </w:pPr>
      <w:r w:rsidRPr="00942C19">
        <w:rPr>
          <w:b/>
          <w:caps/>
          <w:u w:val="single"/>
        </w:rPr>
        <w:t>Rate Schedule LMV – 9:</w:t>
      </w:r>
    </w:p>
    <w:p w:rsidR="00C802EE" w:rsidRPr="00942C19" w:rsidRDefault="00C802EE" w:rsidP="00C802EE">
      <w:pPr>
        <w:jc w:val="center"/>
        <w:rPr>
          <w:caps/>
          <w:u w:val="single"/>
        </w:rPr>
      </w:pPr>
    </w:p>
    <w:p w:rsidR="00C802EE" w:rsidRPr="00942C19" w:rsidRDefault="00C802EE" w:rsidP="00C802EE">
      <w:pPr>
        <w:jc w:val="center"/>
        <w:rPr>
          <w:b/>
        </w:rPr>
      </w:pPr>
      <w:r w:rsidRPr="00942C19">
        <w:rPr>
          <w:b/>
        </w:rPr>
        <w:t>TEMPORARY SUPPLY:</w:t>
      </w:r>
    </w:p>
    <w:p w:rsidR="00C802EE" w:rsidRPr="00942C19" w:rsidRDefault="00C802EE" w:rsidP="00C802EE">
      <w:pPr>
        <w:tabs>
          <w:tab w:val="left" w:pos="360"/>
        </w:tabs>
        <w:spacing w:before="100" w:beforeAutospacing="1"/>
        <w:ind w:right="29"/>
        <w:rPr>
          <w:rFonts w:cs="Arial"/>
          <w:b/>
        </w:rPr>
      </w:pPr>
      <w:r w:rsidRPr="00942C19">
        <w:rPr>
          <w:rFonts w:cs="Arial"/>
          <w:b/>
          <w:szCs w:val="22"/>
        </w:rPr>
        <w:t>1.</w:t>
      </w:r>
      <w:r w:rsidRPr="00942C19">
        <w:rPr>
          <w:rFonts w:cs="Arial"/>
          <w:b/>
          <w:szCs w:val="22"/>
        </w:rPr>
        <w:tab/>
      </w:r>
      <w:r w:rsidRPr="00942C19">
        <w:rPr>
          <w:rFonts w:cs="Arial"/>
          <w:b/>
        </w:rPr>
        <w:t>APPLICABILITY:</w:t>
      </w:r>
    </w:p>
    <w:p w:rsidR="00C802EE" w:rsidRPr="00942C19" w:rsidRDefault="00C802EE" w:rsidP="00C802EE">
      <w:pPr>
        <w:pStyle w:val="BodyTextIndent"/>
        <w:spacing w:line="288" w:lineRule="auto"/>
        <w:ind w:left="360" w:right="-58"/>
        <w:rPr>
          <w:rFonts w:ascii="Calibri" w:hAnsi="Calibri" w:cs="Arial"/>
          <w:b/>
          <w:lang w:val="en-GB"/>
        </w:rPr>
      </w:pPr>
      <w:r w:rsidRPr="00942C19">
        <w:rPr>
          <w:rFonts w:ascii="Calibri" w:hAnsi="Calibri" w:cs="Arial"/>
          <w:b/>
          <w:bCs w:val="0"/>
          <w:lang w:val="en-GB"/>
        </w:rPr>
        <w:t>A)</w:t>
      </w:r>
      <w:r w:rsidRPr="00942C19">
        <w:rPr>
          <w:rFonts w:ascii="Calibri" w:hAnsi="Calibri" w:cs="Arial"/>
          <w:b/>
          <w:bCs w:val="0"/>
          <w:lang w:val="en-GB"/>
        </w:rPr>
        <w:tab/>
        <w:t xml:space="preserve">Un-metered Supply for </w:t>
      </w:r>
      <w:r w:rsidRPr="00942C19">
        <w:rPr>
          <w:rFonts w:ascii="Calibri" w:hAnsi="Calibri" w:cs="Arial"/>
          <w:b/>
          <w:lang w:val="en-GB"/>
        </w:rPr>
        <w:t>Illumination/ Public Address/ Temporary Shops in Melas:</w:t>
      </w:r>
    </w:p>
    <w:p w:rsidR="00C802EE" w:rsidRPr="00942C19" w:rsidRDefault="00C802EE" w:rsidP="00C802EE">
      <w:pPr>
        <w:pStyle w:val="BodyTextIndent"/>
        <w:spacing w:line="288" w:lineRule="auto"/>
        <w:ind w:right="-58"/>
        <w:rPr>
          <w:rFonts w:ascii="Calibri" w:hAnsi="Calibri" w:cs="Arial"/>
          <w:lang w:val="en-GB"/>
        </w:rPr>
      </w:pPr>
      <w:r w:rsidRPr="00942C19">
        <w:rPr>
          <w:rFonts w:ascii="Calibri" w:hAnsi="Calibri" w:cs="Arial"/>
          <w:lang w:val="en-GB"/>
        </w:rPr>
        <w:t xml:space="preserve">This schedule shall apply to temporary supply of light, fan &amp; power up to 20 KW, Public address system and illumination loads during functions, ceremonies and festivities and temporary shops, not exceeding three months. </w:t>
      </w:r>
    </w:p>
    <w:p w:rsidR="00C802EE" w:rsidRPr="00942C19" w:rsidRDefault="00C802EE" w:rsidP="00C802EE">
      <w:pPr>
        <w:pStyle w:val="BodyTextIndent"/>
        <w:spacing w:line="288" w:lineRule="auto"/>
        <w:ind w:left="360" w:right="-58"/>
        <w:rPr>
          <w:rFonts w:ascii="Calibri" w:hAnsi="Calibri" w:cs="Arial"/>
          <w:b/>
          <w:bCs w:val="0"/>
          <w:lang w:val="en-GB"/>
        </w:rPr>
      </w:pPr>
      <w:r w:rsidRPr="00942C19">
        <w:rPr>
          <w:rFonts w:ascii="Calibri" w:hAnsi="Calibri" w:cs="Arial"/>
          <w:b/>
          <w:bCs w:val="0"/>
          <w:lang w:val="en-GB"/>
        </w:rPr>
        <w:t>B)</w:t>
      </w:r>
      <w:r w:rsidRPr="00942C19">
        <w:rPr>
          <w:rFonts w:ascii="Calibri" w:hAnsi="Calibri" w:cs="Arial"/>
          <w:b/>
          <w:bCs w:val="0"/>
          <w:lang w:val="en-GB"/>
        </w:rPr>
        <w:tab/>
        <w:t>Metered Supply for all other purposes:</w:t>
      </w:r>
    </w:p>
    <w:p w:rsidR="00C802EE" w:rsidRPr="00942C19" w:rsidRDefault="00C802EE" w:rsidP="00C802EE">
      <w:pPr>
        <w:pStyle w:val="BodyText"/>
        <w:tabs>
          <w:tab w:val="left" w:pos="360"/>
        </w:tabs>
        <w:spacing w:line="288" w:lineRule="auto"/>
        <w:ind w:left="720" w:right="-58"/>
        <w:rPr>
          <w:rFonts w:cs="Arial"/>
        </w:rPr>
      </w:pPr>
      <w:r w:rsidRPr="00942C19">
        <w:rPr>
          <w:rFonts w:cs="Arial"/>
        </w:rPr>
        <w:t xml:space="preserve">This schedule shall apply to all temporary supplies of light, fan and power load for the purpose other than mentioned in (A) above. </w:t>
      </w:r>
    </w:p>
    <w:p w:rsidR="00C802EE" w:rsidRPr="00942C19" w:rsidRDefault="00C802EE" w:rsidP="00C802EE">
      <w:pPr>
        <w:pStyle w:val="BodyTextIndent"/>
        <w:spacing w:before="100" w:beforeAutospacing="1" w:line="288" w:lineRule="auto"/>
        <w:ind w:right="-58"/>
        <w:rPr>
          <w:rFonts w:ascii="Calibri" w:hAnsi="Calibri" w:cs="Arial"/>
          <w:lang w:val="en-GB"/>
        </w:rPr>
      </w:pPr>
      <w:r w:rsidRPr="00942C19">
        <w:rPr>
          <w:rFonts w:ascii="Calibri" w:hAnsi="Calibri" w:cs="Arial"/>
          <w:lang w:val="en-GB"/>
        </w:rPr>
        <w:t>This schedule shall also apply for power taken for construction purposes not exceeding two years, including civil work by all consumers and Govt. Departments.</w:t>
      </w:r>
    </w:p>
    <w:p w:rsidR="00C802EE" w:rsidRPr="00942C19" w:rsidRDefault="00C802EE" w:rsidP="00C802EE"/>
    <w:p w:rsidR="00C802EE" w:rsidRPr="00942C19" w:rsidRDefault="00C802EE" w:rsidP="00C802EE">
      <w:pPr>
        <w:spacing w:before="100" w:beforeAutospacing="1"/>
        <w:ind w:left="360" w:right="29" w:hanging="360"/>
        <w:rPr>
          <w:b/>
        </w:rPr>
      </w:pPr>
      <w:r w:rsidRPr="00942C19">
        <w:rPr>
          <w:b/>
        </w:rPr>
        <w:t>2.</w:t>
      </w:r>
      <w:r w:rsidRPr="00942C19">
        <w:rPr>
          <w:b/>
        </w:rPr>
        <w:tab/>
        <w:t>CHARACTER AND POINT OF SUPPLY:</w:t>
      </w:r>
    </w:p>
    <w:p w:rsidR="00C802EE" w:rsidRPr="00942C19" w:rsidRDefault="00C802EE" w:rsidP="00C802EE">
      <w:pPr>
        <w:spacing w:line="240" w:lineRule="auto"/>
        <w:ind w:left="360" w:right="-58"/>
        <w:rPr>
          <w:szCs w:val="22"/>
        </w:rPr>
      </w:pPr>
      <w:r w:rsidRPr="00942C19">
        <w:rPr>
          <w:szCs w:val="22"/>
        </w:rPr>
        <w:t>As per the applicable provisions of Electricity Supply Code.</w:t>
      </w:r>
    </w:p>
    <w:p w:rsidR="00C802EE" w:rsidRPr="00942C19" w:rsidRDefault="00C802EE" w:rsidP="00C802EE">
      <w:pPr>
        <w:spacing w:line="240" w:lineRule="auto"/>
        <w:ind w:left="360" w:right="-58"/>
        <w:rPr>
          <w:rFonts w:cs="Arial"/>
          <w:szCs w:val="22"/>
        </w:rPr>
      </w:pPr>
    </w:p>
    <w:p w:rsidR="00C802EE" w:rsidRPr="00942C19" w:rsidRDefault="00C802EE" w:rsidP="00C802EE">
      <w:pPr>
        <w:spacing w:before="100" w:beforeAutospacing="1"/>
        <w:ind w:left="360" w:right="29" w:hanging="360"/>
        <w:rPr>
          <w:rFonts w:cs="Arial"/>
          <w:b/>
        </w:rPr>
      </w:pPr>
      <w:r w:rsidRPr="00942C19">
        <w:rPr>
          <w:b/>
        </w:rPr>
        <w:t xml:space="preserve"> </w:t>
      </w:r>
      <w:r w:rsidRPr="00942C19">
        <w:rPr>
          <w:rFonts w:cs="Arial"/>
          <w:b/>
        </w:rPr>
        <w:t>3.</w:t>
      </w:r>
      <w:r w:rsidRPr="00942C19">
        <w:rPr>
          <w:rFonts w:cs="Arial"/>
          <w:b/>
        </w:rPr>
        <w:tab/>
        <w:t>RATE (SEPARATELY FOR EACH POINT OF SUPPLY):</w:t>
      </w:r>
    </w:p>
    <w:p w:rsidR="00C802EE" w:rsidRPr="00942C19" w:rsidRDefault="00C802EE" w:rsidP="00C802EE">
      <w:pPr>
        <w:spacing w:before="100" w:beforeAutospacing="1" w:after="120"/>
        <w:ind w:left="360"/>
      </w:pPr>
      <w:r w:rsidRPr="00942C19">
        <w:t xml:space="preserve">Rate gives the fixed and energy charges at which the consumer shall be billed for his consumption during the billing period applicable to the category: </w:t>
      </w:r>
    </w:p>
    <w:p w:rsidR="00C802EE" w:rsidRPr="00942C19" w:rsidRDefault="00C802EE" w:rsidP="00C802EE">
      <w:pPr>
        <w:spacing w:before="100" w:beforeAutospacing="1" w:after="120"/>
        <w:ind w:left="360"/>
      </w:pPr>
      <w:r w:rsidRPr="00942C19">
        <w:rPr>
          <w:rFonts w:cs="Arial"/>
          <w:b/>
          <w:bCs/>
        </w:rPr>
        <w:t>A</w:t>
      </w:r>
      <w:r w:rsidRPr="00942C19">
        <w:rPr>
          <w:rFonts w:cs="Arial"/>
          <w:b/>
        </w:rPr>
        <w:t>.</w:t>
      </w:r>
      <w:r w:rsidRPr="00942C19">
        <w:rPr>
          <w:rFonts w:cs="Arial"/>
          <w:b/>
        </w:rPr>
        <w:tab/>
        <w:t>Un-metered:</w:t>
      </w:r>
    </w:p>
    <w:tbl>
      <w:tblPr>
        <w:tblW w:w="8325" w:type="dxa"/>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895"/>
        <w:gridCol w:w="2430"/>
      </w:tblGrid>
      <w:tr w:rsidR="00C802EE" w:rsidRPr="00942C19" w:rsidTr="00C652DB">
        <w:tc>
          <w:tcPr>
            <w:tcW w:w="5895" w:type="dxa"/>
          </w:tcPr>
          <w:p w:rsidR="00C802EE" w:rsidRPr="00942C19" w:rsidRDefault="00C802EE" w:rsidP="00C652DB">
            <w:pPr>
              <w:spacing w:before="100" w:beforeAutospacing="1"/>
              <w:ind w:left="342" w:right="72" w:hanging="342"/>
              <w:rPr>
                <w:rFonts w:cs="Arial"/>
              </w:rPr>
            </w:pPr>
            <w:r w:rsidRPr="00942C19">
              <w:rPr>
                <w:rFonts w:cs="Arial"/>
              </w:rPr>
              <w:t xml:space="preserve">(i) Fixed charges </w:t>
            </w:r>
            <w:r w:rsidRPr="00942C19">
              <w:rPr>
                <w:rFonts w:cs="Arial"/>
                <w:b/>
                <w:bCs/>
                <w:i/>
                <w:iCs/>
              </w:rPr>
              <w:t>for illumination / public address / ceremonies</w:t>
            </w:r>
            <w:r w:rsidRPr="00942C19">
              <w:rPr>
                <w:rFonts w:cs="Arial"/>
              </w:rPr>
              <w:t xml:space="preserve"> for load up to 20 kW per connection plus Rs. 100 per kW per day for each additional kW.</w:t>
            </w:r>
          </w:p>
        </w:tc>
        <w:tc>
          <w:tcPr>
            <w:tcW w:w="2430" w:type="dxa"/>
          </w:tcPr>
          <w:p w:rsidR="00C802EE" w:rsidRPr="00942C19" w:rsidRDefault="00C802EE" w:rsidP="00C652DB">
            <w:pPr>
              <w:spacing w:before="100" w:beforeAutospacing="1"/>
              <w:ind w:right="27"/>
              <w:rPr>
                <w:rFonts w:cs="Arial"/>
              </w:rPr>
            </w:pPr>
            <w:r w:rsidRPr="00942C19">
              <w:rPr>
                <w:rFonts w:cs="Arial"/>
              </w:rPr>
              <w:t>Rs. 2500 / day</w:t>
            </w:r>
          </w:p>
        </w:tc>
      </w:tr>
      <w:tr w:rsidR="00C802EE" w:rsidRPr="00942C19" w:rsidTr="00C652DB">
        <w:tc>
          <w:tcPr>
            <w:tcW w:w="5895" w:type="dxa"/>
          </w:tcPr>
          <w:p w:rsidR="00C802EE" w:rsidRPr="00942C19" w:rsidRDefault="00C802EE" w:rsidP="00C652DB">
            <w:pPr>
              <w:spacing w:before="100" w:beforeAutospacing="1"/>
              <w:ind w:left="342" w:right="162" w:hanging="342"/>
              <w:rPr>
                <w:rFonts w:cs="Arial"/>
              </w:rPr>
            </w:pPr>
            <w:r w:rsidRPr="00942C19">
              <w:rPr>
                <w:rFonts w:cs="Arial"/>
              </w:rPr>
              <w:t xml:space="preserve">(ii)  Fixed charges for </w:t>
            </w:r>
            <w:r w:rsidRPr="00942C19">
              <w:rPr>
                <w:rFonts w:cs="Arial"/>
                <w:b/>
                <w:bCs/>
                <w:i/>
                <w:iCs/>
              </w:rPr>
              <w:t>temporary shops</w:t>
            </w:r>
            <w:r w:rsidRPr="00942C19">
              <w:rPr>
                <w:rFonts w:cs="Arial"/>
              </w:rPr>
              <w:t xml:space="preserve"> set-up during festivals / melas or otherwise and having load up to 2KW</w:t>
            </w:r>
          </w:p>
        </w:tc>
        <w:tc>
          <w:tcPr>
            <w:tcW w:w="2430" w:type="dxa"/>
          </w:tcPr>
          <w:p w:rsidR="00C802EE" w:rsidRPr="00942C19" w:rsidRDefault="00C802EE" w:rsidP="00C652DB">
            <w:pPr>
              <w:spacing w:before="100" w:beforeAutospacing="1"/>
              <w:ind w:right="27"/>
              <w:rPr>
                <w:rFonts w:cs="Arial"/>
              </w:rPr>
            </w:pPr>
            <w:r w:rsidRPr="00942C19">
              <w:rPr>
                <w:rFonts w:cs="Arial"/>
              </w:rPr>
              <w:t xml:space="preserve">Rs. 170 / day / shop </w:t>
            </w:r>
          </w:p>
        </w:tc>
      </w:tr>
    </w:tbl>
    <w:p w:rsidR="00D31265" w:rsidRPr="00942C19" w:rsidRDefault="00D31265" w:rsidP="00C802EE">
      <w:pPr>
        <w:ind w:firstLine="360"/>
        <w:rPr>
          <w:rFonts w:cs="Arial"/>
          <w:b/>
          <w:bCs/>
          <w:szCs w:val="22"/>
        </w:rPr>
      </w:pPr>
    </w:p>
    <w:p w:rsidR="00D31265" w:rsidRPr="00942C19" w:rsidRDefault="00D31265" w:rsidP="00C802EE">
      <w:pPr>
        <w:ind w:firstLine="360"/>
        <w:rPr>
          <w:rFonts w:cs="Arial"/>
          <w:b/>
          <w:bCs/>
          <w:szCs w:val="22"/>
        </w:rPr>
      </w:pPr>
    </w:p>
    <w:p w:rsidR="00C802EE" w:rsidRPr="00942C19" w:rsidRDefault="00C802EE" w:rsidP="00C802EE">
      <w:pPr>
        <w:ind w:firstLine="360"/>
        <w:rPr>
          <w:rFonts w:cs="Arial"/>
          <w:b/>
          <w:bCs/>
          <w:szCs w:val="22"/>
        </w:rPr>
      </w:pPr>
      <w:r w:rsidRPr="00942C19">
        <w:rPr>
          <w:rFonts w:cs="Arial"/>
          <w:b/>
          <w:bCs/>
          <w:szCs w:val="22"/>
        </w:rPr>
        <w:t>B.</w:t>
      </w:r>
      <w:r w:rsidRPr="00942C19">
        <w:rPr>
          <w:rFonts w:cs="Arial"/>
          <w:b/>
          <w:bCs/>
          <w:szCs w:val="22"/>
        </w:rPr>
        <w:tab/>
        <w:t>Metered:</w:t>
      </w:r>
    </w:p>
    <w:p w:rsidR="00C802EE" w:rsidRPr="00942C19" w:rsidRDefault="00C802EE" w:rsidP="00C802EE">
      <w:pPr>
        <w:ind w:firstLine="360"/>
        <w:rPr>
          <w:szCs w:val="22"/>
        </w:rPr>
      </w:pPr>
    </w:p>
    <w:tbl>
      <w:tblPr>
        <w:tblW w:w="8183" w:type="dxa"/>
        <w:tblInd w:w="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001"/>
        <w:gridCol w:w="2182"/>
        <w:gridCol w:w="2000"/>
      </w:tblGrid>
      <w:tr w:rsidR="00C802EE" w:rsidRPr="00942C19" w:rsidTr="00C652DB">
        <w:trPr>
          <w:trHeight w:val="457"/>
        </w:trPr>
        <w:tc>
          <w:tcPr>
            <w:tcW w:w="4001" w:type="dxa"/>
            <w:shd w:val="pct12" w:color="auto" w:fill="auto"/>
          </w:tcPr>
          <w:p w:rsidR="00C802EE" w:rsidRPr="00942C19" w:rsidRDefault="00C802EE" w:rsidP="00C652DB">
            <w:pPr>
              <w:spacing w:before="100" w:beforeAutospacing="1"/>
              <w:ind w:right="162"/>
              <w:jc w:val="center"/>
              <w:rPr>
                <w:rFonts w:cs="Arial"/>
                <w:b/>
                <w:bCs/>
              </w:rPr>
            </w:pPr>
            <w:r w:rsidRPr="00942C19">
              <w:rPr>
                <w:rFonts w:cs="Arial"/>
                <w:b/>
                <w:bCs/>
                <w:szCs w:val="22"/>
              </w:rPr>
              <w:t>Description</w:t>
            </w:r>
          </w:p>
        </w:tc>
        <w:tc>
          <w:tcPr>
            <w:tcW w:w="2182" w:type="dxa"/>
            <w:shd w:val="pct12" w:color="auto" w:fill="auto"/>
            <w:vAlign w:val="center"/>
          </w:tcPr>
          <w:p w:rsidR="00C802EE" w:rsidRPr="00942C19" w:rsidRDefault="00C802EE" w:rsidP="00C652DB">
            <w:pPr>
              <w:spacing w:before="100" w:beforeAutospacing="1"/>
              <w:ind w:right="162"/>
              <w:jc w:val="center"/>
              <w:rPr>
                <w:rFonts w:cs="Arial"/>
                <w:b/>
                <w:bCs/>
              </w:rPr>
            </w:pPr>
            <w:r w:rsidRPr="00942C19">
              <w:rPr>
                <w:rFonts w:cs="Arial"/>
                <w:b/>
                <w:bCs/>
                <w:szCs w:val="22"/>
              </w:rPr>
              <w:t>Minimum Charge</w:t>
            </w:r>
          </w:p>
        </w:tc>
        <w:tc>
          <w:tcPr>
            <w:tcW w:w="2000" w:type="dxa"/>
            <w:shd w:val="pct12" w:color="auto" w:fill="auto"/>
          </w:tcPr>
          <w:p w:rsidR="00C802EE" w:rsidRPr="00942C19" w:rsidRDefault="00C802EE" w:rsidP="00C652DB">
            <w:pPr>
              <w:spacing w:before="100" w:beforeAutospacing="1"/>
              <w:ind w:right="162"/>
              <w:jc w:val="center"/>
              <w:rPr>
                <w:rFonts w:cs="Arial"/>
                <w:b/>
                <w:bCs/>
              </w:rPr>
            </w:pPr>
            <w:r w:rsidRPr="00942C19">
              <w:rPr>
                <w:rFonts w:cs="Arial"/>
                <w:b/>
                <w:bCs/>
                <w:szCs w:val="22"/>
              </w:rPr>
              <w:t>Energy Charge</w:t>
            </w:r>
          </w:p>
        </w:tc>
      </w:tr>
      <w:tr w:rsidR="00C802EE" w:rsidRPr="00942C19" w:rsidTr="00C652DB">
        <w:trPr>
          <w:trHeight w:val="457"/>
        </w:trPr>
        <w:tc>
          <w:tcPr>
            <w:tcW w:w="4001" w:type="dxa"/>
          </w:tcPr>
          <w:p w:rsidR="00C802EE" w:rsidRPr="00942C19" w:rsidRDefault="00C802EE" w:rsidP="00C652DB">
            <w:pPr>
              <w:spacing w:before="100" w:beforeAutospacing="1"/>
              <w:ind w:right="162"/>
              <w:rPr>
                <w:rFonts w:cs="Arial"/>
                <w:bCs/>
              </w:rPr>
            </w:pPr>
            <w:r w:rsidRPr="00942C19">
              <w:rPr>
                <w:rFonts w:cs="Arial"/>
                <w:bCs/>
                <w:szCs w:val="22"/>
              </w:rPr>
              <w:t>Individual Residential construction</w:t>
            </w:r>
          </w:p>
        </w:tc>
        <w:tc>
          <w:tcPr>
            <w:tcW w:w="2182" w:type="dxa"/>
            <w:vMerge w:val="restart"/>
            <w:vAlign w:val="center"/>
          </w:tcPr>
          <w:p w:rsidR="00C802EE" w:rsidRPr="00942C19" w:rsidRDefault="00C802EE" w:rsidP="00C652DB">
            <w:pPr>
              <w:spacing w:before="100" w:beforeAutospacing="1"/>
              <w:ind w:right="162"/>
              <w:jc w:val="center"/>
              <w:rPr>
                <w:rFonts w:cs="Arial"/>
                <w:bCs/>
              </w:rPr>
            </w:pPr>
            <w:r w:rsidRPr="00942C19">
              <w:rPr>
                <w:rFonts w:cs="Arial"/>
                <w:bCs/>
                <w:szCs w:val="22"/>
              </w:rPr>
              <w:t>Rs. 115/kW/week</w:t>
            </w:r>
          </w:p>
        </w:tc>
        <w:tc>
          <w:tcPr>
            <w:tcW w:w="2000" w:type="dxa"/>
          </w:tcPr>
          <w:p w:rsidR="00C802EE" w:rsidRPr="00942C19" w:rsidRDefault="00C802EE" w:rsidP="00C652DB">
            <w:pPr>
              <w:spacing w:before="100" w:beforeAutospacing="1"/>
              <w:ind w:right="162"/>
              <w:rPr>
                <w:rFonts w:cs="Arial"/>
                <w:bCs/>
              </w:rPr>
            </w:pPr>
            <w:r w:rsidRPr="00942C19">
              <w:rPr>
                <w:rFonts w:cs="Arial"/>
                <w:bCs/>
                <w:szCs w:val="22"/>
              </w:rPr>
              <w:t>Rs. 6.00 / kWh</w:t>
            </w:r>
          </w:p>
        </w:tc>
      </w:tr>
      <w:tr w:rsidR="00C802EE" w:rsidRPr="00942C19" w:rsidTr="00C652DB">
        <w:trPr>
          <w:trHeight w:val="480"/>
        </w:trPr>
        <w:tc>
          <w:tcPr>
            <w:tcW w:w="4001" w:type="dxa"/>
          </w:tcPr>
          <w:p w:rsidR="00C802EE" w:rsidRPr="00942C19" w:rsidRDefault="00C802EE" w:rsidP="00C652DB">
            <w:pPr>
              <w:spacing w:before="100" w:beforeAutospacing="1"/>
              <w:ind w:right="162"/>
              <w:rPr>
                <w:rFonts w:cs="Arial"/>
                <w:bCs/>
              </w:rPr>
            </w:pPr>
            <w:r w:rsidRPr="00942C19">
              <w:rPr>
                <w:rFonts w:cs="Arial"/>
                <w:bCs/>
                <w:szCs w:val="22"/>
              </w:rPr>
              <w:t>Others</w:t>
            </w:r>
          </w:p>
        </w:tc>
        <w:tc>
          <w:tcPr>
            <w:tcW w:w="2182" w:type="dxa"/>
            <w:vMerge/>
            <w:vAlign w:val="center"/>
          </w:tcPr>
          <w:p w:rsidR="00C802EE" w:rsidRPr="00942C19" w:rsidRDefault="00C802EE" w:rsidP="00C652DB">
            <w:pPr>
              <w:spacing w:before="100" w:beforeAutospacing="1"/>
              <w:ind w:right="162"/>
              <w:jc w:val="center"/>
              <w:rPr>
                <w:rFonts w:cs="Arial"/>
                <w:bCs/>
              </w:rPr>
            </w:pPr>
          </w:p>
        </w:tc>
        <w:tc>
          <w:tcPr>
            <w:tcW w:w="2000" w:type="dxa"/>
          </w:tcPr>
          <w:p w:rsidR="00C802EE" w:rsidRPr="00942C19" w:rsidRDefault="00C802EE" w:rsidP="00C652DB">
            <w:pPr>
              <w:spacing w:before="100" w:beforeAutospacing="1"/>
              <w:ind w:right="162"/>
              <w:rPr>
                <w:rFonts w:cs="Arial"/>
                <w:bCs/>
              </w:rPr>
            </w:pPr>
            <w:r w:rsidRPr="00942C19">
              <w:rPr>
                <w:rFonts w:cs="Arial"/>
                <w:bCs/>
                <w:szCs w:val="22"/>
              </w:rPr>
              <w:t>Rs. 6.50 / kWh</w:t>
            </w:r>
          </w:p>
        </w:tc>
      </w:tr>
    </w:tbl>
    <w:p w:rsidR="00C802EE" w:rsidRPr="00942C19" w:rsidRDefault="00C802EE" w:rsidP="00C802EE">
      <w:pPr>
        <w:spacing w:before="100" w:beforeAutospacing="1"/>
        <w:ind w:right="-48" w:firstLine="360"/>
        <w:rPr>
          <w:rFonts w:cs="Arial"/>
          <w:b/>
          <w:bCs/>
          <w:szCs w:val="22"/>
        </w:rPr>
      </w:pPr>
      <w:r w:rsidRPr="00942C19">
        <w:rPr>
          <w:rFonts w:cs="Arial"/>
          <w:b/>
          <w:bCs/>
          <w:szCs w:val="22"/>
        </w:rPr>
        <w:t>Note:</w:t>
      </w:r>
    </w:p>
    <w:p w:rsidR="00C802EE" w:rsidRPr="00942C19" w:rsidRDefault="00C802EE" w:rsidP="00C802EE">
      <w:pPr>
        <w:pStyle w:val="BodyText"/>
        <w:spacing w:line="288" w:lineRule="auto"/>
        <w:ind w:right="11"/>
        <w:jc w:val="center"/>
        <w:rPr>
          <w:rFonts w:cs="Arial"/>
          <w:b/>
          <w:sz w:val="22"/>
          <w:szCs w:val="22"/>
          <w:u w:val="single"/>
        </w:rPr>
      </w:pPr>
      <w:r w:rsidRPr="00942C19">
        <w:rPr>
          <w:szCs w:val="22"/>
        </w:rPr>
        <w:t>Charge as specified at A, shall be paid by the consumer in advance.</w:t>
      </w:r>
    </w:p>
    <w:p w:rsidR="00C802EE" w:rsidRPr="00942C19" w:rsidRDefault="00C802EE" w:rsidP="00C802EE">
      <w:pPr>
        <w:pStyle w:val="BodyText"/>
        <w:spacing w:line="288" w:lineRule="auto"/>
        <w:ind w:right="11"/>
        <w:jc w:val="center"/>
        <w:rPr>
          <w:rFonts w:cs="Arial"/>
          <w:b/>
          <w:sz w:val="22"/>
          <w:szCs w:val="22"/>
          <w:u w:val="single"/>
        </w:rPr>
      </w:pPr>
      <w:r w:rsidRPr="00942C19">
        <w:rPr>
          <w:rFonts w:cs="Arial"/>
          <w:b/>
          <w:sz w:val="22"/>
          <w:szCs w:val="22"/>
          <w:u w:val="single"/>
        </w:rPr>
        <w:br w:type="page"/>
      </w:r>
      <w:r w:rsidRPr="00942C19">
        <w:rPr>
          <w:rFonts w:cs="Arial"/>
          <w:b/>
          <w:szCs w:val="22"/>
          <w:u w:val="single"/>
        </w:rPr>
        <w:t>RATE SCHEDULE LMV– 10:</w:t>
      </w:r>
    </w:p>
    <w:p w:rsidR="00C802EE" w:rsidRPr="00942C19" w:rsidRDefault="00C802EE" w:rsidP="00C802EE">
      <w:pPr>
        <w:spacing w:before="240"/>
        <w:ind w:right="29"/>
        <w:jc w:val="center"/>
        <w:rPr>
          <w:rFonts w:cs="Arial"/>
          <w:b/>
          <w:szCs w:val="22"/>
        </w:rPr>
      </w:pPr>
      <w:r w:rsidRPr="00942C19">
        <w:rPr>
          <w:rFonts w:cs="Arial"/>
          <w:b/>
          <w:szCs w:val="22"/>
        </w:rPr>
        <w:t>DEPARTMENTAL EMPLOYEES AND PENSIONERS:</w:t>
      </w:r>
    </w:p>
    <w:p w:rsidR="00C802EE" w:rsidRPr="00942C19" w:rsidRDefault="00C802EE" w:rsidP="00A818DC">
      <w:pPr>
        <w:numPr>
          <w:ilvl w:val="0"/>
          <w:numId w:val="72"/>
        </w:numPr>
        <w:tabs>
          <w:tab w:val="left" w:pos="0"/>
        </w:tabs>
        <w:spacing w:before="100" w:beforeAutospacing="1" w:line="288" w:lineRule="auto"/>
        <w:ind w:right="1440"/>
        <w:rPr>
          <w:rFonts w:cs="Arial"/>
          <w:b/>
        </w:rPr>
      </w:pPr>
      <w:r w:rsidRPr="00942C19">
        <w:rPr>
          <w:rFonts w:cs="Arial"/>
          <w:b/>
          <w:szCs w:val="22"/>
        </w:rPr>
        <w:t>APP</w:t>
      </w:r>
      <w:r w:rsidRPr="00942C19">
        <w:rPr>
          <w:rFonts w:cs="Arial"/>
          <w:b/>
        </w:rPr>
        <w:t>LICABILITY:</w:t>
      </w:r>
    </w:p>
    <w:p w:rsidR="00C802EE" w:rsidRPr="00942C19" w:rsidRDefault="00C802EE" w:rsidP="00C802EE">
      <w:pPr>
        <w:spacing w:before="100"/>
        <w:ind w:left="360" w:right="29"/>
      </w:pPr>
      <w:r w:rsidRPr="00942C19">
        <w:t xml:space="preserve">This schedule shall apply only to such employees (including the cases of </w:t>
      </w:r>
      <w:r w:rsidRPr="00942C19">
        <w:rPr>
          <w:rFonts w:cs="Calibri"/>
        </w:rPr>
        <w:t>retired / voluntary retired or deemed retired</w:t>
      </w:r>
      <w:r w:rsidRPr="00942C19">
        <w:t xml:space="preserve">) of </w:t>
      </w:r>
      <w:r w:rsidR="009A3804" w:rsidRPr="00942C19">
        <w:t>Licensee</w:t>
      </w:r>
      <w:r w:rsidRPr="00942C19">
        <w:t xml:space="preserve">s / successor entities of erstwhile Uttar Pradesh State Electricity Board (UPSEB), who own electricity connection in their own name and opt for the same for their own use for light, fan and power for domestic appliances, where the energy is being fed directly from </w:t>
      </w:r>
      <w:r w:rsidR="009A3804" w:rsidRPr="00942C19">
        <w:t>Licensee</w:t>
      </w:r>
      <w:r w:rsidRPr="00942C19">
        <w:t xml:space="preserve"> mains. The Schedule shall also apply to spouse of </w:t>
      </w:r>
      <w:r w:rsidRPr="00942C19">
        <w:rPr>
          <w:rFonts w:cs="Calibri"/>
        </w:rPr>
        <w:t xml:space="preserve">employees served under </w:t>
      </w:r>
      <w:r w:rsidR="009A3804" w:rsidRPr="00942C19">
        <w:rPr>
          <w:rFonts w:cs="Calibri"/>
        </w:rPr>
        <w:t>Licensee</w:t>
      </w:r>
      <w:r w:rsidRPr="00942C19">
        <w:rPr>
          <w:rFonts w:cs="Calibri"/>
        </w:rPr>
        <w:t>s / successor entities of erstwhile UPSEB.</w:t>
      </w:r>
    </w:p>
    <w:p w:rsidR="00C802EE" w:rsidRPr="00942C19" w:rsidRDefault="00C802EE" w:rsidP="00A818DC">
      <w:pPr>
        <w:numPr>
          <w:ilvl w:val="0"/>
          <w:numId w:val="72"/>
        </w:numPr>
        <w:tabs>
          <w:tab w:val="left" w:pos="0"/>
        </w:tabs>
        <w:spacing w:before="100" w:beforeAutospacing="1" w:line="288" w:lineRule="auto"/>
        <w:ind w:left="0" w:right="1440" w:firstLine="0"/>
        <w:rPr>
          <w:rFonts w:cs="Arial"/>
          <w:b/>
        </w:rPr>
      </w:pPr>
      <w:r w:rsidRPr="00942C19">
        <w:rPr>
          <w:rFonts w:cs="Arial"/>
          <w:b/>
        </w:rPr>
        <w:t>RATE:</w:t>
      </w:r>
    </w:p>
    <w:p w:rsidR="00C802EE" w:rsidRPr="00942C19" w:rsidRDefault="00C802EE" w:rsidP="00C802EE">
      <w:pPr>
        <w:spacing w:after="120"/>
        <w:ind w:left="360"/>
      </w:pPr>
      <w:r w:rsidRPr="00942C19">
        <w:rPr>
          <w:b/>
          <w:bCs/>
        </w:rPr>
        <w:t xml:space="preserve">Un-metered: </w:t>
      </w:r>
      <w:r w:rsidRPr="00942C19">
        <w:t>Rate, gives the fixed and energy charges at which the consumer shall be billed for his consumption during the billing period applicable to the category:</w:t>
      </w:r>
    </w:p>
    <w:tbl>
      <w:tblPr>
        <w:tblW w:w="869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4770"/>
        <w:gridCol w:w="1890"/>
        <w:gridCol w:w="2036"/>
      </w:tblGrid>
      <w:tr w:rsidR="00C802EE" w:rsidRPr="00942C19" w:rsidTr="00C652DB">
        <w:trPr>
          <w:trHeight w:val="111"/>
        </w:trPr>
        <w:tc>
          <w:tcPr>
            <w:tcW w:w="4770" w:type="dxa"/>
            <w:shd w:val="pct12" w:color="auto" w:fill="auto"/>
          </w:tcPr>
          <w:p w:rsidR="00C802EE" w:rsidRPr="00942C19" w:rsidRDefault="00C802EE" w:rsidP="00C652DB">
            <w:pPr>
              <w:ind w:right="-108"/>
              <w:jc w:val="center"/>
              <w:rPr>
                <w:rFonts w:cs="Arial"/>
                <w:b/>
              </w:rPr>
            </w:pPr>
            <w:r w:rsidRPr="00942C19">
              <w:rPr>
                <w:rFonts w:cs="Arial"/>
                <w:b/>
              </w:rPr>
              <w:t>Category</w:t>
            </w:r>
          </w:p>
        </w:tc>
        <w:tc>
          <w:tcPr>
            <w:tcW w:w="1890" w:type="dxa"/>
            <w:shd w:val="pct12" w:color="auto" w:fill="auto"/>
          </w:tcPr>
          <w:p w:rsidR="00C802EE" w:rsidRPr="00942C19" w:rsidRDefault="00C802EE" w:rsidP="00C652DB">
            <w:pPr>
              <w:ind w:right="-108"/>
              <w:jc w:val="center"/>
              <w:rPr>
                <w:rFonts w:cs="Arial"/>
                <w:b/>
              </w:rPr>
            </w:pPr>
            <w:r w:rsidRPr="00942C19">
              <w:rPr>
                <w:rFonts w:cs="Arial"/>
                <w:b/>
              </w:rPr>
              <w:t>Fixed charge / month</w:t>
            </w:r>
          </w:p>
        </w:tc>
        <w:tc>
          <w:tcPr>
            <w:tcW w:w="2036" w:type="dxa"/>
            <w:shd w:val="pct12" w:color="auto" w:fill="auto"/>
          </w:tcPr>
          <w:p w:rsidR="00C802EE" w:rsidRPr="00942C19" w:rsidRDefault="00C802EE" w:rsidP="00C652DB">
            <w:pPr>
              <w:ind w:right="-108"/>
              <w:jc w:val="center"/>
              <w:rPr>
                <w:rFonts w:cs="Arial"/>
                <w:b/>
              </w:rPr>
            </w:pPr>
            <w:r w:rsidRPr="00942C19">
              <w:rPr>
                <w:rFonts w:cs="Arial"/>
                <w:b/>
              </w:rPr>
              <w:t>Fixed Monthly Energy Charge</w:t>
            </w:r>
          </w:p>
        </w:tc>
      </w:tr>
      <w:tr w:rsidR="00C802EE" w:rsidRPr="00942C19" w:rsidTr="00C652DB">
        <w:trPr>
          <w:trHeight w:val="192"/>
        </w:trPr>
        <w:tc>
          <w:tcPr>
            <w:tcW w:w="4770" w:type="dxa"/>
            <w:tcBorders>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 xml:space="preserve">Class IV employees / Operating staff </w:t>
            </w:r>
          </w:p>
        </w:tc>
        <w:tc>
          <w:tcPr>
            <w:tcW w:w="1890" w:type="dxa"/>
            <w:tcBorders>
              <w:bottom w:val="single" w:sz="4" w:space="0" w:color="auto"/>
            </w:tcBorders>
          </w:tcPr>
          <w:p w:rsidR="00A44CA7" w:rsidRPr="00942C19" w:rsidRDefault="00C802EE">
            <w:pPr>
              <w:pStyle w:val="BodyText"/>
              <w:spacing w:before="80" w:after="80"/>
              <w:ind w:right="-108"/>
              <w:jc w:val="center"/>
              <w:rPr>
                <w:rFonts w:cs="Arial"/>
              </w:rPr>
            </w:pPr>
            <w:r w:rsidRPr="00942C19">
              <w:rPr>
                <w:rFonts w:cs="Arial"/>
                <w:lang w:val="en-US"/>
              </w:rPr>
              <w:t>Rs. 90.00</w:t>
            </w:r>
          </w:p>
        </w:tc>
        <w:tc>
          <w:tcPr>
            <w:tcW w:w="2036" w:type="dxa"/>
            <w:tcBorders>
              <w:bottom w:val="single" w:sz="4" w:space="0" w:color="auto"/>
            </w:tcBorders>
          </w:tcPr>
          <w:p w:rsidR="00A44CA7" w:rsidRPr="00942C19" w:rsidRDefault="00C802EE">
            <w:pPr>
              <w:pStyle w:val="BodyText"/>
              <w:ind w:right="-108"/>
              <w:jc w:val="center"/>
              <w:rPr>
                <w:rFonts w:cs="Arial"/>
              </w:rPr>
            </w:pPr>
            <w:r w:rsidRPr="00942C19">
              <w:rPr>
                <w:rFonts w:cs="Arial"/>
                <w:lang w:val="en-US"/>
              </w:rPr>
              <w:t>Rs. 90.00</w:t>
            </w:r>
          </w:p>
        </w:tc>
      </w:tr>
      <w:tr w:rsidR="00C802EE" w:rsidRPr="00942C19" w:rsidTr="00C652DB">
        <w:trPr>
          <w:trHeight w:val="206"/>
        </w:trPr>
        <w:tc>
          <w:tcPr>
            <w:tcW w:w="4770" w:type="dxa"/>
            <w:tcBorders>
              <w:top w:val="single" w:sz="4" w:space="0" w:color="auto"/>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 xml:space="preserve">Class III employees </w:t>
            </w:r>
          </w:p>
        </w:tc>
        <w:tc>
          <w:tcPr>
            <w:tcW w:w="1890" w:type="dxa"/>
            <w:tcBorders>
              <w:top w:val="single" w:sz="4" w:space="0" w:color="auto"/>
              <w:bottom w:val="single" w:sz="4" w:space="0" w:color="auto"/>
            </w:tcBorders>
          </w:tcPr>
          <w:p w:rsidR="00A44CA7" w:rsidRPr="00942C19" w:rsidRDefault="00C802EE">
            <w:pPr>
              <w:pStyle w:val="BodyText"/>
              <w:spacing w:before="80" w:after="80"/>
              <w:ind w:right="-108"/>
              <w:jc w:val="center"/>
              <w:rPr>
                <w:rFonts w:cs="Arial"/>
              </w:rPr>
            </w:pPr>
            <w:r w:rsidRPr="00942C19">
              <w:rPr>
                <w:rFonts w:cs="Arial"/>
                <w:lang w:val="en-US"/>
              </w:rPr>
              <w:t>Rs. 90.00</w:t>
            </w:r>
          </w:p>
        </w:tc>
        <w:tc>
          <w:tcPr>
            <w:tcW w:w="2036" w:type="dxa"/>
            <w:tcBorders>
              <w:top w:val="single" w:sz="4" w:space="0" w:color="auto"/>
              <w:bottom w:val="single" w:sz="4" w:space="0" w:color="auto"/>
            </w:tcBorders>
          </w:tcPr>
          <w:p w:rsidR="00A44CA7" w:rsidRPr="00942C19" w:rsidRDefault="00C802EE">
            <w:pPr>
              <w:pStyle w:val="BodyText"/>
              <w:ind w:right="-108"/>
              <w:jc w:val="center"/>
              <w:rPr>
                <w:rFonts w:cs="Arial"/>
              </w:rPr>
            </w:pPr>
            <w:r w:rsidRPr="00942C19">
              <w:rPr>
                <w:rFonts w:cs="Arial"/>
                <w:lang w:val="en-US"/>
              </w:rPr>
              <w:t>Rs. 120.00</w:t>
            </w:r>
          </w:p>
        </w:tc>
      </w:tr>
      <w:tr w:rsidR="00C802EE" w:rsidRPr="00942C19" w:rsidTr="00C652DB">
        <w:trPr>
          <w:trHeight w:val="195"/>
        </w:trPr>
        <w:tc>
          <w:tcPr>
            <w:tcW w:w="4770" w:type="dxa"/>
            <w:tcBorders>
              <w:top w:val="single" w:sz="4" w:space="0" w:color="auto"/>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Junior Engineers &amp; equivalent posts</w:t>
            </w:r>
          </w:p>
        </w:tc>
        <w:tc>
          <w:tcPr>
            <w:tcW w:w="1890" w:type="dxa"/>
            <w:tcBorders>
              <w:top w:val="single" w:sz="4" w:space="0" w:color="auto"/>
              <w:bottom w:val="single" w:sz="4" w:space="0" w:color="auto"/>
            </w:tcBorders>
          </w:tcPr>
          <w:p w:rsidR="00A44CA7" w:rsidRPr="00942C19" w:rsidRDefault="00C802EE">
            <w:pPr>
              <w:pStyle w:val="BodyText"/>
              <w:spacing w:before="80" w:after="80"/>
              <w:ind w:right="-108"/>
              <w:jc w:val="center"/>
              <w:rPr>
                <w:rFonts w:cs="Arial"/>
              </w:rPr>
            </w:pPr>
            <w:r w:rsidRPr="00942C19">
              <w:rPr>
                <w:rFonts w:cs="Arial"/>
                <w:lang w:val="en-US"/>
              </w:rPr>
              <w:t>Rs. 175.00</w:t>
            </w:r>
          </w:p>
        </w:tc>
        <w:tc>
          <w:tcPr>
            <w:tcW w:w="2036" w:type="dxa"/>
            <w:tcBorders>
              <w:top w:val="single" w:sz="4" w:space="0" w:color="auto"/>
              <w:bottom w:val="single" w:sz="4" w:space="0" w:color="auto"/>
            </w:tcBorders>
          </w:tcPr>
          <w:p w:rsidR="00A44CA7" w:rsidRPr="00942C19" w:rsidRDefault="00C802EE">
            <w:pPr>
              <w:pStyle w:val="BodyText"/>
              <w:ind w:right="-108"/>
              <w:jc w:val="center"/>
              <w:rPr>
                <w:rFonts w:cs="Arial"/>
              </w:rPr>
            </w:pPr>
            <w:r w:rsidRPr="00942C19">
              <w:rPr>
                <w:rFonts w:cs="Arial"/>
                <w:lang w:val="en-US"/>
              </w:rPr>
              <w:t>Rs. 250.00</w:t>
            </w:r>
          </w:p>
        </w:tc>
      </w:tr>
      <w:tr w:rsidR="00C802EE" w:rsidRPr="00942C19" w:rsidTr="00C652DB">
        <w:trPr>
          <w:trHeight w:val="197"/>
        </w:trPr>
        <w:tc>
          <w:tcPr>
            <w:tcW w:w="4770" w:type="dxa"/>
            <w:tcBorders>
              <w:top w:val="single" w:sz="4" w:space="0" w:color="auto"/>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Assistant Engineers &amp; equivalent posts</w:t>
            </w:r>
          </w:p>
        </w:tc>
        <w:tc>
          <w:tcPr>
            <w:tcW w:w="1890" w:type="dxa"/>
            <w:tcBorders>
              <w:top w:val="single" w:sz="4" w:space="0" w:color="auto"/>
              <w:bottom w:val="single" w:sz="4" w:space="0" w:color="auto"/>
            </w:tcBorders>
          </w:tcPr>
          <w:p w:rsidR="00A44CA7" w:rsidRPr="00942C19" w:rsidRDefault="00C802EE">
            <w:pPr>
              <w:pStyle w:val="BodyText"/>
              <w:spacing w:before="80" w:after="80"/>
              <w:ind w:right="-108"/>
              <w:jc w:val="center"/>
              <w:rPr>
                <w:rFonts w:cs="Arial"/>
              </w:rPr>
            </w:pPr>
            <w:r w:rsidRPr="00942C19">
              <w:rPr>
                <w:rFonts w:cs="Arial"/>
                <w:lang w:val="en-US"/>
              </w:rPr>
              <w:t>Rs. 185.00</w:t>
            </w:r>
          </w:p>
        </w:tc>
        <w:tc>
          <w:tcPr>
            <w:tcW w:w="2036" w:type="dxa"/>
            <w:tcBorders>
              <w:top w:val="single" w:sz="4" w:space="0" w:color="auto"/>
              <w:bottom w:val="single" w:sz="4" w:space="0" w:color="auto"/>
            </w:tcBorders>
          </w:tcPr>
          <w:p w:rsidR="00A44CA7" w:rsidRPr="00942C19" w:rsidRDefault="00C802EE">
            <w:pPr>
              <w:pStyle w:val="BodyText"/>
              <w:ind w:right="-108"/>
              <w:jc w:val="center"/>
              <w:rPr>
                <w:rFonts w:cs="Arial"/>
              </w:rPr>
            </w:pPr>
            <w:r w:rsidRPr="00942C19">
              <w:rPr>
                <w:rFonts w:cs="Arial"/>
                <w:lang w:val="en-US"/>
              </w:rPr>
              <w:t>Rs. 370.00</w:t>
            </w:r>
          </w:p>
        </w:tc>
      </w:tr>
      <w:tr w:rsidR="00C802EE" w:rsidRPr="00942C19" w:rsidTr="00C652DB">
        <w:trPr>
          <w:trHeight w:val="269"/>
        </w:trPr>
        <w:tc>
          <w:tcPr>
            <w:tcW w:w="4770" w:type="dxa"/>
            <w:tcBorders>
              <w:top w:val="single" w:sz="4" w:space="0" w:color="auto"/>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 xml:space="preserve">Executive Engineers &amp; equivalent posts </w:t>
            </w:r>
          </w:p>
        </w:tc>
        <w:tc>
          <w:tcPr>
            <w:tcW w:w="1890" w:type="dxa"/>
            <w:tcBorders>
              <w:top w:val="single" w:sz="4" w:space="0" w:color="auto"/>
              <w:bottom w:val="single" w:sz="4" w:space="0" w:color="auto"/>
            </w:tcBorders>
          </w:tcPr>
          <w:p w:rsidR="00A44CA7" w:rsidRPr="00942C19" w:rsidRDefault="00C802EE">
            <w:pPr>
              <w:pStyle w:val="BodyText"/>
              <w:spacing w:before="80" w:after="80"/>
              <w:ind w:right="-108"/>
              <w:jc w:val="center"/>
              <w:rPr>
                <w:rFonts w:cs="Arial"/>
              </w:rPr>
            </w:pPr>
            <w:r w:rsidRPr="00942C19">
              <w:rPr>
                <w:rFonts w:cs="Arial"/>
                <w:lang w:val="en-US"/>
              </w:rPr>
              <w:t>Rs. 185.00</w:t>
            </w:r>
          </w:p>
        </w:tc>
        <w:tc>
          <w:tcPr>
            <w:tcW w:w="2036" w:type="dxa"/>
            <w:tcBorders>
              <w:top w:val="single" w:sz="4" w:space="0" w:color="auto"/>
              <w:bottom w:val="single" w:sz="4" w:space="0" w:color="auto"/>
            </w:tcBorders>
          </w:tcPr>
          <w:p w:rsidR="00A44CA7" w:rsidRPr="00942C19" w:rsidRDefault="00C802EE">
            <w:pPr>
              <w:pStyle w:val="BodyText"/>
              <w:ind w:right="-108"/>
              <w:jc w:val="center"/>
              <w:rPr>
                <w:rFonts w:cs="Arial"/>
              </w:rPr>
            </w:pPr>
            <w:r w:rsidRPr="00942C19">
              <w:rPr>
                <w:rFonts w:cs="Arial"/>
                <w:lang w:val="en-US"/>
              </w:rPr>
              <w:t>Rs. 400.00</w:t>
            </w:r>
          </w:p>
        </w:tc>
      </w:tr>
      <w:tr w:rsidR="00C802EE" w:rsidRPr="00942C19" w:rsidTr="00D31265">
        <w:trPr>
          <w:trHeight w:val="811"/>
        </w:trPr>
        <w:tc>
          <w:tcPr>
            <w:tcW w:w="4770" w:type="dxa"/>
            <w:tcBorders>
              <w:top w:val="single" w:sz="4" w:space="0" w:color="auto"/>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 xml:space="preserve">Superintending Engineers / Deputy General Managers &amp; equivalent posts </w:t>
            </w:r>
          </w:p>
        </w:tc>
        <w:tc>
          <w:tcPr>
            <w:tcW w:w="1890" w:type="dxa"/>
            <w:tcBorders>
              <w:top w:val="single" w:sz="4" w:space="0" w:color="auto"/>
              <w:bottom w:val="single" w:sz="4" w:space="0" w:color="auto"/>
            </w:tcBorders>
          </w:tcPr>
          <w:p w:rsidR="00A44CA7" w:rsidRPr="00942C19" w:rsidRDefault="00C802EE">
            <w:pPr>
              <w:pStyle w:val="BodyText"/>
              <w:spacing w:before="80" w:after="80"/>
              <w:ind w:right="-108"/>
              <w:jc w:val="center"/>
              <w:rPr>
                <w:rFonts w:cs="Arial"/>
              </w:rPr>
            </w:pPr>
            <w:r w:rsidRPr="00942C19">
              <w:rPr>
                <w:rFonts w:cs="Arial"/>
                <w:lang w:val="en-US"/>
              </w:rPr>
              <w:t>Rs. 425.00</w:t>
            </w:r>
          </w:p>
        </w:tc>
        <w:tc>
          <w:tcPr>
            <w:tcW w:w="2036" w:type="dxa"/>
            <w:tcBorders>
              <w:top w:val="single" w:sz="4" w:space="0" w:color="auto"/>
              <w:bottom w:val="single" w:sz="4" w:space="0" w:color="auto"/>
            </w:tcBorders>
          </w:tcPr>
          <w:p w:rsidR="00A44CA7" w:rsidRPr="00942C19" w:rsidRDefault="00C802EE">
            <w:pPr>
              <w:pStyle w:val="BodyText"/>
              <w:ind w:right="-108"/>
              <w:jc w:val="center"/>
              <w:rPr>
                <w:rFonts w:cs="Arial"/>
              </w:rPr>
            </w:pPr>
            <w:r w:rsidRPr="00942C19">
              <w:rPr>
                <w:rFonts w:cs="Arial"/>
                <w:lang w:val="en-US"/>
              </w:rPr>
              <w:t>Rs. 490.00</w:t>
            </w:r>
          </w:p>
        </w:tc>
      </w:tr>
      <w:tr w:rsidR="00C802EE" w:rsidRPr="00942C19" w:rsidTr="00D31265">
        <w:trPr>
          <w:trHeight w:val="583"/>
        </w:trPr>
        <w:tc>
          <w:tcPr>
            <w:tcW w:w="4770" w:type="dxa"/>
            <w:tcBorders>
              <w:top w:val="single" w:sz="4" w:space="0" w:color="auto"/>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Chief Engineers (I &amp; II) / General Managers and above</w:t>
            </w:r>
          </w:p>
        </w:tc>
        <w:tc>
          <w:tcPr>
            <w:tcW w:w="1890" w:type="dxa"/>
            <w:tcBorders>
              <w:top w:val="single" w:sz="4" w:space="0" w:color="auto"/>
              <w:bottom w:val="single" w:sz="4" w:space="0" w:color="auto"/>
            </w:tcBorders>
          </w:tcPr>
          <w:p w:rsidR="00A44CA7" w:rsidRPr="00942C19" w:rsidRDefault="00C802EE">
            <w:pPr>
              <w:pStyle w:val="BodyText"/>
              <w:spacing w:before="80" w:after="80"/>
              <w:ind w:right="-108"/>
              <w:jc w:val="center"/>
              <w:rPr>
                <w:rFonts w:cs="Arial"/>
              </w:rPr>
            </w:pPr>
            <w:r w:rsidRPr="00942C19">
              <w:rPr>
                <w:rFonts w:cs="Arial"/>
                <w:lang w:val="en-US"/>
              </w:rPr>
              <w:t>Rs. 425.00</w:t>
            </w:r>
          </w:p>
        </w:tc>
        <w:tc>
          <w:tcPr>
            <w:tcW w:w="2036" w:type="dxa"/>
            <w:tcBorders>
              <w:top w:val="single" w:sz="4" w:space="0" w:color="auto"/>
              <w:bottom w:val="single" w:sz="4" w:space="0" w:color="auto"/>
            </w:tcBorders>
          </w:tcPr>
          <w:p w:rsidR="00A44CA7" w:rsidRPr="00942C19" w:rsidRDefault="00C802EE">
            <w:pPr>
              <w:pStyle w:val="BodyText"/>
              <w:ind w:right="-108"/>
              <w:jc w:val="center"/>
              <w:rPr>
                <w:rFonts w:cs="Arial"/>
              </w:rPr>
            </w:pPr>
            <w:r w:rsidRPr="00942C19">
              <w:rPr>
                <w:rFonts w:cs="Arial"/>
                <w:lang w:val="en-US"/>
              </w:rPr>
              <w:t>Rs. 600.00</w:t>
            </w:r>
          </w:p>
        </w:tc>
      </w:tr>
      <w:tr w:rsidR="00C802EE" w:rsidRPr="00942C19" w:rsidTr="00C652DB">
        <w:trPr>
          <w:trHeight w:val="539"/>
        </w:trPr>
        <w:tc>
          <w:tcPr>
            <w:tcW w:w="4770" w:type="dxa"/>
            <w:tcBorders>
              <w:top w:val="single" w:sz="4" w:space="0" w:color="auto"/>
              <w:left w:val="single" w:sz="4" w:space="0" w:color="auto"/>
              <w:bottom w:val="single" w:sz="4" w:space="0" w:color="auto"/>
            </w:tcBorders>
          </w:tcPr>
          <w:p w:rsidR="00A44CA7" w:rsidRPr="00942C19" w:rsidRDefault="00C802EE">
            <w:pPr>
              <w:pStyle w:val="BodyText"/>
              <w:spacing w:before="80" w:after="80"/>
              <w:ind w:right="-108"/>
              <w:jc w:val="left"/>
              <w:rPr>
                <w:rFonts w:cs="Arial"/>
              </w:rPr>
            </w:pPr>
            <w:r w:rsidRPr="00942C19">
              <w:rPr>
                <w:rFonts w:cs="Arial"/>
              </w:rPr>
              <w:t>Additional charge for employees using Air Conditioners (April to September).</w:t>
            </w:r>
          </w:p>
        </w:tc>
        <w:tc>
          <w:tcPr>
            <w:tcW w:w="3926" w:type="dxa"/>
            <w:gridSpan w:val="2"/>
            <w:tcBorders>
              <w:top w:val="single" w:sz="4" w:space="0" w:color="auto"/>
              <w:bottom w:val="single" w:sz="4" w:space="0" w:color="auto"/>
            </w:tcBorders>
          </w:tcPr>
          <w:p w:rsidR="00A44CA7" w:rsidRPr="00942C19" w:rsidRDefault="00C802EE">
            <w:pPr>
              <w:pStyle w:val="BodyText"/>
              <w:spacing w:before="80" w:after="80"/>
              <w:ind w:right="-108"/>
              <w:jc w:val="center"/>
              <w:rPr>
                <w:rFonts w:cs="Arial"/>
              </w:rPr>
            </w:pPr>
            <w:r w:rsidRPr="00942C19">
              <w:rPr>
                <w:rFonts w:cs="Arial"/>
              </w:rPr>
              <w:t>Rs. 500.00 per month per Air conditioner</w:t>
            </w:r>
          </w:p>
        </w:tc>
      </w:tr>
    </w:tbl>
    <w:p w:rsidR="00C802EE" w:rsidRPr="00942C19" w:rsidRDefault="00C802EE" w:rsidP="00C802EE">
      <w:pPr>
        <w:spacing w:before="100" w:beforeAutospacing="1" w:after="40"/>
        <w:ind w:left="360" w:right="-58"/>
        <w:rPr>
          <w:rFonts w:cs="Arial"/>
          <w:bCs/>
        </w:rPr>
      </w:pPr>
      <w:r w:rsidRPr="00942C19">
        <w:rPr>
          <w:rFonts w:cs="Arial"/>
          <w:b/>
        </w:rPr>
        <w:t xml:space="preserve">Metered: </w:t>
      </w:r>
      <w:r w:rsidRPr="00942C19">
        <w:rPr>
          <w:rFonts w:cs="Arial"/>
          <w:bCs/>
        </w:rPr>
        <w:t xml:space="preserve">Metered consumers under this category shall be given 50% rebate on rate of charge applicable to “other metered consumers” under LMV-1 category. </w:t>
      </w:r>
    </w:p>
    <w:p w:rsidR="00C802EE" w:rsidRPr="00942C19" w:rsidRDefault="00C802EE" w:rsidP="00A818DC">
      <w:pPr>
        <w:numPr>
          <w:ilvl w:val="0"/>
          <w:numId w:val="72"/>
        </w:numPr>
        <w:spacing w:before="100" w:beforeAutospacing="1" w:after="40" w:line="288" w:lineRule="auto"/>
        <w:ind w:right="-58"/>
        <w:rPr>
          <w:rFonts w:cs="Arial"/>
          <w:b/>
        </w:rPr>
      </w:pPr>
      <w:r w:rsidRPr="00942C19">
        <w:rPr>
          <w:rFonts w:cs="Arial"/>
          <w:b/>
        </w:rPr>
        <w:t xml:space="preserve">ELECTRICITY DUTY: </w:t>
      </w:r>
    </w:p>
    <w:p w:rsidR="00C802EE" w:rsidRPr="00942C19" w:rsidRDefault="00C802EE" w:rsidP="00C802EE">
      <w:pPr>
        <w:tabs>
          <w:tab w:val="left" w:pos="360"/>
        </w:tabs>
        <w:spacing w:before="100" w:beforeAutospacing="1" w:after="40"/>
        <w:ind w:left="360" w:right="-58"/>
        <w:rPr>
          <w:rFonts w:cs="Arial"/>
          <w:bCs/>
        </w:rPr>
      </w:pPr>
      <w:r w:rsidRPr="00942C19">
        <w:rPr>
          <w:rFonts w:cs="Arial"/>
          <w:bCs/>
        </w:rPr>
        <w:t>Electricity duty on the above shall be levied in addition at the rates as may be notified by the State Government from time to time.</w:t>
      </w:r>
    </w:p>
    <w:p w:rsidR="00C802EE" w:rsidRPr="00942C19" w:rsidRDefault="00C802EE" w:rsidP="00C802EE">
      <w:pPr>
        <w:spacing w:before="100" w:beforeAutospacing="1" w:after="40"/>
        <w:ind w:left="360" w:right="-58"/>
        <w:rPr>
          <w:rFonts w:cs="Arial"/>
          <w:b/>
        </w:rPr>
      </w:pPr>
      <w:r w:rsidRPr="00942C19">
        <w:rPr>
          <w:rFonts w:cs="Arial"/>
          <w:b/>
        </w:rPr>
        <w:t xml:space="preserve">Note: </w:t>
      </w:r>
      <w:r w:rsidRPr="00942C19">
        <w:rPr>
          <w:rFonts w:cs="Arial"/>
        </w:rPr>
        <w:t xml:space="preserve">In case of </w:t>
      </w:r>
      <w:r w:rsidRPr="00942C19">
        <w:rPr>
          <w:rFonts w:cs="Calibri"/>
        </w:rPr>
        <w:t>retired / voluntary retired or deemed retired</w:t>
      </w:r>
      <w:r w:rsidRPr="00942C19">
        <w:rPr>
          <w:rFonts w:cs="Arial"/>
        </w:rPr>
        <w:t xml:space="preserve"> employees, the rate shall be the same as applicable to the post from which he / she has retired.</w:t>
      </w:r>
    </w:p>
    <w:p w:rsidR="00C802EE" w:rsidRPr="00942C19" w:rsidRDefault="00C802EE" w:rsidP="00C802EE">
      <w:pPr>
        <w:tabs>
          <w:tab w:val="left" w:pos="360"/>
        </w:tabs>
        <w:spacing w:before="100" w:beforeAutospacing="1" w:after="40"/>
        <w:ind w:left="360" w:right="-58" w:hanging="360"/>
      </w:pPr>
      <w:r w:rsidRPr="00942C19">
        <w:rPr>
          <w:rFonts w:cs="Arial"/>
          <w:b/>
        </w:rPr>
        <w:t>4</w:t>
      </w:r>
      <w:r w:rsidR="00785E17" w:rsidRPr="00942C19">
        <w:rPr>
          <w:rFonts w:cs="Arial"/>
          <w:b/>
        </w:rPr>
        <w:t>.</w:t>
      </w:r>
      <w:r w:rsidR="00785E17" w:rsidRPr="00942C19">
        <w:rPr>
          <w:rFonts w:cs="Arial"/>
          <w:b/>
        </w:rPr>
        <w:tab/>
      </w:r>
      <w:r w:rsidR="00785E17" w:rsidRPr="00942C19">
        <w:rPr>
          <w:rFonts w:cs="Arial"/>
          <w:bCs/>
        </w:rPr>
        <w:t>For ‘Other Provisions’ and ‘Mode of Payment’ for Departmental Employees refer ANNEXURE 10.2.1</w:t>
      </w:r>
      <w:r w:rsidR="00965EE4">
        <w:rPr>
          <w:rFonts w:cs="Arial"/>
          <w:bCs/>
        </w:rPr>
        <w:t>.</w:t>
      </w:r>
    </w:p>
    <w:p w:rsidR="00C802EE" w:rsidRPr="00942C19" w:rsidRDefault="00C802EE" w:rsidP="00C802EE">
      <w:pPr>
        <w:tabs>
          <w:tab w:val="left" w:pos="360"/>
        </w:tabs>
        <w:spacing w:before="100" w:beforeAutospacing="1" w:after="40"/>
        <w:ind w:left="360" w:right="-58" w:hanging="360"/>
        <w:rPr>
          <w:rFonts w:cs="Arial"/>
          <w:bCs/>
          <w:strike/>
        </w:rPr>
      </w:pPr>
    </w:p>
    <w:p w:rsidR="00C802EE" w:rsidRPr="00942C19" w:rsidRDefault="000C642E" w:rsidP="00C802EE">
      <w:pPr>
        <w:spacing w:before="100" w:beforeAutospacing="1" w:after="40"/>
        <w:ind w:left="360" w:right="-58"/>
      </w:pPr>
      <w:r w:rsidRPr="000C642E">
        <w:rPr>
          <w:rFonts w:cs="Arial"/>
          <w:bCs/>
          <w:i/>
          <w:iCs/>
          <w:noProof/>
          <w:lang w:val="en-US"/>
        </w:rPr>
        <w:pict>
          <v:line id="_x0000_s1027" style="position:absolute;left:0;text-align:left;z-index:251658240;visibility:visible" from="16.65pt,1.05pt" to="43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L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"/>
        </w:pict>
      </w:r>
      <w:r w:rsidR="00C802EE" w:rsidRPr="00942C19">
        <w:rPr>
          <w:rFonts w:cs="Arial"/>
          <w:bCs/>
          <w:i/>
          <w:iCs/>
        </w:rPr>
        <w:t xml:space="preserve">Section 23 (7) of Electricity Reforms Act, 1999 provides that “terms and condition of service of the personnel shall not be less favourable to the terms and condition which were applicable to them before the transfer”.  The same spirit has been echoed under first proviso of section 133 (2) of the Electricity Act, 2003. The benefits for employees / pensioners as provided in section 12 (b) (ii) of the Uttar Pradesh Reform </w:t>
      </w:r>
      <w:r w:rsidR="00A24A40" w:rsidRPr="00942C19">
        <w:rPr>
          <w:rFonts w:cs="Arial"/>
          <w:bCs/>
          <w:i/>
          <w:iCs/>
        </w:rPr>
        <w:t>Transfer Scheme</w:t>
      </w:r>
      <w:r w:rsidR="00C802EE" w:rsidRPr="00942C19">
        <w:rPr>
          <w:rFonts w:cs="Arial"/>
          <w:bCs/>
          <w:i/>
          <w:iCs/>
        </w:rPr>
        <w:t>, 2000 include “concessional rate of electricity”, which means concession in rate of electricity to the extent it is not inferior to what was existing before 14</w:t>
      </w:r>
      <w:r w:rsidR="00C802EE" w:rsidRPr="00942C19">
        <w:rPr>
          <w:rFonts w:cs="Arial"/>
          <w:bCs/>
          <w:i/>
          <w:iCs/>
          <w:vertAlign w:val="superscript"/>
        </w:rPr>
        <w:t>th</w:t>
      </w:r>
      <w:r w:rsidR="00C802EE" w:rsidRPr="00942C19">
        <w:rPr>
          <w:rFonts w:cs="Arial"/>
          <w:bCs/>
          <w:i/>
          <w:iCs/>
        </w:rPr>
        <w:t xml:space="preserve"> January, 2000.  The rates and charges indicated above for this category are strictly in adherence of above statutory provisions.   </w:t>
      </w:r>
    </w:p>
    <w:p w:rsidR="00C802EE" w:rsidRPr="00942C19" w:rsidRDefault="00C802EE" w:rsidP="00C802EE">
      <w:pPr>
        <w:pStyle w:val="BodyText"/>
        <w:spacing w:before="100" w:beforeAutospacing="1" w:after="100" w:afterAutospacing="1" w:line="288" w:lineRule="auto"/>
        <w:ind w:right="-61"/>
        <w:jc w:val="center"/>
        <w:rPr>
          <w:rFonts w:cs="Arial"/>
          <w:b/>
          <w:szCs w:val="22"/>
          <w:u w:val="single"/>
        </w:rPr>
      </w:pPr>
      <w:r w:rsidRPr="00942C19">
        <w:rPr>
          <w:rFonts w:cs="Arial"/>
          <w:b/>
          <w:sz w:val="22"/>
          <w:szCs w:val="22"/>
          <w:u w:val="single"/>
        </w:rPr>
        <w:br w:type="page"/>
      </w:r>
      <w:r w:rsidRPr="00942C19">
        <w:rPr>
          <w:rFonts w:cs="Arial"/>
          <w:b/>
          <w:szCs w:val="22"/>
          <w:u w:val="single"/>
        </w:rPr>
        <w:t>RATE SCHEDULE HV– 1:</w:t>
      </w:r>
    </w:p>
    <w:p w:rsidR="00C802EE" w:rsidRPr="00942C19" w:rsidRDefault="00C802EE" w:rsidP="00C802EE">
      <w:pPr>
        <w:tabs>
          <w:tab w:val="left" w:pos="540"/>
        </w:tabs>
        <w:ind w:left="540" w:right="29" w:hanging="540"/>
        <w:jc w:val="center"/>
        <w:rPr>
          <w:b/>
          <w:bCs/>
          <w:szCs w:val="22"/>
        </w:rPr>
      </w:pPr>
      <w:r w:rsidRPr="00942C19">
        <w:rPr>
          <w:b/>
          <w:bCs/>
          <w:szCs w:val="22"/>
        </w:rPr>
        <w:t>NON INDUSTRIAL BULK LOADS:</w:t>
      </w:r>
    </w:p>
    <w:p w:rsidR="00C802EE" w:rsidRPr="00942C19" w:rsidRDefault="00C802EE" w:rsidP="00A818DC">
      <w:pPr>
        <w:numPr>
          <w:ilvl w:val="0"/>
          <w:numId w:val="76"/>
        </w:numPr>
        <w:spacing w:before="100" w:beforeAutospacing="1" w:after="100" w:afterAutospacing="1" w:line="288" w:lineRule="auto"/>
        <w:ind w:left="357" w:right="28"/>
        <w:rPr>
          <w:rFonts w:cs="Arial"/>
          <w:b/>
        </w:rPr>
      </w:pPr>
      <w:r w:rsidRPr="00942C19">
        <w:rPr>
          <w:rFonts w:cs="Arial"/>
          <w:b/>
        </w:rPr>
        <w:t>APPLICABILITY:</w:t>
      </w:r>
    </w:p>
    <w:p w:rsidR="00C802EE" w:rsidRPr="00942C19" w:rsidRDefault="00C802EE" w:rsidP="00C802EE">
      <w:pPr>
        <w:spacing w:before="100" w:beforeAutospacing="1" w:after="100" w:afterAutospacing="1"/>
        <w:ind w:left="360" w:right="29"/>
        <w:rPr>
          <w:bCs/>
        </w:rPr>
      </w:pPr>
      <w:r w:rsidRPr="00942C19">
        <w:rPr>
          <w:bCs/>
        </w:rPr>
        <w:t xml:space="preserve">This rate schedule shall apply to: </w:t>
      </w:r>
    </w:p>
    <w:p w:rsidR="00C802EE" w:rsidRPr="00942C19" w:rsidRDefault="00C802EE" w:rsidP="00A818DC">
      <w:pPr>
        <w:numPr>
          <w:ilvl w:val="2"/>
          <w:numId w:val="76"/>
        </w:numPr>
        <w:tabs>
          <w:tab w:val="clear" w:pos="2340"/>
        </w:tabs>
        <w:spacing w:before="100" w:beforeAutospacing="1" w:after="100" w:afterAutospacing="1" w:line="288" w:lineRule="auto"/>
        <w:ind w:left="900" w:right="28" w:hanging="540"/>
        <w:rPr>
          <w:bCs/>
        </w:rPr>
      </w:pPr>
      <w:r w:rsidRPr="00942C19">
        <w:rPr>
          <w:bCs/>
        </w:rPr>
        <w:t xml:space="preserve">Commercial loads (as defined within the meaning of LMV-2) with contracted load of 75 kW &amp; above and getting supply at single point on 11 kV &amp; above voltage levels. </w:t>
      </w:r>
    </w:p>
    <w:p w:rsidR="00C802EE" w:rsidRPr="00942C19" w:rsidRDefault="00C802EE" w:rsidP="00A818DC">
      <w:pPr>
        <w:numPr>
          <w:ilvl w:val="2"/>
          <w:numId w:val="76"/>
        </w:numPr>
        <w:tabs>
          <w:tab w:val="clear" w:pos="2340"/>
        </w:tabs>
        <w:spacing w:before="100" w:beforeAutospacing="1" w:after="100" w:afterAutospacing="1" w:line="288" w:lineRule="auto"/>
        <w:ind w:left="900" w:right="28" w:hanging="540"/>
        <w:rPr>
          <w:bCs/>
        </w:rPr>
      </w:pPr>
      <w:r w:rsidRPr="00942C19">
        <w:rPr>
          <w:bCs/>
        </w:rPr>
        <w:t xml:space="preserve">Private institutions (as defined within the meaning of LMV-4 (b)) with contracted load of 75 kW &amp; above and getting supply at single point on 11 kV &amp; above voltage levels. </w:t>
      </w:r>
    </w:p>
    <w:p w:rsidR="00C802EE" w:rsidRPr="00942C19" w:rsidRDefault="00C802EE" w:rsidP="00A818DC">
      <w:pPr>
        <w:numPr>
          <w:ilvl w:val="2"/>
          <w:numId w:val="76"/>
        </w:numPr>
        <w:tabs>
          <w:tab w:val="clear" w:pos="2340"/>
        </w:tabs>
        <w:spacing w:before="100" w:beforeAutospacing="1" w:after="100" w:afterAutospacing="1" w:line="288" w:lineRule="auto"/>
        <w:ind w:left="900" w:right="28" w:hanging="540"/>
        <w:rPr>
          <w:bCs/>
        </w:rPr>
      </w:pPr>
      <w:r w:rsidRPr="00942C19">
        <w:rPr>
          <w:bCs/>
        </w:rPr>
        <w:t xml:space="preserve">Non domestic bulk power consumer (other than industrial loads covered under HV-2) with contracted load 75 kW &amp; above and getting supply at single point on 11 kV &amp; above voltage levels and feeding multiple individuals (owners / occupiers / tenants of some area within the larger premises of the bulk power consumer) through its own network and also responsible for maintaining distribution network. </w:t>
      </w:r>
    </w:p>
    <w:p w:rsidR="00C802EE" w:rsidRPr="00942C19" w:rsidRDefault="00C802EE" w:rsidP="00A818DC">
      <w:pPr>
        <w:numPr>
          <w:ilvl w:val="2"/>
          <w:numId w:val="76"/>
        </w:numPr>
        <w:tabs>
          <w:tab w:val="clear" w:pos="2340"/>
        </w:tabs>
        <w:spacing w:before="100" w:beforeAutospacing="1" w:after="100" w:afterAutospacing="1" w:line="288" w:lineRule="auto"/>
        <w:ind w:left="900" w:right="28" w:hanging="540"/>
        <w:rPr>
          <w:bCs/>
        </w:rPr>
      </w:pPr>
      <w:r w:rsidRPr="00942C19">
        <w:rPr>
          <w:bCs/>
        </w:rPr>
        <w:t xml:space="preserve">Public institutions (as defined within the meaning of LMV-4 (a)) with contracted load of 75 kW &amp; above and getting supply at single point on 11 kV &amp; above voltage levels. The institution / consumer seeking the supply at Single point for non-industrial bulk loads under this category shall be considered as a deemed franchisee of the </w:t>
      </w:r>
      <w:r w:rsidR="009A3804" w:rsidRPr="00942C19">
        <w:rPr>
          <w:bCs/>
        </w:rPr>
        <w:t>Licensee</w:t>
      </w:r>
      <w:r w:rsidRPr="00942C19">
        <w:rPr>
          <w:bCs/>
        </w:rPr>
        <w:t>.</w:t>
      </w:r>
    </w:p>
    <w:p w:rsidR="00C802EE" w:rsidRPr="00942C19" w:rsidRDefault="00C802EE" w:rsidP="00A818DC">
      <w:pPr>
        <w:numPr>
          <w:ilvl w:val="2"/>
          <w:numId w:val="76"/>
        </w:numPr>
        <w:tabs>
          <w:tab w:val="clear" w:pos="2340"/>
        </w:tabs>
        <w:spacing w:before="100" w:beforeAutospacing="1" w:after="100" w:afterAutospacing="1" w:line="288" w:lineRule="auto"/>
        <w:ind w:left="900" w:right="28" w:hanging="540"/>
        <w:rPr>
          <w:bCs/>
        </w:rPr>
      </w:pPr>
      <w:r w:rsidRPr="00942C19">
        <w:rPr>
          <w:szCs w:val="22"/>
        </w:rPr>
        <w:t>Registered Societies, Residential Colonies / Townships, Residential Multi-Storied Buildings with mixed loads (getting supply at single point)</w:t>
      </w:r>
      <w:r w:rsidRPr="00942C19">
        <w:rPr>
          <w:bCs/>
        </w:rPr>
        <w:t xml:space="preserve"> with contracted load 75 kW &amp; above and getting supply at single point on 11 kV &amp; above voltage levels</w:t>
      </w:r>
      <w:r w:rsidRPr="00942C19">
        <w:rPr>
          <w:szCs w:val="22"/>
        </w:rPr>
        <w:t xml:space="preserve"> and having less than 70% of the total contracted load exclusively for the purposes of domestic light, fan and power. Figure of  70%, shall also include the load required for lifts, water pumps and common lighting, </w:t>
      </w:r>
    </w:p>
    <w:p w:rsidR="00C802EE" w:rsidRPr="00942C19" w:rsidRDefault="00C802EE" w:rsidP="00A818DC">
      <w:pPr>
        <w:numPr>
          <w:ilvl w:val="2"/>
          <w:numId w:val="76"/>
        </w:numPr>
        <w:tabs>
          <w:tab w:val="clear" w:pos="2340"/>
        </w:tabs>
        <w:spacing w:before="100" w:beforeAutospacing="1" w:after="100" w:afterAutospacing="1" w:line="288" w:lineRule="auto"/>
        <w:ind w:left="900" w:right="28" w:hanging="540"/>
        <w:rPr>
          <w:bCs/>
        </w:rPr>
      </w:pPr>
      <w:r w:rsidRPr="00942C19">
        <w:rPr>
          <w:bCs/>
        </w:rPr>
        <w:t xml:space="preserve">For Offices / Buildings / Guesthouses of UPPCL / UPRVUNL / UPJVNL / UPPTCL / Distribution </w:t>
      </w:r>
      <w:r w:rsidR="009A3804" w:rsidRPr="00942C19">
        <w:rPr>
          <w:bCs/>
        </w:rPr>
        <w:t>Licensee</w:t>
      </w:r>
      <w:r w:rsidRPr="00942C19">
        <w:rPr>
          <w:bCs/>
        </w:rPr>
        <w:t>s having loads above 75 kW and getting supply at 11 kV &amp; above voltages.</w:t>
      </w:r>
    </w:p>
    <w:p w:rsidR="00A44CA7" w:rsidRPr="00942C19" w:rsidRDefault="00A44CA7">
      <w:pPr>
        <w:spacing w:before="100" w:beforeAutospacing="1" w:after="100" w:afterAutospacing="1" w:line="288" w:lineRule="auto"/>
        <w:ind w:left="900" w:right="28"/>
        <w:rPr>
          <w:bCs/>
        </w:rPr>
      </w:pPr>
    </w:p>
    <w:p w:rsidR="00C802EE" w:rsidRPr="00942C19" w:rsidRDefault="00C802EE" w:rsidP="00A818DC">
      <w:pPr>
        <w:numPr>
          <w:ilvl w:val="0"/>
          <w:numId w:val="76"/>
        </w:numPr>
        <w:spacing w:before="100" w:after="100" w:line="288" w:lineRule="auto"/>
        <w:ind w:left="720" w:right="28" w:hanging="723"/>
        <w:rPr>
          <w:b/>
        </w:rPr>
      </w:pPr>
      <w:r w:rsidRPr="00942C19">
        <w:rPr>
          <w:b/>
        </w:rPr>
        <w:t>CHARACTER AND POINT OF SUPPLY:</w:t>
      </w:r>
    </w:p>
    <w:p w:rsidR="00C802EE" w:rsidRPr="00942C19" w:rsidRDefault="00C802EE" w:rsidP="00C802EE">
      <w:pPr>
        <w:spacing w:line="240" w:lineRule="auto"/>
        <w:ind w:left="360" w:right="-58"/>
        <w:rPr>
          <w:rFonts w:cs="Arial"/>
          <w:szCs w:val="22"/>
        </w:rPr>
      </w:pPr>
      <w:r w:rsidRPr="00942C19">
        <w:rPr>
          <w:szCs w:val="22"/>
        </w:rPr>
        <w:t>As per the applicable provisions of Electricity Supply Code.</w:t>
      </w:r>
    </w:p>
    <w:p w:rsidR="00C802EE" w:rsidRPr="00942C19" w:rsidRDefault="00C802EE" w:rsidP="00A818DC">
      <w:pPr>
        <w:pStyle w:val="BodyText"/>
        <w:numPr>
          <w:ilvl w:val="0"/>
          <w:numId w:val="76"/>
        </w:numPr>
        <w:spacing w:before="100" w:beforeAutospacing="1" w:after="0" w:line="288" w:lineRule="auto"/>
        <w:ind w:left="0" w:right="29" w:firstLine="0"/>
        <w:rPr>
          <w:rFonts w:cs="Arial"/>
          <w:b/>
        </w:rPr>
      </w:pPr>
      <w:r w:rsidRPr="00942C19">
        <w:rPr>
          <w:rFonts w:cs="Arial"/>
          <w:b/>
        </w:rPr>
        <w:t xml:space="preserve">RATE: </w:t>
      </w:r>
    </w:p>
    <w:p w:rsidR="00C802EE" w:rsidRPr="00942C19" w:rsidRDefault="00C802EE" w:rsidP="00C802EE">
      <w:r w:rsidRPr="00942C19">
        <w:t>Rate, gives the demand and energy charges at which the consumer shall be billed for consumption during the billing period applicable to the category:</w:t>
      </w:r>
    </w:p>
    <w:p w:rsidR="00C802EE" w:rsidRPr="00942C19" w:rsidRDefault="00C802EE" w:rsidP="00C802EE"/>
    <w:p w:rsidR="00C802EE" w:rsidRPr="00942C19" w:rsidRDefault="00C802EE" w:rsidP="00A818DC">
      <w:pPr>
        <w:pStyle w:val="BodyText"/>
        <w:numPr>
          <w:ilvl w:val="0"/>
          <w:numId w:val="85"/>
        </w:numPr>
        <w:spacing w:before="0" w:after="0" w:line="240" w:lineRule="auto"/>
        <w:ind w:right="-58"/>
        <w:rPr>
          <w:b/>
          <w:bCs/>
        </w:rPr>
      </w:pPr>
      <w:r w:rsidRPr="00942C19">
        <w:rPr>
          <w:rFonts w:cs="Arial"/>
          <w:b/>
        </w:rPr>
        <w:t>Commercial Loads / Private Institutions /</w:t>
      </w:r>
      <w:r w:rsidRPr="00942C19">
        <w:rPr>
          <w:b/>
          <w:bCs/>
        </w:rPr>
        <w:t xml:space="preserve"> Non domestic bulk power consumer with contracted load 75 kW &amp; above and getting supply at Single Point on 11 kV &amp; above: </w:t>
      </w:r>
    </w:p>
    <w:tbl>
      <w:tblPr>
        <w:tblpPr w:leftFromText="180" w:rightFromText="180" w:vertAnchor="text" w:horzAnchor="page" w:tblpX="2674" w:tblpY="14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3150"/>
      </w:tblGrid>
      <w:tr w:rsidR="00C802EE" w:rsidRPr="00942C19" w:rsidTr="00C652DB">
        <w:trPr>
          <w:trHeight w:val="350"/>
          <w:tblHeader/>
        </w:trPr>
        <w:tc>
          <w:tcPr>
            <w:tcW w:w="2268" w:type="dxa"/>
            <w:shd w:val="pct12" w:color="auto" w:fill="auto"/>
          </w:tcPr>
          <w:p w:rsidR="00C802EE" w:rsidRPr="00942C19" w:rsidRDefault="00C802EE" w:rsidP="00C652DB">
            <w:pPr>
              <w:ind w:right="-105"/>
              <w:rPr>
                <w:rFonts w:cs="Arial"/>
              </w:rPr>
            </w:pPr>
          </w:p>
        </w:tc>
        <w:tc>
          <w:tcPr>
            <w:tcW w:w="2430" w:type="dxa"/>
            <w:shd w:val="pct12" w:color="auto" w:fill="auto"/>
          </w:tcPr>
          <w:p w:rsidR="00C802EE" w:rsidRPr="00942C19" w:rsidRDefault="00C802EE" w:rsidP="00C652DB">
            <w:pPr>
              <w:ind w:right="-105"/>
              <w:rPr>
                <w:rFonts w:cs="Arial"/>
                <w:b/>
              </w:rPr>
            </w:pPr>
            <w:r w:rsidRPr="00942C19">
              <w:rPr>
                <w:rFonts w:cs="Arial"/>
                <w:b/>
              </w:rPr>
              <w:t>For supply at 11kV</w:t>
            </w:r>
          </w:p>
        </w:tc>
        <w:tc>
          <w:tcPr>
            <w:tcW w:w="3150" w:type="dxa"/>
            <w:shd w:val="pct12" w:color="auto" w:fill="auto"/>
          </w:tcPr>
          <w:p w:rsidR="00C802EE" w:rsidRPr="00942C19" w:rsidRDefault="00C802EE" w:rsidP="00C652DB">
            <w:pPr>
              <w:rPr>
                <w:rFonts w:cs="Arial"/>
                <w:b/>
              </w:rPr>
            </w:pPr>
            <w:r w:rsidRPr="00942C19">
              <w:rPr>
                <w:rFonts w:cs="Arial"/>
                <w:b/>
              </w:rPr>
              <w:t>For supply at 33 kV &amp; above</w:t>
            </w:r>
          </w:p>
        </w:tc>
      </w:tr>
      <w:tr w:rsidR="00C802EE" w:rsidRPr="00942C19" w:rsidTr="00C652DB">
        <w:trPr>
          <w:tblHeader/>
        </w:trPr>
        <w:tc>
          <w:tcPr>
            <w:tcW w:w="2268" w:type="dxa"/>
          </w:tcPr>
          <w:p w:rsidR="00C802EE" w:rsidRPr="00942C19" w:rsidRDefault="00C802EE" w:rsidP="00C652DB">
            <w:pPr>
              <w:ind w:right="-105"/>
              <w:rPr>
                <w:rFonts w:cs="Arial"/>
              </w:rPr>
            </w:pPr>
            <w:r w:rsidRPr="00942C19">
              <w:rPr>
                <w:rFonts w:cs="Arial"/>
              </w:rPr>
              <w:t xml:space="preserve">Demand Charges </w:t>
            </w:r>
          </w:p>
        </w:tc>
        <w:tc>
          <w:tcPr>
            <w:tcW w:w="2430" w:type="dxa"/>
          </w:tcPr>
          <w:p w:rsidR="00C802EE" w:rsidRPr="00942C19" w:rsidRDefault="00C802EE" w:rsidP="00C652DB">
            <w:pPr>
              <w:ind w:right="-105"/>
              <w:jc w:val="center"/>
              <w:rPr>
                <w:rFonts w:cs="Arial"/>
              </w:rPr>
            </w:pPr>
            <w:r w:rsidRPr="00942C19">
              <w:rPr>
                <w:rFonts w:cs="Arial"/>
              </w:rPr>
              <w:t>Rs. 270 / kVA / month</w:t>
            </w:r>
          </w:p>
        </w:tc>
        <w:tc>
          <w:tcPr>
            <w:tcW w:w="3150" w:type="dxa"/>
          </w:tcPr>
          <w:p w:rsidR="00C802EE" w:rsidRPr="00942C19" w:rsidRDefault="00C802EE" w:rsidP="00C652DB">
            <w:pPr>
              <w:ind w:right="-105"/>
              <w:jc w:val="center"/>
              <w:rPr>
                <w:rFonts w:cs="Arial"/>
              </w:rPr>
            </w:pPr>
            <w:r w:rsidRPr="00942C19">
              <w:rPr>
                <w:rFonts w:cs="Arial"/>
              </w:rPr>
              <w:t>Rs. 250 / kVA / month</w:t>
            </w:r>
          </w:p>
        </w:tc>
      </w:tr>
      <w:tr w:rsidR="00C802EE" w:rsidRPr="00942C19" w:rsidTr="00C652DB">
        <w:trPr>
          <w:tblHeader/>
        </w:trPr>
        <w:tc>
          <w:tcPr>
            <w:tcW w:w="2268" w:type="dxa"/>
          </w:tcPr>
          <w:p w:rsidR="00C802EE" w:rsidRPr="00942C19" w:rsidRDefault="00C802EE" w:rsidP="00C652DB">
            <w:pPr>
              <w:ind w:right="-105"/>
              <w:rPr>
                <w:rFonts w:cs="Arial"/>
              </w:rPr>
            </w:pPr>
            <w:r w:rsidRPr="00942C19">
              <w:rPr>
                <w:rFonts w:cs="Arial"/>
              </w:rPr>
              <w:t xml:space="preserve">Energy Charges </w:t>
            </w:r>
          </w:p>
        </w:tc>
        <w:tc>
          <w:tcPr>
            <w:tcW w:w="2430" w:type="dxa"/>
          </w:tcPr>
          <w:p w:rsidR="00C802EE" w:rsidRPr="00942C19" w:rsidRDefault="00C802EE" w:rsidP="00C652DB">
            <w:pPr>
              <w:ind w:right="-105"/>
              <w:jc w:val="center"/>
              <w:rPr>
                <w:rFonts w:cs="Arial"/>
              </w:rPr>
            </w:pPr>
            <w:r w:rsidRPr="00942C19">
              <w:rPr>
                <w:rFonts w:cs="Arial"/>
              </w:rPr>
              <w:t>Rs. 6.10 / kVAh</w:t>
            </w:r>
          </w:p>
        </w:tc>
        <w:tc>
          <w:tcPr>
            <w:tcW w:w="3150" w:type="dxa"/>
          </w:tcPr>
          <w:p w:rsidR="00C802EE" w:rsidRPr="00942C19" w:rsidRDefault="00C802EE" w:rsidP="00C652DB">
            <w:pPr>
              <w:ind w:right="-105"/>
              <w:jc w:val="center"/>
              <w:rPr>
                <w:rFonts w:cs="Arial"/>
              </w:rPr>
            </w:pPr>
            <w:r w:rsidRPr="00942C19">
              <w:rPr>
                <w:rFonts w:cs="Arial"/>
              </w:rPr>
              <w:t>Rs. 6.00 / kVAh</w:t>
            </w:r>
          </w:p>
        </w:tc>
      </w:tr>
    </w:tbl>
    <w:p w:rsidR="00C802EE" w:rsidRPr="00942C19" w:rsidRDefault="00C802EE" w:rsidP="00C802EE">
      <w:pPr>
        <w:pStyle w:val="BodyText"/>
        <w:spacing w:before="100" w:beforeAutospacing="1" w:line="288" w:lineRule="auto"/>
        <w:ind w:left="360" w:right="29"/>
        <w:rPr>
          <w:rFonts w:cs="Arial"/>
          <w:b/>
        </w:rPr>
      </w:pPr>
    </w:p>
    <w:p w:rsidR="00C802EE" w:rsidRPr="00942C19" w:rsidRDefault="00C802EE" w:rsidP="00C802EE">
      <w:pPr>
        <w:pStyle w:val="BodyText"/>
        <w:spacing w:before="100" w:beforeAutospacing="1" w:line="288" w:lineRule="auto"/>
        <w:ind w:left="360" w:right="29"/>
        <w:rPr>
          <w:rFonts w:cs="Arial"/>
          <w:b/>
        </w:rPr>
      </w:pPr>
    </w:p>
    <w:p w:rsidR="00C802EE" w:rsidRPr="00942C19" w:rsidRDefault="00C802EE" w:rsidP="00C802EE">
      <w:pPr>
        <w:pStyle w:val="BodyText"/>
        <w:spacing w:line="240" w:lineRule="auto"/>
        <w:ind w:left="360" w:right="-58"/>
        <w:rPr>
          <w:rFonts w:cs="Arial"/>
          <w:b/>
        </w:rPr>
      </w:pPr>
    </w:p>
    <w:p w:rsidR="00C802EE" w:rsidRPr="00942C19" w:rsidRDefault="00C802EE" w:rsidP="00C802EE">
      <w:pPr>
        <w:pStyle w:val="BodyText"/>
        <w:spacing w:line="240" w:lineRule="auto"/>
        <w:ind w:left="360" w:right="-58"/>
        <w:rPr>
          <w:rFonts w:cs="Arial"/>
          <w:b/>
        </w:rPr>
      </w:pPr>
    </w:p>
    <w:p w:rsidR="00C802EE" w:rsidRPr="00942C19" w:rsidRDefault="00C802EE" w:rsidP="00A818DC">
      <w:pPr>
        <w:pStyle w:val="BodyText"/>
        <w:numPr>
          <w:ilvl w:val="0"/>
          <w:numId w:val="85"/>
        </w:numPr>
        <w:spacing w:before="0" w:after="0" w:line="240" w:lineRule="auto"/>
        <w:ind w:right="-58"/>
        <w:rPr>
          <w:rFonts w:cs="Arial"/>
          <w:b/>
        </w:rPr>
      </w:pPr>
      <w:r w:rsidRPr="00942C19">
        <w:rPr>
          <w:rFonts w:cs="Arial"/>
          <w:b/>
        </w:rPr>
        <w:t>Public Institutions with contracted load 75 kW &amp; above and getting supply at Single Point on 11 kV &amp; above voltage levels:</w:t>
      </w:r>
    </w:p>
    <w:tbl>
      <w:tblPr>
        <w:tblpPr w:leftFromText="180" w:rightFromText="180" w:vertAnchor="text" w:horzAnchor="page" w:tblpX="2674" w:tblpY="140"/>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2970"/>
      </w:tblGrid>
      <w:tr w:rsidR="00C802EE" w:rsidRPr="00942C19" w:rsidTr="00C652DB">
        <w:trPr>
          <w:trHeight w:val="350"/>
        </w:trPr>
        <w:tc>
          <w:tcPr>
            <w:tcW w:w="2268" w:type="dxa"/>
            <w:shd w:val="pct12" w:color="auto" w:fill="auto"/>
          </w:tcPr>
          <w:p w:rsidR="00C802EE" w:rsidRPr="00942C19" w:rsidRDefault="00C802EE" w:rsidP="00C652DB">
            <w:pPr>
              <w:ind w:right="-105"/>
              <w:rPr>
                <w:rFonts w:cs="Arial"/>
              </w:rPr>
            </w:pPr>
          </w:p>
        </w:tc>
        <w:tc>
          <w:tcPr>
            <w:tcW w:w="2430" w:type="dxa"/>
            <w:shd w:val="pct12" w:color="auto" w:fill="auto"/>
          </w:tcPr>
          <w:p w:rsidR="00C802EE" w:rsidRPr="00942C19" w:rsidRDefault="00C802EE" w:rsidP="00C652DB">
            <w:pPr>
              <w:ind w:right="-105"/>
              <w:rPr>
                <w:rFonts w:cs="Arial"/>
                <w:b/>
              </w:rPr>
            </w:pPr>
            <w:r w:rsidRPr="00942C19">
              <w:rPr>
                <w:rFonts w:cs="Arial"/>
                <w:b/>
              </w:rPr>
              <w:t>For supply at 11kV</w:t>
            </w:r>
          </w:p>
        </w:tc>
        <w:tc>
          <w:tcPr>
            <w:tcW w:w="2970" w:type="dxa"/>
            <w:shd w:val="pct12" w:color="auto" w:fill="auto"/>
          </w:tcPr>
          <w:p w:rsidR="00C802EE" w:rsidRPr="00942C19" w:rsidRDefault="00C802EE" w:rsidP="00C652DB">
            <w:pPr>
              <w:ind w:right="-105"/>
              <w:rPr>
                <w:rFonts w:cs="Arial"/>
                <w:b/>
              </w:rPr>
            </w:pPr>
            <w:r w:rsidRPr="00942C19">
              <w:rPr>
                <w:rFonts w:cs="Arial"/>
                <w:b/>
              </w:rPr>
              <w:t>For supply at 33 kV &amp; above</w:t>
            </w:r>
          </w:p>
        </w:tc>
      </w:tr>
      <w:tr w:rsidR="00C802EE" w:rsidRPr="00942C19" w:rsidTr="00C652DB">
        <w:tc>
          <w:tcPr>
            <w:tcW w:w="2268" w:type="dxa"/>
          </w:tcPr>
          <w:p w:rsidR="00C802EE" w:rsidRPr="00942C19" w:rsidRDefault="00C802EE" w:rsidP="00C652DB">
            <w:pPr>
              <w:ind w:right="-105"/>
              <w:rPr>
                <w:rFonts w:cs="Arial"/>
              </w:rPr>
            </w:pPr>
            <w:r w:rsidRPr="00942C19">
              <w:rPr>
                <w:rFonts w:cs="Arial"/>
              </w:rPr>
              <w:t xml:space="preserve">Demand Charges </w:t>
            </w:r>
          </w:p>
        </w:tc>
        <w:tc>
          <w:tcPr>
            <w:tcW w:w="2430" w:type="dxa"/>
          </w:tcPr>
          <w:p w:rsidR="00C802EE" w:rsidRPr="00942C19" w:rsidRDefault="00C802EE" w:rsidP="00C652DB">
            <w:pPr>
              <w:ind w:right="-105"/>
              <w:jc w:val="center"/>
              <w:rPr>
                <w:rFonts w:cs="Arial"/>
              </w:rPr>
            </w:pPr>
            <w:r w:rsidRPr="00942C19">
              <w:rPr>
                <w:rFonts w:cs="Arial"/>
              </w:rPr>
              <w:t>Rs. 250 / kVA / month</w:t>
            </w:r>
          </w:p>
        </w:tc>
        <w:tc>
          <w:tcPr>
            <w:tcW w:w="2970" w:type="dxa"/>
          </w:tcPr>
          <w:p w:rsidR="00C802EE" w:rsidRPr="00942C19" w:rsidRDefault="00C802EE" w:rsidP="00C652DB">
            <w:pPr>
              <w:ind w:right="-105"/>
              <w:jc w:val="center"/>
              <w:rPr>
                <w:rFonts w:cs="Arial"/>
              </w:rPr>
            </w:pPr>
            <w:r w:rsidRPr="00942C19">
              <w:rPr>
                <w:rFonts w:cs="Arial"/>
              </w:rPr>
              <w:t>Rs. 240 / kVA / month</w:t>
            </w:r>
          </w:p>
        </w:tc>
      </w:tr>
      <w:tr w:rsidR="00C802EE" w:rsidRPr="00942C19" w:rsidTr="00C652DB">
        <w:tc>
          <w:tcPr>
            <w:tcW w:w="2268" w:type="dxa"/>
          </w:tcPr>
          <w:p w:rsidR="00C802EE" w:rsidRPr="00942C19" w:rsidRDefault="00C802EE" w:rsidP="00C652DB">
            <w:pPr>
              <w:ind w:right="-105"/>
              <w:rPr>
                <w:rFonts w:cs="Arial"/>
              </w:rPr>
            </w:pPr>
            <w:r w:rsidRPr="00942C19">
              <w:rPr>
                <w:rFonts w:cs="Arial"/>
              </w:rPr>
              <w:t xml:space="preserve">Energy Charges </w:t>
            </w:r>
          </w:p>
        </w:tc>
        <w:tc>
          <w:tcPr>
            <w:tcW w:w="2430" w:type="dxa"/>
          </w:tcPr>
          <w:p w:rsidR="00C802EE" w:rsidRPr="00942C19" w:rsidRDefault="00C802EE" w:rsidP="00C652DB">
            <w:pPr>
              <w:ind w:right="-105"/>
              <w:jc w:val="center"/>
              <w:rPr>
                <w:rFonts w:cs="Arial"/>
              </w:rPr>
            </w:pPr>
            <w:r w:rsidRPr="00942C19">
              <w:rPr>
                <w:rFonts w:cs="Arial"/>
              </w:rPr>
              <w:t>Rs. 6.00 / kVAh</w:t>
            </w:r>
          </w:p>
        </w:tc>
        <w:tc>
          <w:tcPr>
            <w:tcW w:w="2970" w:type="dxa"/>
          </w:tcPr>
          <w:p w:rsidR="00C802EE" w:rsidRPr="00942C19" w:rsidRDefault="00C802EE" w:rsidP="00C652DB">
            <w:pPr>
              <w:ind w:right="-105"/>
              <w:jc w:val="center"/>
              <w:rPr>
                <w:rFonts w:cs="Arial"/>
              </w:rPr>
            </w:pPr>
            <w:r w:rsidRPr="00942C19">
              <w:rPr>
                <w:rFonts w:cs="Arial"/>
              </w:rPr>
              <w:t>Rs. 5.80 / kVAh</w:t>
            </w:r>
          </w:p>
        </w:tc>
      </w:tr>
    </w:tbl>
    <w:p w:rsidR="00C802EE" w:rsidRPr="00942C19" w:rsidRDefault="00C802EE" w:rsidP="00C802EE">
      <w:pPr>
        <w:pStyle w:val="BodyText"/>
        <w:spacing w:before="100" w:beforeAutospacing="1" w:after="100" w:afterAutospacing="1" w:line="288" w:lineRule="auto"/>
        <w:ind w:right="-61"/>
        <w:jc w:val="left"/>
        <w:rPr>
          <w:rFonts w:cs="Arial"/>
          <w:b/>
        </w:rPr>
      </w:pPr>
    </w:p>
    <w:p w:rsidR="00C802EE" w:rsidRPr="00942C19" w:rsidRDefault="00C802EE" w:rsidP="00C802EE">
      <w:pPr>
        <w:pStyle w:val="BodyText"/>
        <w:spacing w:before="100" w:beforeAutospacing="1" w:after="100" w:afterAutospacing="1" w:line="288" w:lineRule="auto"/>
        <w:ind w:right="-61"/>
        <w:jc w:val="left"/>
        <w:rPr>
          <w:rFonts w:cs="Arial"/>
          <w:b/>
        </w:rPr>
      </w:pPr>
    </w:p>
    <w:p w:rsidR="00C802EE" w:rsidRPr="00942C19" w:rsidRDefault="00C802EE" w:rsidP="00C802EE">
      <w:pPr>
        <w:pStyle w:val="BodyText"/>
        <w:spacing w:before="100" w:beforeAutospacing="1" w:after="100" w:afterAutospacing="1" w:line="288" w:lineRule="auto"/>
        <w:ind w:right="-61"/>
        <w:jc w:val="center"/>
        <w:rPr>
          <w:rFonts w:cs="Arial"/>
          <w:b/>
          <w:szCs w:val="22"/>
          <w:u w:val="single"/>
        </w:rPr>
      </w:pPr>
      <w:r w:rsidRPr="00942C19">
        <w:rPr>
          <w:rFonts w:cs="Arial"/>
          <w:b/>
        </w:rPr>
        <w:br w:type="page"/>
      </w:r>
      <w:r w:rsidRPr="00942C19">
        <w:rPr>
          <w:rFonts w:cs="Arial"/>
          <w:b/>
          <w:szCs w:val="22"/>
          <w:u w:val="single"/>
        </w:rPr>
        <w:t>RATE SCHEDULE HV– 2:</w:t>
      </w:r>
    </w:p>
    <w:p w:rsidR="00C802EE" w:rsidRPr="00942C19" w:rsidRDefault="00C802EE" w:rsidP="00C802EE">
      <w:pPr>
        <w:spacing w:before="100" w:beforeAutospacing="1" w:after="100" w:afterAutospacing="1"/>
        <w:ind w:right="29"/>
        <w:jc w:val="center"/>
        <w:rPr>
          <w:rFonts w:cs="Arial"/>
          <w:b/>
          <w:szCs w:val="22"/>
        </w:rPr>
      </w:pPr>
      <w:r w:rsidRPr="00942C19">
        <w:rPr>
          <w:rFonts w:cs="Arial"/>
          <w:b/>
          <w:szCs w:val="22"/>
        </w:rPr>
        <w:t>LARGE AND HEAVY POWER:</w:t>
      </w:r>
    </w:p>
    <w:p w:rsidR="00C802EE" w:rsidRPr="00942C19" w:rsidRDefault="00C802EE" w:rsidP="00A818DC">
      <w:pPr>
        <w:numPr>
          <w:ilvl w:val="0"/>
          <w:numId w:val="84"/>
        </w:numPr>
        <w:tabs>
          <w:tab w:val="clear" w:pos="720"/>
          <w:tab w:val="left" w:pos="360"/>
        </w:tabs>
        <w:spacing w:before="100" w:beforeAutospacing="1" w:after="100" w:afterAutospacing="1" w:line="288" w:lineRule="auto"/>
        <w:ind w:right="28" w:hanging="720"/>
        <w:rPr>
          <w:rFonts w:cs="Arial"/>
          <w:b/>
        </w:rPr>
      </w:pPr>
      <w:r w:rsidRPr="00942C19">
        <w:rPr>
          <w:rFonts w:cs="Arial"/>
          <w:b/>
        </w:rPr>
        <w:t>APPLICABILITY:</w:t>
      </w:r>
    </w:p>
    <w:p w:rsidR="00C802EE" w:rsidRPr="00942C19" w:rsidRDefault="00C802EE" w:rsidP="00C802EE">
      <w:pPr>
        <w:tabs>
          <w:tab w:val="left" w:pos="360"/>
        </w:tabs>
        <w:spacing w:before="100" w:after="120"/>
        <w:ind w:left="360" w:right="28"/>
      </w:pPr>
      <w:r w:rsidRPr="00942C19">
        <w:t xml:space="preserve">This rate schedule shall apply to all consumers having contracted load above 75 kW (100 BHP) for industrial and / or processing purposes as well as to Arc / induction furnaces, rolling / re-rolling mills, mini-steel plants and floriculture &amp; farming units and to any other HT consumer not covered under any other rate schedule. </w:t>
      </w:r>
    </w:p>
    <w:p w:rsidR="00C802EE" w:rsidRPr="00942C19" w:rsidRDefault="00C802EE" w:rsidP="00C802EE">
      <w:pPr>
        <w:tabs>
          <w:tab w:val="left" w:pos="360"/>
        </w:tabs>
        <w:spacing w:before="100" w:after="120"/>
        <w:ind w:left="360" w:right="28"/>
      </w:pPr>
      <w:r w:rsidRPr="00942C19">
        <w:t>Supply to Induction and Arc furnaces shall be made available only after ensuring that the loads sanctioned are corresponding to the load requirement of tonnage of furnaces. The minimum load of one-ton furnace shall in no case be less than 4</w:t>
      </w:r>
      <w:r w:rsidRPr="00942C19">
        <w:rPr>
          <w:szCs w:val="22"/>
        </w:rPr>
        <w:t xml:space="preserve">00 </w:t>
      </w:r>
      <w:r w:rsidRPr="00942C19">
        <w:t xml:space="preserve">kVA and all loads will be determined on this basis. No supply will be given on loads below this norm. </w:t>
      </w:r>
    </w:p>
    <w:p w:rsidR="00C802EE" w:rsidRPr="00942C19" w:rsidRDefault="00C802EE" w:rsidP="00C802EE">
      <w:pPr>
        <w:tabs>
          <w:tab w:val="left" w:pos="360"/>
        </w:tabs>
        <w:spacing w:before="100"/>
        <w:ind w:left="360" w:right="-61"/>
      </w:pPr>
      <w:r w:rsidRPr="00942C19">
        <w:t xml:space="preserve">For all HV-2 consumers, conditions of supply, apart from the rates, as agreed between the </w:t>
      </w:r>
      <w:r w:rsidR="009A3804" w:rsidRPr="00942C19">
        <w:t>Licensee</w:t>
      </w:r>
      <w:r w:rsidRPr="00942C19">
        <w:t xml:space="preserve"> and the consumer shall continue to prevail as long as they are in line with the existing Regulations &amp; Acts.</w:t>
      </w:r>
    </w:p>
    <w:p w:rsidR="00C802EE" w:rsidRPr="00942C19" w:rsidRDefault="00C802EE" w:rsidP="00C802EE">
      <w:pPr>
        <w:tabs>
          <w:tab w:val="left" w:pos="360"/>
        </w:tabs>
        <w:spacing w:before="100"/>
        <w:ind w:left="360" w:right="-61"/>
      </w:pPr>
    </w:p>
    <w:p w:rsidR="00C802EE" w:rsidRPr="00942C19" w:rsidRDefault="00C802EE" w:rsidP="00A818DC">
      <w:pPr>
        <w:numPr>
          <w:ilvl w:val="0"/>
          <w:numId w:val="84"/>
        </w:numPr>
        <w:tabs>
          <w:tab w:val="clear" w:pos="720"/>
        </w:tabs>
        <w:spacing w:before="100" w:after="100" w:line="288" w:lineRule="auto"/>
        <w:ind w:left="360" w:right="28" w:hanging="363"/>
        <w:rPr>
          <w:b/>
        </w:rPr>
      </w:pPr>
      <w:r w:rsidRPr="00942C19">
        <w:rPr>
          <w:b/>
        </w:rPr>
        <w:t xml:space="preserve">CHARACTER AND POINT OF SUPPLY: </w:t>
      </w:r>
    </w:p>
    <w:p w:rsidR="00C802EE" w:rsidRPr="00942C19" w:rsidRDefault="00C802EE" w:rsidP="00C802EE">
      <w:pPr>
        <w:spacing w:line="240" w:lineRule="auto"/>
        <w:ind w:right="-58" w:firstLine="360"/>
        <w:rPr>
          <w:szCs w:val="22"/>
        </w:rPr>
      </w:pPr>
      <w:r w:rsidRPr="00942C19">
        <w:rPr>
          <w:szCs w:val="22"/>
        </w:rPr>
        <w:t>As per the applicable provisions of Electricity Supply Code.</w:t>
      </w:r>
    </w:p>
    <w:p w:rsidR="00C802EE" w:rsidRPr="00942C19" w:rsidRDefault="00C802EE" w:rsidP="00C802EE">
      <w:pPr>
        <w:spacing w:line="240" w:lineRule="auto"/>
        <w:ind w:right="-58" w:firstLine="360"/>
        <w:rPr>
          <w:rFonts w:cs="Arial"/>
          <w:szCs w:val="22"/>
        </w:rPr>
      </w:pPr>
    </w:p>
    <w:p w:rsidR="00C802EE" w:rsidRPr="00942C19" w:rsidRDefault="00C802EE" w:rsidP="00A818DC">
      <w:pPr>
        <w:pStyle w:val="BodyText"/>
        <w:numPr>
          <w:ilvl w:val="0"/>
          <w:numId w:val="84"/>
        </w:numPr>
        <w:tabs>
          <w:tab w:val="clear" w:pos="720"/>
        </w:tabs>
        <w:spacing w:before="100" w:beforeAutospacing="1" w:after="0" w:line="288" w:lineRule="auto"/>
        <w:ind w:left="360" w:right="29" w:hanging="363"/>
        <w:rPr>
          <w:rFonts w:cs="Arial"/>
          <w:b/>
        </w:rPr>
      </w:pPr>
      <w:r w:rsidRPr="00942C19">
        <w:rPr>
          <w:rFonts w:cs="Arial"/>
          <w:b/>
        </w:rPr>
        <w:t>RATE:</w:t>
      </w:r>
    </w:p>
    <w:p w:rsidR="00C802EE" w:rsidRPr="00942C19" w:rsidRDefault="00C802EE" w:rsidP="00C802EE">
      <w:pPr>
        <w:ind w:left="360" w:right="29"/>
      </w:pPr>
      <w:r w:rsidRPr="00942C19">
        <w:t>Rate, gives the demand and energy charges (including the TOD rates as applicable to the hour of operation) at which the consumer shall be billed for his consumption during the billing period applicable to the category:</w:t>
      </w:r>
    </w:p>
    <w:p w:rsidR="00C802EE" w:rsidRPr="00942C19" w:rsidRDefault="00C802EE" w:rsidP="00C802EE">
      <w:pPr>
        <w:spacing w:line="240" w:lineRule="auto"/>
        <w:jc w:val="left"/>
      </w:pPr>
      <w:r w:rsidRPr="00942C19">
        <w:br w:type="page"/>
      </w:r>
    </w:p>
    <w:p w:rsidR="00C802EE" w:rsidRPr="00942C19" w:rsidRDefault="00C802EE" w:rsidP="00C802EE">
      <w:pPr>
        <w:tabs>
          <w:tab w:val="left" w:pos="540"/>
        </w:tabs>
        <w:ind w:left="360" w:right="29"/>
        <w:rPr>
          <w:b/>
          <w:bCs/>
          <w:u w:val="single"/>
        </w:rPr>
      </w:pPr>
      <w:r w:rsidRPr="00942C19">
        <w:rPr>
          <w:b/>
          <w:bCs/>
        </w:rPr>
        <w:t>(A)</w:t>
      </w:r>
      <w:r w:rsidRPr="00942C19">
        <w:rPr>
          <w:b/>
          <w:bCs/>
        </w:rPr>
        <w:tab/>
        <w:t>Urban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1503"/>
        <w:gridCol w:w="1653"/>
        <w:gridCol w:w="1954"/>
        <w:gridCol w:w="1952"/>
      </w:tblGrid>
      <w:tr w:rsidR="00C802EE" w:rsidRPr="00942C19" w:rsidTr="00C652DB">
        <w:trPr>
          <w:trHeight w:val="710"/>
          <w:tblHeader/>
        </w:trPr>
        <w:tc>
          <w:tcPr>
            <w:tcW w:w="1057" w:type="pct"/>
            <w:shd w:val="pct12" w:color="auto" w:fill="auto"/>
          </w:tcPr>
          <w:p w:rsidR="00C802EE" w:rsidRPr="00942C19" w:rsidRDefault="00C802EE" w:rsidP="00C652DB">
            <w:pPr>
              <w:ind w:right="-105"/>
              <w:jc w:val="center"/>
              <w:rPr>
                <w:b/>
                <w:bCs/>
              </w:rPr>
            </w:pPr>
          </w:p>
        </w:tc>
        <w:tc>
          <w:tcPr>
            <w:tcW w:w="839" w:type="pct"/>
            <w:shd w:val="pct12" w:color="auto" w:fill="auto"/>
          </w:tcPr>
          <w:p w:rsidR="00C802EE" w:rsidRPr="00942C19" w:rsidRDefault="00C802EE" w:rsidP="00C652DB">
            <w:pPr>
              <w:ind w:right="-105"/>
              <w:jc w:val="center"/>
              <w:rPr>
                <w:b/>
                <w:bCs/>
              </w:rPr>
            </w:pPr>
            <w:r w:rsidRPr="00942C19">
              <w:rPr>
                <w:rFonts w:cs="Arial"/>
                <w:b/>
                <w:bCs/>
              </w:rPr>
              <w:t>For supply at 11 kV</w:t>
            </w:r>
          </w:p>
        </w:tc>
        <w:tc>
          <w:tcPr>
            <w:tcW w:w="923" w:type="pct"/>
            <w:shd w:val="pct12" w:color="auto" w:fill="auto"/>
          </w:tcPr>
          <w:p w:rsidR="00C802EE" w:rsidRPr="00942C19" w:rsidRDefault="00C802EE" w:rsidP="00C652DB">
            <w:pPr>
              <w:ind w:right="72"/>
              <w:jc w:val="center"/>
              <w:rPr>
                <w:b/>
                <w:bCs/>
              </w:rPr>
            </w:pPr>
            <w:r w:rsidRPr="00942C19">
              <w:rPr>
                <w:rFonts w:cs="Arial"/>
                <w:b/>
                <w:bCs/>
              </w:rPr>
              <w:t xml:space="preserve">For supply above 11 kV and </w:t>
            </w:r>
            <w:r w:rsidR="00D31494" w:rsidRPr="00942C19">
              <w:rPr>
                <w:rFonts w:cs="Arial"/>
                <w:b/>
                <w:bCs/>
              </w:rPr>
              <w:t>up to</w:t>
            </w:r>
            <w:r w:rsidRPr="00942C19">
              <w:rPr>
                <w:rFonts w:cs="Arial"/>
                <w:b/>
                <w:bCs/>
              </w:rPr>
              <w:t xml:space="preserve"> &amp; including 66 kV</w:t>
            </w:r>
          </w:p>
        </w:tc>
        <w:tc>
          <w:tcPr>
            <w:tcW w:w="1091" w:type="pct"/>
            <w:shd w:val="pct12" w:color="auto" w:fill="auto"/>
          </w:tcPr>
          <w:p w:rsidR="00C802EE" w:rsidRPr="00942C19" w:rsidRDefault="00C802EE" w:rsidP="00C652DB">
            <w:pPr>
              <w:ind w:right="72"/>
              <w:jc w:val="center"/>
              <w:rPr>
                <w:b/>
                <w:bCs/>
              </w:rPr>
            </w:pPr>
            <w:r w:rsidRPr="00942C19">
              <w:rPr>
                <w:rFonts w:cs="Arial"/>
                <w:b/>
                <w:bCs/>
              </w:rPr>
              <w:t xml:space="preserve">For supply above 66 kV and </w:t>
            </w:r>
            <w:r w:rsidR="00D31494" w:rsidRPr="00942C19">
              <w:rPr>
                <w:rFonts w:cs="Arial"/>
                <w:b/>
                <w:bCs/>
              </w:rPr>
              <w:t>up to</w:t>
            </w:r>
            <w:r w:rsidRPr="00942C19">
              <w:rPr>
                <w:rFonts w:cs="Arial"/>
                <w:b/>
                <w:bCs/>
              </w:rPr>
              <w:t xml:space="preserve"> &amp; including 132 kV</w:t>
            </w:r>
          </w:p>
        </w:tc>
        <w:tc>
          <w:tcPr>
            <w:tcW w:w="1090" w:type="pct"/>
            <w:shd w:val="pct12" w:color="auto" w:fill="auto"/>
          </w:tcPr>
          <w:p w:rsidR="00C802EE" w:rsidRPr="00942C19" w:rsidRDefault="00C802EE" w:rsidP="00C652DB">
            <w:pPr>
              <w:ind w:right="72"/>
              <w:jc w:val="center"/>
              <w:rPr>
                <w:rFonts w:cs="Arial"/>
                <w:b/>
                <w:bCs/>
              </w:rPr>
            </w:pPr>
            <w:r w:rsidRPr="00942C19">
              <w:rPr>
                <w:rFonts w:cs="Arial"/>
                <w:b/>
                <w:bCs/>
              </w:rPr>
              <w:t xml:space="preserve">For supply above 132 kV </w:t>
            </w:r>
          </w:p>
        </w:tc>
      </w:tr>
      <w:tr w:rsidR="00C802EE" w:rsidRPr="00942C19" w:rsidTr="00C652DB">
        <w:tc>
          <w:tcPr>
            <w:tcW w:w="3910" w:type="pct"/>
            <w:gridSpan w:val="4"/>
          </w:tcPr>
          <w:p w:rsidR="00C802EE" w:rsidRPr="00942C19" w:rsidRDefault="00C802EE" w:rsidP="00C652DB">
            <w:pPr>
              <w:ind w:right="-105"/>
              <w:rPr>
                <w:rFonts w:cs="Arial"/>
                <w:b/>
                <w:bCs/>
              </w:rPr>
            </w:pPr>
            <w:r w:rsidRPr="00942C19">
              <w:rPr>
                <w:b/>
                <w:bCs/>
              </w:rPr>
              <w:t>BASE RATE</w:t>
            </w:r>
          </w:p>
        </w:tc>
        <w:tc>
          <w:tcPr>
            <w:tcW w:w="1090" w:type="pct"/>
          </w:tcPr>
          <w:p w:rsidR="00C802EE" w:rsidRPr="00942C19" w:rsidRDefault="00C802EE" w:rsidP="00C652DB">
            <w:pPr>
              <w:ind w:right="-105"/>
              <w:rPr>
                <w:b/>
                <w:bCs/>
              </w:rPr>
            </w:pPr>
          </w:p>
        </w:tc>
      </w:tr>
      <w:tr w:rsidR="00C802EE" w:rsidRPr="00942C19" w:rsidTr="00C652DB">
        <w:tc>
          <w:tcPr>
            <w:tcW w:w="1057" w:type="pct"/>
          </w:tcPr>
          <w:p w:rsidR="00C802EE" w:rsidRPr="00942C19" w:rsidRDefault="00C802EE" w:rsidP="00C652DB">
            <w:pPr>
              <w:ind w:right="-105"/>
            </w:pPr>
            <w:r w:rsidRPr="00942C19">
              <w:t xml:space="preserve">Demand Charges </w:t>
            </w:r>
          </w:p>
        </w:tc>
        <w:tc>
          <w:tcPr>
            <w:tcW w:w="839" w:type="pct"/>
          </w:tcPr>
          <w:p w:rsidR="00C802EE" w:rsidRPr="00942C19" w:rsidRDefault="00C802EE" w:rsidP="00C652DB">
            <w:pPr>
              <w:ind w:right="-105"/>
              <w:jc w:val="center"/>
            </w:pPr>
            <w:r w:rsidRPr="00942C19">
              <w:rPr>
                <w:rFonts w:cs="Arial"/>
              </w:rPr>
              <w:t>Rs. 250 / kVA / month</w:t>
            </w:r>
          </w:p>
        </w:tc>
        <w:tc>
          <w:tcPr>
            <w:tcW w:w="923" w:type="pct"/>
          </w:tcPr>
          <w:p w:rsidR="00C802EE" w:rsidRPr="00942C19" w:rsidRDefault="00C802EE" w:rsidP="00C652DB">
            <w:pPr>
              <w:ind w:right="-105"/>
              <w:jc w:val="center"/>
            </w:pPr>
            <w:r w:rsidRPr="00942C19">
              <w:rPr>
                <w:rFonts w:cs="Arial"/>
              </w:rPr>
              <w:t>Rs. 240 / kVA / month</w:t>
            </w:r>
          </w:p>
        </w:tc>
        <w:tc>
          <w:tcPr>
            <w:tcW w:w="1091" w:type="pct"/>
          </w:tcPr>
          <w:p w:rsidR="00C802EE" w:rsidRPr="00942C19" w:rsidRDefault="00C802EE" w:rsidP="00C652DB">
            <w:pPr>
              <w:ind w:right="-105"/>
              <w:jc w:val="center"/>
            </w:pPr>
            <w:r w:rsidRPr="00942C19">
              <w:rPr>
                <w:rFonts w:cs="Arial"/>
              </w:rPr>
              <w:t>Rs. 220 / kVA / month</w:t>
            </w:r>
          </w:p>
        </w:tc>
        <w:tc>
          <w:tcPr>
            <w:tcW w:w="1090" w:type="pct"/>
          </w:tcPr>
          <w:p w:rsidR="00C802EE" w:rsidRPr="00942C19" w:rsidRDefault="00C802EE" w:rsidP="00C652DB">
            <w:pPr>
              <w:ind w:right="-105"/>
              <w:jc w:val="center"/>
            </w:pPr>
            <w:r w:rsidRPr="00942C19">
              <w:rPr>
                <w:rFonts w:cs="Arial"/>
              </w:rPr>
              <w:t>Rs. 220 / kVA / month</w:t>
            </w:r>
          </w:p>
        </w:tc>
      </w:tr>
      <w:tr w:rsidR="00C802EE" w:rsidRPr="00942C19" w:rsidTr="00C652DB">
        <w:tc>
          <w:tcPr>
            <w:tcW w:w="1057" w:type="pct"/>
          </w:tcPr>
          <w:p w:rsidR="00C802EE" w:rsidRPr="00942C19" w:rsidRDefault="00C802EE" w:rsidP="00C652DB">
            <w:pPr>
              <w:ind w:right="-105"/>
            </w:pPr>
            <w:r w:rsidRPr="00942C19">
              <w:t xml:space="preserve">Energy Charges </w:t>
            </w:r>
          </w:p>
        </w:tc>
        <w:tc>
          <w:tcPr>
            <w:tcW w:w="839" w:type="pct"/>
          </w:tcPr>
          <w:p w:rsidR="00C802EE" w:rsidRPr="00942C19" w:rsidRDefault="00C802EE" w:rsidP="00C652DB">
            <w:pPr>
              <w:ind w:right="-105"/>
              <w:jc w:val="center"/>
            </w:pPr>
            <w:r w:rsidRPr="00942C19">
              <w:rPr>
                <w:rFonts w:cs="Arial"/>
              </w:rPr>
              <w:t>Rs. 5.90 / kVAh</w:t>
            </w:r>
          </w:p>
        </w:tc>
        <w:tc>
          <w:tcPr>
            <w:tcW w:w="923" w:type="pct"/>
          </w:tcPr>
          <w:p w:rsidR="00C802EE" w:rsidRPr="00942C19" w:rsidRDefault="00C802EE" w:rsidP="00C652DB">
            <w:pPr>
              <w:ind w:right="-105"/>
              <w:jc w:val="center"/>
            </w:pPr>
            <w:r w:rsidRPr="00942C19">
              <w:rPr>
                <w:rFonts w:cs="Arial"/>
              </w:rPr>
              <w:t>Rs. 5.60 / kVAh</w:t>
            </w:r>
          </w:p>
        </w:tc>
        <w:tc>
          <w:tcPr>
            <w:tcW w:w="1091" w:type="pct"/>
          </w:tcPr>
          <w:p w:rsidR="00C802EE" w:rsidRPr="00942C19" w:rsidRDefault="00C802EE" w:rsidP="00C652DB">
            <w:pPr>
              <w:ind w:right="-105"/>
              <w:jc w:val="center"/>
            </w:pPr>
            <w:r w:rsidRPr="00942C19">
              <w:rPr>
                <w:rFonts w:cs="Arial"/>
              </w:rPr>
              <w:t>Rs. 5.40 / kVAh</w:t>
            </w:r>
          </w:p>
        </w:tc>
        <w:tc>
          <w:tcPr>
            <w:tcW w:w="1090" w:type="pct"/>
          </w:tcPr>
          <w:p w:rsidR="00C802EE" w:rsidRPr="00942C19" w:rsidRDefault="00C802EE" w:rsidP="00C652DB">
            <w:pPr>
              <w:ind w:right="-105"/>
              <w:jc w:val="center"/>
            </w:pPr>
            <w:r w:rsidRPr="00942C19">
              <w:rPr>
                <w:rFonts w:cs="Arial"/>
              </w:rPr>
              <w:t>Rs. 5.20 / kVAh</w:t>
            </w:r>
          </w:p>
        </w:tc>
      </w:tr>
      <w:tr w:rsidR="00C802EE" w:rsidRPr="00942C19" w:rsidTr="00C652DB">
        <w:tc>
          <w:tcPr>
            <w:tcW w:w="3910" w:type="pct"/>
            <w:gridSpan w:val="4"/>
          </w:tcPr>
          <w:p w:rsidR="00C802EE" w:rsidRPr="00942C19" w:rsidRDefault="00C802EE" w:rsidP="00C652DB">
            <w:pPr>
              <w:ind w:right="-105"/>
              <w:rPr>
                <w:b/>
                <w:bCs/>
              </w:rPr>
            </w:pPr>
            <w:r w:rsidRPr="00942C19">
              <w:rPr>
                <w:b/>
                <w:bCs/>
              </w:rPr>
              <w:t xml:space="preserve">TOD RATE </w:t>
            </w:r>
          </w:p>
        </w:tc>
        <w:tc>
          <w:tcPr>
            <w:tcW w:w="1090" w:type="pct"/>
          </w:tcPr>
          <w:p w:rsidR="00C802EE" w:rsidRPr="00942C19" w:rsidRDefault="00C802EE" w:rsidP="00C652DB">
            <w:pPr>
              <w:ind w:right="-105"/>
              <w:rPr>
                <w:b/>
                <w:bCs/>
              </w:rPr>
            </w:pPr>
          </w:p>
        </w:tc>
      </w:tr>
      <w:tr w:rsidR="00C802EE" w:rsidRPr="00942C19" w:rsidTr="00C652DB">
        <w:tc>
          <w:tcPr>
            <w:tcW w:w="1057" w:type="pct"/>
          </w:tcPr>
          <w:p w:rsidR="00C802EE" w:rsidRPr="00942C19" w:rsidRDefault="00C802EE" w:rsidP="00C652DB">
            <w:pPr>
              <w:pStyle w:val="BlockText"/>
              <w:spacing w:line="288" w:lineRule="auto"/>
              <w:ind w:left="0" w:right="-105" w:firstLine="0"/>
              <w:rPr>
                <w:rFonts w:ascii="Calibri" w:hAnsi="Calibri" w:cs="Arial"/>
                <w:bCs/>
                <w:szCs w:val="24"/>
                <w:lang w:val="en-GB"/>
              </w:rPr>
            </w:pPr>
            <w:r w:rsidRPr="00942C19">
              <w:rPr>
                <w:rFonts w:ascii="Calibri" w:hAnsi="Calibri" w:cs="Arial"/>
                <w:bCs/>
                <w:szCs w:val="24"/>
                <w:lang w:val="en-GB"/>
              </w:rPr>
              <w:t>22:00 hrs – 06:00 hrs</w:t>
            </w:r>
          </w:p>
        </w:tc>
        <w:tc>
          <w:tcPr>
            <w:tcW w:w="839" w:type="pct"/>
          </w:tcPr>
          <w:p w:rsidR="00C802EE" w:rsidRPr="00942C19" w:rsidRDefault="00C802EE" w:rsidP="00C652DB">
            <w:pPr>
              <w:pStyle w:val="BodyText"/>
              <w:spacing w:line="288" w:lineRule="auto"/>
              <w:ind w:right="-105"/>
              <w:jc w:val="center"/>
              <w:rPr>
                <w:rFonts w:cs="Arial"/>
                <w:bCs/>
              </w:rPr>
            </w:pPr>
            <w:r w:rsidRPr="00942C19">
              <w:rPr>
                <w:rFonts w:cs="Arial"/>
                <w:bCs/>
              </w:rPr>
              <w:t>(-) 7.5%</w:t>
            </w:r>
          </w:p>
        </w:tc>
        <w:tc>
          <w:tcPr>
            <w:tcW w:w="923" w:type="pct"/>
          </w:tcPr>
          <w:p w:rsidR="00C802EE" w:rsidRPr="00942C19" w:rsidRDefault="00C802EE" w:rsidP="00C652DB">
            <w:pPr>
              <w:pStyle w:val="BodyText"/>
              <w:spacing w:line="288" w:lineRule="auto"/>
              <w:ind w:right="-105"/>
              <w:jc w:val="center"/>
              <w:rPr>
                <w:rFonts w:cs="Arial"/>
              </w:rPr>
            </w:pPr>
            <w:r w:rsidRPr="00942C19">
              <w:rPr>
                <w:rFonts w:cs="Arial"/>
                <w:bCs/>
              </w:rPr>
              <w:t>(-) 7.5%</w:t>
            </w:r>
          </w:p>
        </w:tc>
        <w:tc>
          <w:tcPr>
            <w:tcW w:w="1091" w:type="pct"/>
          </w:tcPr>
          <w:p w:rsidR="00C802EE" w:rsidRPr="00942C19" w:rsidRDefault="00C802EE" w:rsidP="00C652DB">
            <w:pPr>
              <w:pStyle w:val="BodyText"/>
              <w:spacing w:line="288" w:lineRule="auto"/>
              <w:ind w:right="-105"/>
              <w:jc w:val="center"/>
              <w:rPr>
                <w:rFonts w:cs="Arial"/>
              </w:rPr>
            </w:pPr>
            <w:r w:rsidRPr="00942C19">
              <w:rPr>
                <w:rFonts w:cs="Arial"/>
                <w:bCs/>
              </w:rPr>
              <w:t>(-) 7.5%</w:t>
            </w:r>
          </w:p>
        </w:tc>
        <w:tc>
          <w:tcPr>
            <w:tcW w:w="1090" w:type="pct"/>
          </w:tcPr>
          <w:p w:rsidR="00C802EE" w:rsidRPr="00942C19" w:rsidRDefault="00C802EE" w:rsidP="00C652DB">
            <w:pPr>
              <w:pStyle w:val="BodyText"/>
              <w:spacing w:line="288" w:lineRule="auto"/>
              <w:ind w:right="-105"/>
              <w:jc w:val="center"/>
              <w:rPr>
                <w:rFonts w:cs="Arial"/>
              </w:rPr>
            </w:pPr>
            <w:r w:rsidRPr="00942C19">
              <w:rPr>
                <w:rFonts w:cs="Arial"/>
                <w:bCs/>
              </w:rPr>
              <w:t>(-) 7.5%</w:t>
            </w:r>
          </w:p>
        </w:tc>
      </w:tr>
      <w:tr w:rsidR="00C802EE" w:rsidRPr="00942C19" w:rsidTr="00C652DB">
        <w:tc>
          <w:tcPr>
            <w:tcW w:w="1057" w:type="pct"/>
          </w:tcPr>
          <w:p w:rsidR="00C802EE" w:rsidRPr="00942C19" w:rsidRDefault="00C802EE" w:rsidP="00C652DB">
            <w:pPr>
              <w:pStyle w:val="BlockText"/>
              <w:spacing w:line="288" w:lineRule="auto"/>
              <w:ind w:left="0" w:right="-105" w:firstLine="0"/>
              <w:rPr>
                <w:rFonts w:ascii="Calibri" w:hAnsi="Calibri" w:cs="Arial"/>
                <w:bCs/>
                <w:szCs w:val="24"/>
                <w:lang w:val="en-GB"/>
              </w:rPr>
            </w:pPr>
            <w:r w:rsidRPr="00942C19">
              <w:rPr>
                <w:rFonts w:ascii="Calibri" w:hAnsi="Calibri" w:cs="Arial"/>
                <w:bCs/>
                <w:szCs w:val="24"/>
                <w:lang w:val="en-GB"/>
              </w:rPr>
              <w:t>06:00 hrs – 17:00 hrs</w:t>
            </w:r>
          </w:p>
        </w:tc>
        <w:tc>
          <w:tcPr>
            <w:tcW w:w="839" w:type="pct"/>
          </w:tcPr>
          <w:p w:rsidR="00C802EE" w:rsidRPr="00942C19" w:rsidRDefault="00C802EE" w:rsidP="00C652DB">
            <w:pPr>
              <w:pStyle w:val="BodyText"/>
              <w:spacing w:line="288" w:lineRule="auto"/>
              <w:ind w:right="-105"/>
              <w:jc w:val="center"/>
              <w:rPr>
                <w:rFonts w:cs="Arial"/>
                <w:bCs/>
              </w:rPr>
            </w:pPr>
            <w:r w:rsidRPr="00942C19">
              <w:rPr>
                <w:rFonts w:cs="Arial"/>
                <w:bCs/>
              </w:rPr>
              <w:t>0%</w:t>
            </w:r>
          </w:p>
        </w:tc>
        <w:tc>
          <w:tcPr>
            <w:tcW w:w="923" w:type="pct"/>
          </w:tcPr>
          <w:p w:rsidR="00C802EE" w:rsidRPr="00942C19" w:rsidRDefault="00C802EE" w:rsidP="00C652DB">
            <w:pPr>
              <w:pStyle w:val="BodyText"/>
              <w:spacing w:line="288" w:lineRule="auto"/>
              <w:ind w:right="-105"/>
              <w:jc w:val="center"/>
              <w:rPr>
                <w:rFonts w:cs="Arial"/>
              </w:rPr>
            </w:pPr>
            <w:r w:rsidRPr="00942C19">
              <w:rPr>
                <w:rFonts w:cs="Arial"/>
                <w:bCs/>
              </w:rPr>
              <w:t>0%</w:t>
            </w:r>
          </w:p>
        </w:tc>
        <w:tc>
          <w:tcPr>
            <w:tcW w:w="1091" w:type="pct"/>
          </w:tcPr>
          <w:p w:rsidR="00C802EE" w:rsidRPr="00942C19" w:rsidRDefault="00C802EE" w:rsidP="00C652DB">
            <w:pPr>
              <w:pStyle w:val="BodyText"/>
              <w:spacing w:line="288" w:lineRule="auto"/>
              <w:ind w:right="-105"/>
              <w:jc w:val="center"/>
              <w:rPr>
                <w:rFonts w:cs="Arial"/>
              </w:rPr>
            </w:pPr>
            <w:r w:rsidRPr="00942C19">
              <w:rPr>
                <w:rFonts w:cs="Arial"/>
                <w:bCs/>
              </w:rPr>
              <w:t>0%</w:t>
            </w:r>
          </w:p>
        </w:tc>
        <w:tc>
          <w:tcPr>
            <w:tcW w:w="1090" w:type="pct"/>
          </w:tcPr>
          <w:p w:rsidR="00C802EE" w:rsidRPr="00942C19" w:rsidRDefault="00C802EE" w:rsidP="00C652DB">
            <w:pPr>
              <w:pStyle w:val="BodyText"/>
              <w:spacing w:line="288" w:lineRule="auto"/>
              <w:ind w:right="-105"/>
              <w:jc w:val="center"/>
              <w:rPr>
                <w:rFonts w:cs="Arial"/>
              </w:rPr>
            </w:pPr>
            <w:r w:rsidRPr="00942C19">
              <w:rPr>
                <w:rFonts w:cs="Arial"/>
                <w:bCs/>
              </w:rPr>
              <w:t>0%</w:t>
            </w:r>
          </w:p>
        </w:tc>
      </w:tr>
      <w:tr w:rsidR="00C802EE" w:rsidRPr="00942C19" w:rsidTr="00C652DB">
        <w:trPr>
          <w:trHeight w:val="197"/>
        </w:trPr>
        <w:tc>
          <w:tcPr>
            <w:tcW w:w="1057" w:type="pct"/>
          </w:tcPr>
          <w:p w:rsidR="00C802EE" w:rsidRPr="00942C19" w:rsidRDefault="00C802EE" w:rsidP="00C652DB">
            <w:pPr>
              <w:pStyle w:val="BodyText"/>
              <w:spacing w:line="288" w:lineRule="auto"/>
              <w:ind w:right="-105"/>
              <w:rPr>
                <w:rFonts w:cs="Arial"/>
                <w:bCs/>
              </w:rPr>
            </w:pPr>
            <w:r w:rsidRPr="00942C19">
              <w:rPr>
                <w:rFonts w:cs="Arial"/>
                <w:bCs/>
              </w:rPr>
              <w:t>17:00 hrs – 22:00 hrs</w:t>
            </w:r>
          </w:p>
        </w:tc>
        <w:tc>
          <w:tcPr>
            <w:tcW w:w="839" w:type="pct"/>
          </w:tcPr>
          <w:p w:rsidR="00C802EE" w:rsidRPr="00942C19" w:rsidRDefault="00C802EE" w:rsidP="00C652DB">
            <w:pPr>
              <w:pStyle w:val="BodyText"/>
              <w:spacing w:line="288" w:lineRule="auto"/>
              <w:ind w:right="-105"/>
              <w:jc w:val="center"/>
              <w:rPr>
                <w:rFonts w:cs="Arial"/>
                <w:bCs/>
              </w:rPr>
            </w:pPr>
            <w:r w:rsidRPr="00942C19">
              <w:rPr>
                <w:rFonts w:cs="Arial"/>
                <w:bCs/>
              </w:rPr>
              <w:t>(+) 15%</w:t>
            </w:r>
          </w:p>
        </w:tc>
        <w:tc>
          <w:tcPr>
            <w:tcW w:w="923" w:type="pct"/>
          </w:tcPr>
          <w:p w:rsidR="00C802EE" w:rsidRPr="00942C19" w:rsidRDefault="00C802EE" w:rsidP="00C652DB">
            <w:pPr>
              <w:pStyle w:val="BodyText"/>
              <w:spacing w:line="288" w:lineRule="auto"/>
              <w:ind w:right="-105"/>
              <w:jc w:val="center"/>
              <w:rPr>
                <w:rFonts w:cs="Arial"/>
                <w:bCs/>
              </w:rPr>
            </w:pPr>
            <w:r w:rsidRPr="00942C19">
              <w:rPr>
                <w:rFonts w:cs="Arial"/>
                <w:bCs/>
              </w:rPr>
              <w:t>(+) 15%</w:t>
            </w:r>
          </w:p>
        </w:tc>
        <w:tc>
          <w:tcPr>
            <w:tcW w:w="1091" w:type="pct"/>
          </w:tcPr>
          <w:p w:rsidR="00C802EE" w:rsidRPr="00942C19" w:rsidRDefault="00C802EE" w:rsidP="00C652DB">
            <w:pPr>
              <w:pStyle w:val="BodyText"/>
              <w:spacing w:line="288" w:lineRule="auto"/>
              <w:ind w:right="-105"/>
              <w:jc w:val="center"/>
              <w:rPr>
                <w:rFonts w:cs="Arial"/>
                <w:bCs/>
              </w:rPr>
            </w:pPr>
            <w:r w:rsidRPr="00942C19">
              <w:rPr>
                <w:rFonts w:cs="Arial"/>
                <w:bCs/>
              </w:rPr>
              <w:t>(+) 15%</w:t>
            </w:r>
          </w:p>
        </w:tc>
        <w:tc>
          <w:tcPr>
            <w:tcW w:w="1090" w:type="pct"/>
          </w:tcPr>
          <w:p w:rsidR="00C802EE" w:rsidRPr="00942C19" w:rsidRDefault="00C802EE" w:rsidP="00C652DB">
            <w:pPr>
              <w:pStyle w:val="BodyText"/>
              <w:spacing w:line="288" w:lineRule="auto"/>
              <w:ind w:right="-105"/>
              <w:jc w:val="center"/>
              <w:rPr>
                <w:rFonts w:cs="Arial"/>
                <w:bCs/>
              </w:rPr>
            </w:pPr>
            <w:r w:rsidRPr="00942C19">
              <w:rPr>
                <w:rFonts w:cs="Arial"/>
                <w:bCs/>
              </w:rPr>
              <w:t>(+) 15%</w:t>
            </w:r>
          </w:p>
        </w:tc>
      </w:tr>
    </w:tbl>
    <w:p w:rsidR="00C802EE" w:rsidRPr="00942C19" w:rsidRDefault="00C802EE" w:rsidP="00C802EE">
      <w:pPr>
        <w:tabs>
          <w:tab w:val="left" w:pos="540"/>
        </w:tabs>
        <w:ind w:left="540" w:right="29"/>
        <w:rPr>
          <w:b/>
          <w:bCs/>
        </w:rPr>
      </w:pPr>
    </w:p>
    <w:p w:rsidR="00C802EE" w:rsidRPr="00942C19" w:rsidRDefault="00C802EE" w:rsidP="00C802EE">
      <w:pPr>
        <w:tabs>
          <w:tab w:val="left" w:pos="540"/>
        </w:tabs>
        <w:ind w:left="540" w:right="29"/>
        <w:rPr>
          <w:b/>
          <w:bCs/>
          <w:u w:val="single"/>
        </w:rPr>
      </w:pPr>
      <w:r w:rsidRPr="00942C19">
        <w:rPr>
          <w:b/>
          <w:bCs/>
        </w:rPr>
        <w:t xml:space="preserve"> (B)  Rural Schedule:</w:t>
      </w:r>
    </w:p>
    <w:p w:rsidR="00C802EE" w:rsidRPr="00942C19" w:rsidRDefault="00C802EE" w:rsidP="00C802EE">
      <w:pPr>
        <w:tabs>
          <w:tab w:val="left" w:pos="540"/>
        </w:tabs>
        <w:ind w:left="540" w:right="29"/>
        <w:rPr>
          <w:bCs/>
        </w:rPr>
      </w:pPr>
      <w:r w:rsidRPr="00942C19">
        <w:rPr>
          <w:bCs/>
        </w:rPr>
        <w:t xml:space="preserve">This schedule shall be applicable only to consumers getting supply </w:t>
      </w:r>
      <w:r w:rsidR="00D31494" w:rsidRPr="00942C19">
        <w:rPr>
          <w:bCs/>
        </w:rPr>
        <w:t>up to</w:t>
      </w:r>
      <w:r w:rsidRPr="00942C19">
        <w:rPr>
          <w:bCs/>
        </w:rPr>
        <w:t xml:space="preserve"> 11 kV as per ‘Rural Schedule’. The consumer under this category shall be entitled to a rebate of 15% on demand &amp; energy charges as given for 11 kV consumers under urban schedule without TOD rates.</w:t>
      </w:r>
    </w:p>
    <w:p w:rsidR="00C802EE" w:rsidRPr="00942C19" w:rsidRDefault="00C802EE" w:rsidP="00C802EE">
      <w:pPr>
        <w:tabs>
          <w:tab w:val="left" w:pos="540"/>
        </w:tabs>
        <w:ind w:left="540" w:right="29" w:hanging="540"/>
        <w:rPr>
          <w:b/>
          <w:bCs/>
          <w:i/>
          <w:iCs/>
        </w:rPr>
      </w:pPr>
      <w:r w:rsidRPr="00942C19" w:rsidDel="00A956BC">
        <w:rPr>
          <w:b/>
          <w:bCs/>
          <w:i/>
          <w:iCs/>
        </w:rPr>
        <w:t xml:space="preserve"> </w:t>
      </w:r>
    </w:p>
    <w:p w:rsidR="00C802EE" w:rsidRPr="00942C19" w:rsidRDefault="00C802EE" w:rsidP="00C802EE">
      <w:pPr>
        <w:tabs>
          <w:tab w:val="left" w:pos="540"/>
        </w:tabs>
        <w:ind w:left="1080" w:right="29" w:hanging="540"/>
        <w:rPr>
          <w:b/>
          <w:bCs/>
        </w:rPr>
      </w:pPr>
      <w:r w:rsidRPr="00942C19">
        <w:rPr>
          <w:b/>
          <w:bCs/>
        </w:rPr>
        <w:t>(C)</w:t>
      </w:r>
      <w:r w:rsidRPr="00942C19">
        <w:rPr>
          <w:b/>
          <w:bCs/>
        </w:rPr>
        <w:tab/>
        <w:t>Consumers already existing under HV-2 category with metering arrangement at low voltage:</w:t>
      </w:r>
    </w:p>
    <w:p w:rsidR="00C802EE" w:rsidRPr="00942C19" w:rsidRDefault="00C802EE" w:rsidP="00C802EE">
      <w:pPr>
        <w:tabs>
          <w:tab w:val="left" w:pos="540"/>
        </w:tabs>
        <w:ind w:left="540" w:right="29" w:hanging="540"/>
        <w:rPr>
          <w:bCs/>
        </w:rPr>
      </w:pPr>
      <w:r w:rsidRPr="00942C19">
        <w:rPr>
          <w:b/>
          <w:bCs/>
        </w:rPr>
        <w:tab/>
      </w:r>
      <w:r w:rsidRPr="00942C19">
        <w:rPr>
          <w:rFonts w:cs="Arial"/>
        </w:rPr>
        <w:t xml:space="preserve">Existing consumer under HV-2 with metering at 0.4 kV shall be required to pay as per schedule applicable to 11 kV consumers under HV-2 category. </w:t>
      </w:r>
    </w:p>
    <w:p w:rsidR="00C802EE" w:rsidRPr="00942C19" w:rsidRDefault="00C802EE" w:rsidP="00C802EE">
      <w:pPr>
        <w:spacing w:line="240" w:lineRule="auto"/>
        <w:jc w:val="left"/>
        <w:rPr>
          <w:bCs/>
        </w:rPr>
      </w:pPr>
      <w:r w:rsidRPr="00942C19">
        <w:rPr>
          <w:bCs/>
        </w:rPr>
        <w:br w:type="page"/>
      </w:r>
    </w:p>
    <w:p w:rsidR="00C802EE" w:rsidRPr="00942C19" w:rsidRDefault="00C802EE" w:rsidP="00C802EE">
      <w:pPr>
        <w:tabs>
          <w:tab w:val="left" w:pos="540"/>
        </w:tabs>
        <w:ind w:right="29"/>
        <w:rPr>
          <w:b/>
        </w:rPr>
      </w:pPr>
      <w:r w:rsidRPr="00942C19">
        <w:rPr>
          <w:b/>
        </w:rPr>
        <w:t>4.</w:t>
      </w:r>
      <w:r w:rsidRPr="00942C19">
        <w:rPr>
          <w:b/>
        </w:rPr>
        <w:tab/>
        <w:t xml:space="preserve">PROVISIONS RELATED TO SEASONAL INDUSTRIES: </w:t>
      </w:r>
    </w:p>
    <w:p w:rsidR="00C802EE" w:rsidRPr="00942C19" w:rsidRDefault="00C802EE" w:rsidP="00C802EE">
      <w:pPr>
        <w:spacing w:before="60"/>
        <w:ind w:left="540" w:right="29"/>
      </w:pPr>
      <w:r w:rsidRPr="00942C19">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942C19" w:rsidRDefault="00C802EE" w:rsidP="00A818DC">
      <w:pPr>
        <w:numPr>
          <w:ilvl w:val="0"/>
          <w:numId w:val="83"/>
        </w:numPr>
        <w:spacing w:before="60" w:line="288" w:lineRule="auto"/>
        <w:ind w:right="29"/>
      </w:pPr>
      <w:r w:rsidRPr="00942C19">
        <w:t xml:space="preserve">The continuous period of operation of such industries shall be at least 4 (four) months but not more than 9 (nine) months in a financial year. </w:t>
      </w:r>
    </w:p>
    <w:p w:rsidR="00C802EE" w:rsidRPr="00942C19" w:rsidRDefault="00C802EE" w:rsidP="00A818DC">
      <w:pPr>
        <w:numPr>
          <w:ilvl w:val="0"/>
          <w:numId w:val="83"/>
        </w:numPr>
        <w:spacing w:before="60" w:line="288" w:lineRule="auto"/>
        <w:ind w:right="29"/>
      </w:pPr>
      <w:r w:rsidRPr="00942C19">
        <w:t xml:space="preserve">Any prospective consumer, desirous of availing the seasonal benefit, shall specifically declare his season at the time of submission of declaration / execution of agreement mentioning the period of operation unambiguously. </w:t>
      </w:r>
    </w:p>
    <w:p w:rsidR="00C802EE" w:rsidRPr="00942C19" w:rsidRDefault="00C802EE" w:rsidP="00A818DC">
      <w:pPr>
        <w:numPr>
          <w:ilvl w:val="0"/>
          <w:numId w:val="83"/>
        </w:numPr>
        <w:spacing w:before="60" w:line="288" w:lineRule="auto"/>
        <w:ind w:right="29"/>
      </w:pPr>
      <w:r w:rsidRPr="00942C19">
        <w:t>The seasonal period once notified cannot be reduced during the next consecutive 12 months. The off-season tariff is not applicable to composite units having seasonal and other category loads.</w:t>
      </w:r>
    </w:p>
    <w:p w:rsidR="00C802EE" w:rsidRPr="00942C19" w:rsidRDefault="00C802EE" w:rsidP="00A818DC">
      <w:pPr>
        <w:numPr>
          <w:ilvl w:val="0"/>
          <w:numId w:val="83"/>
        </w:numPr>
        <w:spacing w:before="60" w:line="288" w:lineRule="auto"/>
        <w:ind w:right="29"/>
      </w:pPr>
      <w:r w:rsidRPr="00942C19">
        <w:t xml:space="preserve">The off-season tariff is also not available to those units who have captive generation exclusively for process during season and who avail </w:t>
      </w:r>
      <w:r w:rsidR="009A3804" w:rsidRPr="00942C19">
        <w:t>Licensee</w:t>
      </w:r>
      <w:r w:rsidRPr="00942C19">
        <w:t xml:space="preserve">s supply for miscellaneous loads and other non-process loads.  </w:t>
      </w:r>
    </w:p>
    <w:p w:rsidR="00C802EE" w:rsidRPr="00942C19" w:rsidRDefault="00C802EE" w:rsidP="00A818DC">
      <w:pPr>
        <w:numPr>
          <w:ilvl w:val="0"/>
          <w:numId w:val="83"/>
        </w:numPr>
        <w:spacing w:before="60" w:line="288" w:lineRule="auto"/>
        <w:ind w:right="29"/>
      </w:pPr>
      <w:r w:rsidRPr="00942C19">
        <w:t>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w:t>
      </w:r>
    </w:p>
    <w:p w:rsidR="00C802EE" w:rsidRPr="00942C19" w:rsidRDefault="00C802EE" w:rsidP="00C802EE">
      <w:pPr>
        <w:spacing w:line="240" w:lineRule="auto"/>
        <w:jc w:val="left"/>
      </w:pPr>
      <w:r w:rsidRPr="00942C19">
        <w:br w:type="page"/>
      </w:r>
    </w:p>
    <w:p w:rsidR="00C802EE" w:rsidRPr="00942C19" w:rsidRDefault="00C802EE" w:rsidP="00C802EE">
      <w:pPr>
        <w:tabs>
          <w:tab w:val="left" w:pos="720"/>
        </w:tabs>
        <w:spacing w:before="100" w:after="100"/>
        <w:ind w:right="29"/>
        <w:rPr>
          <w:b/>
        </w:rPr>
      </w:pPr>
      <w:r w:rsidRPr="00942C19">
        <w:rPr>
          <w:b/>
        </w:rPr>
        <w:t>5.</w:t>
      </w:r>
      <w:r w:rsidRPr="00942C19">
        <w:rPr>
          <w:b/>
        </w:rPr>
        <w:tab/>
        <w:t>LOAD FACTOR REBATE:</w:t>
      </w:r>
    </w:p>
    <w:p w:rsidR="00C802EE" w:rsidRPr="00942C19" w:rsidRDefault="00C802EE" w:rsidP="00C802EE">
      <w:pPr>
        <w:tabs>
          <w:tab w:val="left" w:pos="360"/>
        </w:tabs>
        <w:spacing w:before="100" w:after="100"/>
        <w:ind w:left="720" w:right="29"/>
      </w:pPr>
      <w:r w:rsidRPr="00942C19">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942C19" w:rsidTr="00C652DB">
        <w:trPr>
          <w:tblHeader/>
        </w:trPr>
        <w:tc>
          <w:tcPr>
            <w:tcW w:w="3060" w:type="dxa"/>
            <w:shd w:val="pct12" w:color="auto" w:fill="auto"/>
          </w:tcPr>
          <w:p w:rsidR="00C802EE" w:rsidRPr="00942C19" w:rsidRDefault="00C802EE" w:rsidP="00C652DB">
            <w:pPr>
              <w:jc w:val="center"/>
              <w:rPr>
                <w:b/>
              </w:rPr>
            </w:pPr>
            <w:r w:rsidRPr="00942C19">
              <w:rPr>
                <w:b/>
              </w:rPr>
              <w:t>Description</w:t>
            </w:r>
          </w:p>
        </w:tc>
        <w:tc>
          <w:tcPr>
            <w:tcW w:w="5220" w:type="dxa"/>
            <w:shd w:val="pct12" w:color="auto" w:fill="auto"/>
          </w:tcPr>
          <w:p w:rsidR="00C802EE" w:rsidRPr="00942C19" w:rsidRDefault="00C802EE" w:rsidP="00C652DB">
            <w:pPr>
              <w:jc w:val="center"/>
              <w:rPr>
                <w:b/>
              </w:rPr>
            </w:pPr>
            <w:r w:rsidRPr="00942C19">
              <w:rPr>
                <w:b/>
              </w:rPr>
              <w:t>Rebate on Energy charges</w:t>
            </w:r>
          </w:p>
        </w:tc>
      </w:tr>
      <w:tr w:rsidR="00C802EE" w:rsidRPr="00942C19" w:rsidTr="00C652DB">
        <w:tc>
          <w:tcPr>
            <w:tcW w:w="3060" w:type="dxa"/>
          </w:tcPr>
          <w:p w:rsidR="00C802EE" w:rsidRPr="00942C19" w:rsidRDefault="00C802EE" w:rsidP="00C652DB">
            <w:pPr>
              <w:ind w:right="-18"/>
              <w:rPr>
                <w:rFonts w:cs="Arial"/>
              </w:rPr>
            </w:pPr>
            <w:r w:rsidRPr="00942C19">
              <w:rPr>
                <w:rFonts w:cs="Arial"/>
              </w:rPr>
              <w:t>For all consumption over 396 kVAh per kVA up to 432 kVAh per kVA per month</w:t>
            </w:r>
          </w:p>
        </w:tc>
        <w:tc>
          <w:tcPr>
            <w:tcW w:w="5220" w:type="dxa"/>
          </w:tcPr>
          <w:p w:rsidR="00C802EE" w:rsidRPr="00942C19" w:rsidRDefault="00C802EE" w:rsidP="00C652DB">
            <w:pPr>
              <w:jc w:val="center"/>
            </w:pPr>
            <w:r w:rsidRPr="00942C19">
              <w:rPr>
                <w:rFonts w:cs="Arial"/>
              </w:rPr>
              <w:t>7.5% on the consumption over  396 kVAh / kVA / month and up to 432 kVAh / kVA / month</w:t>
            </w:r>
          </w:p>
        </w:tc>
      </w:tr>
      <w:tr w:rsidR="00C802EE" w:rsidRPr="00942C19" w:rsidTr="00C652DB">
        <w:tc>
          <w:tcPr>
            <w:tcW w:w="3060" w:type="dxa"/>
          </w:tcPr>
          <w:p w:rsidR="00C802EE" w:rsidRPr="00942C19" w:rsidRDefault="00C802EE" w:rsidP="00C652DB">
            <w:r w:rsidRPr="00942C19">
              <w:rPr>
                <w:rFonts w:cs="Arial"/>
              </w:rPr>
              <w:t>For all consumption over 432 kVAh per kVA up to 504 kVAh per kVA per month</w:t>
            </w:r>
          </w:p>
        </w:tc>
        <w:tc>
          <w:tcPr>
            <w:tcW w:w="5220" w:type="dxa"/>
          </w:tcPr>
          <w:p w:rsidR="00C802EE" w:rsidRPr="00942C19" w:rsidRDefault="00C802EE" w:rsidP="00C652DB">
            <w:pPr>
              <w:pStyle w:val="BodyText"/>
              <w:spacing w:line="288" w:lineRule="auto"/>
              <w:jc w:val="center"/>
              <w:rPr>
                <w:rFonts w:cs="Arial"/>
              </w:rPr>
            </w:pPr>
            <w:r w:rsidRPr="00942C19">
              <w:rPr>
                <w:rFonts w:cs="Arial"/>
              </w:rPr>
              <w:t>7.5% as applicable in first slab</w:t>
            </w:r>
          </w:p>
          <w:p w:rsidR="00C802EE" w:rsidRPr="00942C19" w:rsidRDefault="00C802EE" w:rsidP="00C652DB">
            <w:pPr>
              <w:pStyle w:val="BodyText"/>
              <w:spacing w:line="288" w:lineRule="auto"/>
              <w:jc w:val="center"/>
              <w:rPr>
                <w:rFonts w:cs="Arial"/>
                <w:i/>
              </w:rPr>
            </w:pPr>
            <w:r w:rsidRPr="00942C19">
              <w:rPr>
                <w:rFonts w:cs="Arial"/>
                <w:i/>
              </w:rPr>
              <w:t xml:space="preserve">plus </w:t>
            </w:r>
          </w:p>
          <w:p w:rsidR="00C802EE" w:rsidRPr="00942C19" w:rsidRDefault="00C802EE" w:rsidP="00C652DB">
            <w:pPr>
              <w:pStyle w:val="BodyText"/>
              <w:spacing w:line="288" w:lineRule="auto"/>
              <w:jc w:val="center"/>
              <w:rPr>
                <w:rFonts w:cs="Arial"/>
              </w:rPr>
            </w:pPr>
            <w:r w:rsidRPr="00942C19">
              <w:rPr>
                <w:rFonts w:cs="Arial"/>
              </w:rPr>
              <w:t>10% on the consumption over  432 kVAh / kVA / month and up to 504 kVAh / kVA / month</w:t>
            </w:r>
          </w:p>
        </w:tc>
      </w:tr>
      <w:tr w:rsidR="00C802EE" w:rsidRPr="00942C19" w:rsidTr="00C652DB">
        <w:tc>
          <w:tcPr>
            <w:tcW w:w="3060" w:type="dxa"/>
          </w:tcPr>
          <w:p w:rsidR="00C802EE" w:rsidRPr="00942C19" w:rsidRDefault="00C802EE" w:rsidP="00C652DB">
            <w:r w:rsidRPr="00942C19">
              <w:t>For all consumption in excess of 504 kVAh per kVA per month</w:t>
            </w:r>
          </w:p>
        </w:tc>
        <w:tc>
          <w:tcPr>
            <w:tcW w:w="5220" w:type="dxa"/>
          </w:tcPr>
          <w:p w:rsidR="00C802EE" w:rsidRPr="00942C19" w:rsidRDefault="00C802EE" w:rsidP="00C652DB">
            <w:pPr>
              <w:pStyle w:val="BodyText"/>
              <w:spacing w:line="288" w:lineRule="auto"/>
              <w:jc w:val="center"/>
              <w:rPr>
                <w:rFonts w:cs="Arial"/>
              </w:rPr>
            </w:pPr>
            <w:r w:rsidRPr="00942C19">
              <w:rPr>
                <w:rFonts w:cs="Arial"/>
              </w:rPr>
              <w:t>7.5% as applicable in first slab</w:t>
            </w:r>
          </w:p>
          <w:p w:rsidR="00C802EE" w:rsidRPr="00942C19" w:rsidRDefault="00C802EE" w:rsidP="00C652DB">
            <w:pPr>
              <w:pStyle w:val="BodyText"/>
              <w:spacing w:line="288" w:lineRule="auto"/>
              <w:jc w:val="center"/>
              <w:rPr>
                <w:rFonts w:cs="Arial"/>
                <w:i/>
                <w:iCs/>
              </w:rPr>
            </w:pPr>
            <w:r w:rsidRPr="00942C19">
              <w:rPr>
                <w:rFonts w:cs="Arial"/>
                <w:i/>
                <w:iCs/>
              </w:rPr>
              <w:t>plus</w:t>
            </w:r>
          </w:p>
          <w:p w:rsidR="00C802EE" w:rsidRPr="00942C19" w:rsidRDefault="00C802EE" w:rsidP="00C652DB">
            <w:pPr>
              <w:pStyle w:val="BodyText"/>
              <w:spacing w:line="288" w:lineRule="auto"/>
              <w:jc w:val="center"/>
              <w:rPr>
                <w:rFonts w:cs="Arial"/>
              </w:rPr>
            </w:pPr>
            <w:r w:rsidRPr="00942C19">
              <w:rPr>
                <w:rFonts w:cs="Arial"/>
              </w:rPr>
              <w:t>10% as applicable in second slab</w:t>
            </w:r>
          </w:p>
          <w:p w:rsidR="00C802EE" w:rsidRPr="00942C19" w:rsidRDefault="00C802EE" w:rsidP="00C652DB">
            <w:pPr>
              <w:pStyle w:val="BodyText"/>
              <w:spacing w:line="288" w:lineRule="auto"/>
              <w:jc w:val="center"/>
              <w:rPr>
                <w:rFonts w:cs="Arial"/>
                <w:i/>
                <w:iCs/>
              </w:rPr>
            </w:pPr>
            <w:r w:rsidRPr="00942C19">
              <w:rPr>
                <w:rFonts w:cs="Arial"/>
                <w:i/>
                <w:iCs/>
              </w:rPr>
              <w:t>plus</w:t>
            </w:r>
          </w:p>
          <w:p w:rsidR="00C802EE" w:rsidRPr="00942C19" w:rsidRDefault="00C802EE" w:rsidP="00C652DB">
            <w:pPr>
              <w:jc w:val="center"/>
            </w:pPr>
            <w:r w:rsidRPr="00942C19">
              <w:rPr>
                <w:rFonts w:cs="Arial"/>
              </w:rPr>
              <w:t>20% on the consumption over 504 kVAh / kVA / month</w:t>
            </w:r>
          </w:p>
        </w:tc>
      </w:tr>
    </w:tbl>
    <w:p w:rsidR="00C802EE" w:rsidRPr="00942C19" w:rsidRDefault="00C802EE" w:rsidP="00C802EE">
      <w:pPr>
        <w:ind w:left="720"/>
        <w:rPr>
          <w:b/>
        </w:rPr>
      </w:pPr>
    </w:p>
    <w:p w:rsidR="00C802EE" w:rsidRPr="00942C19" w:rsidRDefault="00C802EE" w:rsidP="00C802EE">
      <w:pPr>
        <w:ind w:left="720"/>
      </w:pPr>
      <w:r w:rsidRPr="00942C19">
        <w:rPr>
          <w:b/>
        </w:rPr>
        <w:t xml:space="preserve">Note:  </w:t>
      </w:r>
      <w:r w:rsidRPr="00942C19">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942C19" w:rsidRDefault="00C802EE" w:rsidP="00C802EE">
      <w:pPr>
        <w:spacing w:line="240" w:lineRule="auto"/>
        <w:jc w:val="left"/>
      </w:pPr>
      <w:r w:rsidRPr="00942C19">
        <w:br w:type="page"/>
      </w:r>
    </w:p>
    <w:p w:rsidR="00C802EE" w:rsidRPr="00942C19" w:rsidRDefault="00C802EE" w:rsidP="00C802EE">
      <w:pPr>
        <w:tabs>
          <w:tab w:val="left" w:pos="360"/>
        </w:tabs>
        <w:spacing w:before="100" w:after="100"/>
        <w:ind w:right="29"/>
        <w:rPr>
          <w:b/>
        </w:rPr>
      </w:pPr>
      <w:r w:rsidRPr="00942C19">
        <w:rPr>
          <w:b/>
        </w:rPr>
        <w:t>6.</w:t>
      </w:r>
      <w:r w:rsidRPr="00942C19">
        <w:rPr>
          <w:b/>
        </w:rPr>
        <w:tab/>
      </w:r>
      <w:r w:rsidRPr="00942C19">
        <w:rPr>
          <w:b/>
        </w:rPr>
        <w:tab/>
        <w:t>FACTORY LIGHTING:</w:t>
      </w:r>
    </w:p>
    <w:p w:rsidR="00C802EE" w:rsidRPr="00942C19" w:rsidRDefault="00C802EE" w:rsidP="00C802EE">
      <w:pPr>
        <w:tabs>
          <w:tab w:val="left" w:pos="360"/>
        </w:tabs>
        <w:spacing w:before="100" w:beforeAutospacing="1" w:after="100" w:afterAutospacing="1"/>
        <w:ind w:left="720" w:right="29"/>
      </w:pPr>
      <w:r w:rsidRPr="00942C19">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942C19" w:rsidRDefault="00C802EE" w:rsidP="00C802EE">
      <w:pPr>
        <w:tabs>
          <w:tab w:val="left" w:pos="360"/>
        </w:tabs>
        <w:spacing w:before="100" w:beforeAutospacing="1" w:after="100" w:afterAutospacing="1"/>
        <w:ind w:left="720" w:right="29"/>
        <w:jc w:val="center"/>
        <w:rPr>
          <w:b/>
          <w:bCs/>
          <w:szCs w:val="22"/>
          <w:u w:val="single"/>
        </w:rPr>
      </w:pPr>
      <w:r w:rsidRPr="00942C19">
        <w:rPr>
          <w:b/>
          <w:bCs/>
          <w:szCs w:val="22"/>
          <w:u w:val="single"/>
        </w:rPr>
        <w:br w:type="page"/>
        <w:t>RATE SCHEDULE HV – 3:</w:t>
      </w:r>
    </w:p>
    <w:p w:rsidR="00D31265" w:rsidRPr="00942C19" w:rsidRDefault="00D31265" w:rsidP="00C802EE">
      <w:pPr>
        <w:spacing w:before="100" w:beforeAutospacing="1" w:after="100" w:afterAutospacing="1"/>
        <w:ind w:right="29"/>
        <w:jc w:val="left"/>
        <w:rPr>
          <w:rFonts w:cs="Arial"/>
          <w:b/>
          <w:szCs w:val="22"/>
        </w:rPr>
      </w:pPr>
    </w:p>
    <w:p w:rsidR="00C802EE" w:rsidRPr="00942C19" w:rsidRDefault="00C802EE" w:rsidP="00C802EE">
      <w:pPr>
        <w:spacing w:before="100" w:beforeAutospacing="1" w:after="100" w:afterAutospacing="1"/>
        <w:ind w:right="29"/>
        <w:jc w:val="left"/>
        <w:rPr>
          <w:rFonts w:cs="Arial"/>
          <w:b/>
          <w:szCs w:val="22"/>
        </w:rPr>
      </w:pPr>
      <w:r w:rsidRPr="00942C19">
        <w:rPr>
          <w:rFonts w:cs="Arial"/>
          <w:b/>
          <w:szCs w:val="22"/>
        </w:rPr>
        <w:t>A:  RAILWAY TRACTION:</w:t>
      </w:r>
    </w:p>
    <w:p w:rsidR="00C802EE" w:rsidRPr="00942C19" w:rsidRDefault="00C802EE" w:rsidP="00C802EE">
      <w:pPr>
        <w:tabs>
          <w:tab w:val="left" w:pos="360"/>
        </w:tabs>
        <w:spacing w:before="100" w:beforeAutospacing="1" w:after="100" w:afterAutospacing="1"/>
        <w:ind w:right="29"/>
        <w:rPr>
          <w:rFonts w:cs="Arial"/>
          <w:b/>
        </w:rPr>
      </w:pPr>
      <w:r w:rsidRPr="00942C19">
        <w:rPr>
          <w:rFonts w:cs="Arial"/>
          <w:b/>
          <w:szCs w:val="22"/>
        </w:rPr>
        <w:t>1.</w:t>
      </w:r>
      <w:r w:rsidRPr="00942C19">
        <w:rPr>
          <w:rFonts w:cs="Arial"/>
          <w:b/>
          <w:szCs w:val="22"/>
        </w:rPr>
        <w:tab/>
      </w:r>
      <w:r w:rsidRPr="00942C19">
        <w:rPr>
          <w:rFonts w:cs="Arial"/>
          <w:b/>
        </w:rPr>
        <w:t>APPLICABILITY:</w:t>
      </w:r>
    </w:p>
    <w:p w:rsidR="00C802EE" w:rsidRPr="00942C19" w:rsidRDefault="00C802EE" w:rsidP="00C802EE">
      <w:pPr>
        <w:tabs>
          <w:tab w:val="left" w:pos="360"/>
        </w:tabs>
        <w:spacing w:before="100" w:beforeAutospacing="1"/>
        <w:ind w:left="360" w:right="11"/>
        <w:rPr>
          <w:rFonts w:cs="Arial"/>
        </w:rPr>
      </w:pPr>
      <w:r w:rsidRPr="00942C19">
        <w:rPr>
          <w:rFonts w:cs="Arial"/>
        </w:rPr>
        <w:t xml:space="preserve">This schedule shall apply to the Railways for Traction loads only. </w:t>
      </w:r>
    </w:p>
    <w:p w:rsidR="00C802EE" w:rsidRPr="00942C19" w:rsidRDefault="00C802EE" w:rsidP="00C802EE"/>
    <w:p w:rsidR="00C802EE" w:rsidRPr="00942C19" w:rsidRDefault="00C802EE" w:rsidP="00C802EE">
      <w:pPr>
        <w:pStyle w:val="BodyText"/>
        <w:tabs>
          <w:tab w:val="left" w:pos="360"/>
        </w:tabs>
        <w:spacing w:line="288" w:lineRule="auto"/>
      </w:pPr>
      <w:r w:rsidRPr="00942C19">
        <w:rPr>
          <w:b/>
          <w:snapToGrid w:val="0"/>
        </w:rPr>
        <w:t>2.</w:t>
      </w:r>
      <w:r w:rsidRPr="00942C19">
        <w:rPr>
          <w:b/>
          <w:snapToGrid w:val="0"/>
        </w:rPr>
        <w:tab/>
      </w:r>
      <w:r w:rsidRPr="00942C19">
        <w:rPr>
          <w:rFonts w:cs="Arial"/>
          <w:b/>
        </w:rPr>
        <w:t>CHARACTER OF SERVICE AND POINT OF SUPPLY:</w:t>
      </w:r>
    </w:p>
    <w:p w:rsidR="00C802EE" w:rsidRPr="00942C19" w:rsidRDefault="00C802EE" w:rsidP="00C802EE">
      <w:pPr>
        <w:tabs>
          <w:tab w:val="left" w:pos="360"/>
        </w:tabs>
        <w:spacing w:before="100"/>
        <w:ind w:left="360" w:right="11"/>
      </w:pPr>
      <w:r w:rsidRPr="00942C19">
        <w:t xml:space="preserve">Alternating Current, single phase, two phase or three phase, 50 cycles, 132 kV or below depending on the availability of voltage of supply and the sole discretion of the </w:t>
      </w:r>
      <w:r w:rsidR="009A3804" w:rsidRPr="00942C19">
        <w:t>Licensee</w:t>
      </w:r>
      <w:r w:rsidRPr="00942C19">
        <w:t>. The supply at each sub-station shall be separately metered and charged.</w:t>
      </w:r>
    </w:p>
    <w:p w:rsidR="00C802EE" w:rsidRPr="00942C19" w:rsidRDefault="00C802EE" w:rsidP="00C802EE">
      <w:pPr>
        <w:pStyle w:val="BodyText"/>
        <w:tabs>
          <w:tab w:val="left" w:pos="360"/>
        </w:tabs>
        <w:spacing w:before="100" w:beforeAutospacing="1" w:line="288" w:lineRule="auto"/>
        <w:ind w:right="29"/>
        <w:rPr>
          <w:rFonts w:cs="Arial"/>
          <w:b/>
        </w:rPr>
      </w:pPr>
      <w:r w:rsidRPr="00942C19">
        <w:rPr>
          <w:rFonts w:cs="Arial"/>
          <w:b/>
        </w:rPr>
        <w:t>3.</w:t>
      </w:r>
      <w:r w:rsidRPr="00942C19">
        <w:rPr>
          <w:rFonts w:cs="Arial"/>
          <w:b/>
        </w:rPr>
        <w:tab/>
        <w:t>RATE:</w:t>
      </w:r>
    </w:p>
    <w:p w:rsidR="00C802EE" w:rsidRPr="00942C19" w:rsidRDefault="00C802EE" w:rsidP="00C802EE">
      <w:pPr>
        <w:spacing w:before="100" w:beforeAutospacing="1" w:after="240"/>
        <w:ind w:left="360" w:right="14"/>
      </w:pPr>
      <w:r w:rsidRPr="00942C19">
        <w:t>Rate, gives the demand and energy charges at which the consumer shall be billed for consumption during the billing period applicable to the category:</w:t>
      </w:r>
    </w:p>
    <w:p w:rsidR="00C802EE" w:rsidRPr="00942C19" w:rsidRDefault="00C802EE" w:rsidP="00C802EE"/>
    <w:tbl>
      <w:tblPr>
        <w:tblW w:w="8067" w:type="dxa"/>
        <w:tblInd w:w="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097"/>
        <w:gridCol w:w="2970"/>
      </w:tblGrid>
      <w:tr w:rsidR="00C802EE" w:rsidRPr="00942C19" w:rsidTr="00C652DB">
        <w:tc>
          <w:tcPr>
            <w:tcW w:w="5097" w:type="dxa"/>
            <w:shd w:val="pct12" w:color="auto" w:fill="auto"/>
          </w:tcPr>
          <w:p w:rsidR="00C802EE" w:rsidRPr="00942C19" w:rsidRDefault="00C802EE" w:rsidP="00C652DB">
            <w:pPr>
              <w:pStyle w:val="BodyText"/>
              <w:spacing w:line="288" w:lineRule="auto"/>
              <w:jc w:val="center"/>
              <w:rPr>
                <w:rFonts w:cs="Arial"/>
                <w:b/>
              </w:rPr>
            </w:pPr>
            <w:r w:rsidRPr="00942C19">
              <w:rPr>
                <w:rFonts w:cs="Arial"/>
                <w:b/>
              </w:rPr>
              <w:t>Description</w:t>
            </w:r>
          </w:p>
        </w:tc>
        <w:tc>
          <w:tcPr>
            <w:tcW w:w="2970" w:type="dxa"/>
            <w:shd w:val="pct12" w:color="auto" w:fill="auto"/>
          </w:tcPr>
          <w:p w:rsidR="00C802EE" w:rsidRPr="00942C19" w:rsidRDefault="00C802EE" w:rsidP="00C652DB">
            <w:pPr>
              <w:pStyle w:val="BodyText"/>
              <w:spacing w:line="288" w:lineRule="auto"/>
              <w:jc w:val="center"/>
              <w:rPr>
                <w:rFonts w:cs="Arial"/>
                <w:b/>
                <w:bCs/>
              </w:rPr>
            </w:pPr>
            <w:r w:rsidRPr="00942C19">
              <w:rPr>
                <w:rFonts w:cs="Arial"/>
                <w:b/>
                <w:bCs/>
              </w:rPr>
              <w:t>Charges</w:t>
            </w:r>
          </w:p>
        </w:tc>
      </w:tr>
      <w:tr w:rsidR="00C802EE" w:rsidRPr="00942C19" w:rsidTr="00C652DB">
        <w:tc>
          <w:tcPr>
            <w:tcW w:w="5097" w:type="dxa"/>
          </w:tcPr>
          <w:p w:rsidR="00C802EE" w:rsidRPr="00942C19" w:rsidRDefault="00C802EE" w:rsidP="00C652DB">
            <w:pPr>
              <w:pStyle w:val="BodyText"/>
              <w:spacing w:line="288" w:lineRule="auto"/>
              <w:jc w:val="left"/>
              <w:rPr>
                <w:rFonts w:cs="Arial"/>
              </w:rPr>
            </w:pPr>
            <w:r w:rsidRPr="00942C19">
              <w:rPr>
                <w:rFonts w:cs="Arial"/>
                <w:b/>
              </w:rPr>
              <w:t>(a) Demand Charge</w:t>
            </w:r>
          </w:p>
          <w:p w:rsidR="00C802EE" w:rsidRPr="00942C19" w:rsidRDefault="00C802EE" w:rsidP="00C652DB">
            <w:pPr>
              <w:pStyle w:val="BodyText"/>
              <w:spacing w:line="288" w:lineRule="auto"/>
              <w:jc w:val="left"/>
              <w:rPr>
                <w:rFonts w:cs="Arial"/>
              </w:rPr>
            </w:pPr>
            <w:r w:rsidRPr="00942C19">
              <w:rPr>
                <w:rFonts w:cs="Arial"/>
              </w:rPr>
              <w:t xml:space="preserve">For supply at and above 132 kV </w:t>
            </w:r>
          </w:p>
          <w:p w:rsidR="00C802EE" w:rsidRPr="00942C19" w:rsidRDefault="00C802EE" w:rsidP="00C652DB">
            <w:pPr>
              <w:pStyle w:val="BodyText"/>
              <w:spacing w:line="288" w:lineRule="auto"/>
              <w:jc w:val="left"/>
              <w:rPr>
                <w:rFonts w:cs="Arial"/>
              </w:rPr>
            </w:pPr>
            <w:r w:rsidRPr="00942C19">
              <w:rPr>
                <w:rFonts w:cs="Arial"/>
              </w:rPr>
              <w:t>Below 132 kV</w:t>
            </w:r>
          </w:p>
        </w:tc>
        <w:tc>
          <w:tcPr>
            <w:tcW w:w="2970" w:type="dxa"/>
          </w:tcPr>
          <w:p w:rsidR="00C802EE" w:rsidRPr="00942C19" w:rsidRDefault="00C802EE" w:rsidP="00C652DB">
            <w:pPr>
              <w:pStyle w:val="BodyText"/>
              <w:spacing w:line="288" w:lineRule="auto"/>
              <w:jc w:val="left"/>
              <w:rPr>
                <w:rFonts w:cs="Arial"/>
              </w:rPr>
            </w:pPr>
          </w:p>
          <w:p w:rsidR="00C802EE" w:rsidRPr="00942C19" w:rsidRDefault="00C802EE" w:rsidP="00C652DB">
            <w:pPr>
              <w:pStyle w:val="BodyText"/>
              <w:spacing w:line="288" w:lineRule="auto"/>
              <w:jc w:val="left"/>
              <w:rPr>
                <w:rFonts w:cs="Arial"/>
              </w:rPr>
            </w:pPr>
            <w:r w:rsidRPr="00942C19">
              <w:rPr>
                <w:rFonts w:cs="Arial"/>
              </w:rPr>
              <w:t>Rs. 280 / kVA / month</w:t>
            </w:r>
          </w:p>
          <w:p w:rsidR="00C802EE" w:rsidRPr="00942C19" w:rsidRDefault="00C802EE" w:rsidP="00C652DB">
            <w:pPr>
              <w:pStyle w:val="BodyText"/>
              <w:spacing w:line="288" w:lineRule="auto"/>
              <w:jc w:val="left"/>
              <w:rPr>
                <w:rFonts w:cs="Arial"/>
              </w:rPr>
            </w:pPr>
            <w:r w:rsidRPr="00942C19">
              <w:rPr>
                <w:rFonts w:cs="Arial"/>
              </w:rPr>
              <w:t xml:space="preserve">Rs. 280 / kVA / month </w:t>
            </w:r>
          </w:p>
        </w:tc>
      </w:tr>
      <w:tr w:rsidR="00C802EE" w:rsidRPr="00942C19" w:rsidTr="00C652DB">
        <w:tc>
          <w:tcPr>
            <w:tcW w:w="5097" w:type="dxa"/>
          </w:tcPr>
          <w:p w:rsidR="00C802EE" w:rsidRPr="00942C19" w:rsidRDefault="00C802EE" w:rsidP="00C652DB">
            <w:pPr>
              <w:pStyle w:val="BodyText"/>
              <w:spacing w:line="288" w:lineRule="auto"/>
              <w:jc w:val="left"/>
              <w:rPr>
                <w:rFonts w:cs="Arial"/>
              </w:rPr>
            </w:pPr>
            <w:r w:rsidRPr="00942C19">
              <w:rPr>
                <w:rFonts w:cs="Arial"/>
                <w:b/>
              </w:rPr>
              <w:t xml:space="preserve">(b) Energy Charge </w:t>
            </w:r>
            <w:r w:rsidRPr="00942C19">
              <w:rPr>
                <w:rFonts w:cs="Arial"/>
              </w:rPr>
              <w:t>(all consumption in a month)</w:t>
            </w:r>
          </w:p>
          <w:p w:rsidR="00C802EE" w:rsidRPr="00942C19" w:rsidRDefault="00C802EE" w:rsidP="00C652DB">
            <w:pPr>
              <w:pStyle w:val="BodyText"/>
              <w:spacing w:line="288" w:lineRule="auto"/>
              <w:jc w:val="left"/>
              <w:rPr>
                <w:rFonts w:cs="Arial"/>
              </w:rPr>
            </w:pPr>
            <w:r w:rsidRPr="00942C19">
              <w:rPr>
                <w:rFonts w:cs="Arial"/>
              </w:rPr>
              <w:t>For supply at and above 132 kV</w:t>
            </w:r>
          </w:p>
          <w:p w:rsidR="00C802EE" w:rsidRPr="00942C19" w:rsidRDefault="00C802EE" w:rsidP="00C652DB">
            <w:pPr>
              <w:pStyle w:val="BodyText"/>
              <w:spacing w:line="288" w:lineRule="auto"/>
              <w:jc w:val="left"/>
              <w:rPr>
                <w:rFonts w:cs="Arial"/>
              </w:rPr>
            </w:pPr>
            <w:r w:rsidRPr="00942C19">
              <w:rPr>
                <w:rFonts w:cs="Arial"/>
              </w:rPr>
              <w:t xml:space="preserve">Below 132 kV </w:t>
            </w:r>
          </w:p>
        </w:tc>
        <w:tc>
          <w:tcPr>
            <w:tcW w:w="2970" w:type="dxa"/>
          </w:tcPr>
          <w:p w:rsidR="00C802EE" w:rsidRPr="00942C19" w:rsidRDefault="00C802EE" w:rsidP="00C652DB">
            <w:pPr>
              <w:pStyle w:val="BodyText"/>
              <w:spacing w:line="288" w:lineRule="auto"/>
              <w:jc w:val="left"/>
              <w:rPr>
                <w:rFonts w:cs="Arial"/>
                <w:lang w:val="sv-SE"/>
              </w:rPr>
            </w:pPr>
          </w:p>
          <w:p w:rsidR="00C802EE" w:rsidRPr="00942C19" w:rsidRDefault="00C802EE" w:rsidP="00C652DB">
            <w:pPr>
              <w:pStyle w:val="BodyText"/>
              <w:spacing w:line="288" w:lineRule="auto"/>
              <w:jc w:val="left"/>
              <w:rPr>
                <w:rFonts w:cs="Arial"/>
                <w:lang w:val="sv-SE"/>
              </w:rPr>
            </w:pPr>
            <w:r w:rsidRPr="00942C19">
              <w:rPr>
                <w:rFonts w:cs="Arial"/>
                <w:lang w:val="sv-SE"/>
              </w:rPr>
              <w:t xml:space="preserve">Rs. 5.90 / kVAh </w:t>
            </w:r>
          </w:p>
          <w:p w:rsidR="00C802EE" w:rsidRPr="00942C19" w:rsidRDefault="00C802EE" w:rsidP="00C652DB">
            <w:pPr>
              <w:pStyle w:val="BodyText"/>
              <w:spacing w:line="288" w:lineRule="auto"/>
              <w:jc w:val="left"/>
              <w:rPr>
                <w:rFonts w:cs="Arial"/>
                <w:lang w:val="sv-SE"/>
              </w:rPr>
            </w:pPr>
            <w:r w:rsidRPr="00942C19">
              <w:rPr>
                <w:rFonts w:cs="Arial"/>
                <w:lang w:val="sv-SE"/>
              </w:rPr>
              <w:t>Rs. 5.90 / kVAh</w:t>
            </w:r>
          </w:p>
        </w:tc>
      </w:tr>
      <w:tr w:rsidR="00C802EE" w:rsidRPr="00942C19" w:rsidTr="00C652DB">
        <w:tc>
          <w:tcPr>
            <w:tcW w:w="5097" w:type="dxa"/>
          </w:tcPr>
          <w:p w:rsidR="00C802EE" w:rsidRPr="00942C19" w:rsidRDefault="00C802EE" w:rsidP="00C652DB">
            <w:pPr>
              <w:pStyle w:val="BodyText"/>
              <w:spacing w:line="288" w:lineRule="auto"/>
              <w:jc w:val="left"/>
              <w:rPr>
                <w:rFonts w:cs="Arial"/>
                <w:b/>
              </w:rPr>
            </w:pPr>
            <w:r w:rsidRPr="00942C19">
              <w:rPr>
                <w:rFonts w:cs="Arial"/>
                <w:b/>
              </w:rPr>
              <w:t xml:space="preserve">(c) Minimum Charge  </w:t>
            </w:r>
          </w:p>
        </w:tc>
        <w:tc>
          <w:tcPr>
            <w:tcW w:w="2970" w:type="dxa"/>
          </w:tcPr>
          <w:p w:rsidR="00C802EE" w:rsidRPr="00942C19" w:rsidRDefault="00C802EE" w:rsidP="00C652DB">
            <w:pPr>
              <w:pStyle w:val="BodyText"/>
              <w:spacing w:line="288" w:lineRule="auto"/>
              <w:jc w:val="left"/>
              <w:rPr>
                <w:rFonts w:cs="Arial"/>
                <w:lang w:val="sv-SE"/>
              </w:rPr>
            </w:pPr>
            <w:r w:rsidRPr="00942C19">
              <w:rPr>
                <w:rFonts w:cs="Arial"/>
                <w:lang w:val="sv-SE"/>
              </w:rPr>
              <w:t>Rs. 650 / kVA / month</w:t>
            </w:r>
          </w:p>
        </w:tc>
      </w:tr>
    </w:tbl>
    <w:p w:rsidR="00C802EE" w:rsidRPr="00942C19" w:rsidRDefault="00C802EE" w:rsidP="00C802EE">
      <w:pPr>
        <w:tabs>
          <w:tab w:val="left" w:pos="720"/>
        </w:tabs>
        <w:spacing w:before="100" w:after="100"/>
        <w:ind w:right="29"/>
        <w:rPr>
          <w:rFonts w:cs="Arial"/>
        </w:rPr>
      </w:pPr>
    </w:p>
    <w:p w:rsidR="00D31265" w:rsidRPr="00942C19" w:rsidRDefault="00D31265" w:rsidP="00C802EE">
      <w:pPr>
        <w:tabs>
          <w:tab w:val="left" w:pos="720"/>
        </w:tabs>
        <w:spacing w:before="100" w:after="100"/>
        <w:ind w:right="29"/>
        <w:rPr>
          <w:rFonts w:cs="Arial"/>
        </w:rPr>
      </w:pPr>
    </w:p>
    <w:p w:rsidR="00D31265" w:rsidRPr="00942C19" w:rsidRDefault="00D31265" w:rsidP="00C802EE">
      <w:pPr>
        <w:tabs>
          <w:tab w:val="left" w:pos="720"/>
        </w:tabs>
        <w:spacing w:before="100" w:after="100"/>
        <w:ind w:right="29"/>
        <w:rPr>
          <w:rFonts w:cs="Arial"/>
        </w:rPr>
      </w:pPr>
    </w:p>
    <w:p w:rsidR="00C802EE" w:rsidRPr="00942C19" w:rsidRDefault="00C802EE" w:rsidP="00C802EE">
      <w:pPr>
        <w:spacing w:before="100" w:after="100"/>
        <w:ind w:right="29"/>
        <w:rPr>
          <w:b/>
        </w:rPr>
      </w:pPr>
      <w:r w:rsidRPr="00942C19">
        <w:rPr>
          <w:rFonts w:cs="Arial"/>
          <w:b/>
        </w:rPr>
        <w:t>4.</w:t>
      </w:r>
      <w:r w:rsidRPr="00942C19">
        <w:rPr>
          <w:rFonts w:cs="Arial"/>
        </w:rPr>
        <w:tab/>
      </w:r>
      <w:r w:rsidRPr="00942C19">
        <w:rPr>
          <w:b/>
        </w:rPr>
        <w:t>LOAD FACTOR REBATE:</w:t>
      </w:r>
    </w:p>
    <w:p w:rsidR="00C802EE" w:rsidRPr="00942C19" w:rsidRDefault="00C802EE" w:rsidP="00C802EE">
      <w:pPr>
        <w:tabs>
          <w:tab w:val="left" w:pos="360"/>
        </w:tabs>
        <w:spacing w:before="100" w:after="100"/>
        <w:ind w:left="720" w:right="29"/>
      </w:pPr>
      <w:r w:rsidRPr="00942C19">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942C19" w:rsidRDefault="00C802EE" w:rsidP="00C802EE">
      <w:pPr>
        <w:pStyle w:val="BodyText"/>
        <w:spacing w:line="288" w:lineRule="auto"/>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4860"/>
      </w:tblGrid>
      <w:tr w:rsidR="00C802EE" w:rsidRPr="00942C19" w:rsidTr="00C652DB">
        <w:trPr>
          <w:tblHeader/>
        </w:trPr>
        <w:tc>
          <w:tcPr>
            <w:tcW w:w="3420" w:type="dxa"/>
            <w:shd w:val="pct12" w:color="auto" w:fill="auto"/>
          </w:tcPr>
          <w:p w:rsidR="00C802EE" w:rsidRPr="00942C19" w:rsidRDefault="00C802EE" w:rsidP="00C652DB">
            <w:pPr>
              <w:jc w:val="center"/>
              <w:rPr>
                <w:b/>
              </w:rPr>
            </w:pPr>
            <w:r w:rsidRPr="00942C19">
              <w:rPr>
                <w:b/>
              </w:rPr>
              <w:t>Description</w:t>
            </w:r>
          </w:p>
        </w:tc>
        <w:tc>
          <w:tcPr>
            <w:tcW w:w="4860" w:type="dxa"/>
            <w:shd w:val="pct12" w:color="auto" w:fill="auto"/>
          </w:tcPr>
          <w:p w:rsidR="00C802EE" w:rsidRPr="00942C19" w:rsidRDefault="00C802EE" w:rsidP="00C652DB">
            <w:pPr>
              <w:jc w:val="center"/>
              <w:rPr>
                <w:b/>
              </w:rPr>
            </w:pPr>
            <w:r w:rsidRPr="00942C19">
              <w:rPr>
                <w:b/>
              </w:rPr>
              <w:t>Rebate on Energy charges</w:t>
            </w:r>
          </w:p>
        </w:tc>
      </w:tr>
      <w:tr w:rsidR="00C802EE" w:rsidRPr="00942C19" w:rsidTr="00C652DB">
        <w:tc>
          <w:tcPr>
            <w:tcW w:w="3420" w:type="dxa"/>
          </w:tcPr>
          <w:p w:rsidR="00C802EE" w:rsidRPr="00942C19" w:rsidRDefault="00C802EE" w:rsidP="00C652DB">
            <w:r w:rsidRPr="00942C19">
              <w:t>For all consumption over 396 kVAh per kVA up to 432 kVAh per kVA per month</w:t>
            </w:r>
          </w:p>
        </w:tc>
        <w:tc>
          <w:tcPr>
            <w:tcW w:w="4860" w:type="dxa"/>
          </w:tcPr>
          <w:p w:rsidR="00C802EE" w:rsidRPr="00942C19" w:rsidRDefault="00C802EE" w:rsidP="00C652DB">
            <w:pPr>
              <w:jc w:val="center"/>
            </w:pPr>
            <w:r w:rsidRPr="00942C19">
              <w:rPr>
                <w:rFonts w:cs="Arial"/>
              </w:rPr>
              <w:t>7.5% on the consumption over 396 kVAh / kVA / month</w:t>
            </w:r>
            <w:r w:rsidRPr="00942C19">
              <w:t xml:space="preserve"> and up to 432 kVAh / kVA / month</w:t>
            </w:r>
          </w:p>
        </w:tc>
      </w:tr>
      <w:tr w:rsidR="00C802EE" w:rsidRPr="00942C19" w:rsidTr="00C652DB">
        <w:tc>
          <w:tcPr>
            <w:tcW w:w="3420" w:type="dxa"/>
          </w:tcPr>
          <w:p w:rsidR="00C802EE" w:rsidRPr="00942C19" w:rsidRDefault="00C802EE" w:rsidP="00C652DB">
            <w:r w:rsidRPr="00942C19">
              <w:t>For all consumption over 432 kVAh per kVA up to 504 kVAh per kVA per month</w:t>
            </w:r>
          </w:p>
        </w:tc>
        <w:tc>
          <w:tcPr>
            <w:tcW w:w="4860" w:type="dxa"/>
          </w:tcPr>
          <w:p w:rsidR="00C802EE" w:rsidRPr="00942C19" w:rsidRDefault="00C802EE" w:rsidP="00C652DB">
            <w:pPr>
              <w:pStyle w:val="BodyText"/>
              <w:spacing w:line="288" w:lineRule="auto"/>
              <w:jc w:val="center"/>
              <w:rPr>
                <w:rFonts w:cs="Arial"/>
              </w:rPr>
            </w:pPr>
            <w:r w:rsidRPr="00942C19">
              <w:rPr>
                <w:rFonts w:cs="Arial"/>
              </w:rPr>
              <w:t>7.5% as applicable in first slab</w:t>
            </w:r>
          </w:p>
          <w:p w:rsidR="00C802EE" w:rsidRPr="00942C19" w:rsidRDefault="00C802EE" w:rsidP="00C652DB">
            <w:pPr>
              <w:pStyle w:val="BodyText"/>
              <w:spacing w:line="288" w:lineRule="auto"/>
              <w:jc w:val="center"/>
              <w:rPr>
                <w:rFonts w:cs="Arial"/>
                <w:i/>
                <w:iCs/>
              </w:rPr>
            </w:pPr>
            <w:r w:rsidRPr="00942C19">
              <w:rPr>
                <w:rFonts w:cs="Arial"/>
                <w:i/>
                <w:iCs/>
              </w:rPr>
              <w:t>plus</w:t>
            </w:r>
          </w:p>
          <w:p w:rsidR="00C802EE" w:rsidRPr="00942C19" w:rsidRDefault="00C802EE" w:rsidP="00C652DB">
            <w:pPr>
              <w:pStyle w:val="BodyText"/>
              <w:spacing w:line="288" w:lineRule="auto"/>
              <w:jc w:val="center"/>
              <w:rPr>
                <w:rFonts w:cs="Arial"/>
              </w:rPr>
            </w:pPr>
            <w:r w:rsidRPr="00942C19">
              <w:rPr>
                <w:rFonts w:cs="Arial"/>
              </w:rPr>
              <w:t>10% on the consumption over 432 kVAh / kVA / month and up to 504 kVAh / kVA / month</w:t>
            </w:r>
          </w:p>
        </w:tc>
      </w:tr>
      <w:tr w:rsidR="00C802EE" w:rsidRPr="00942C19" w:rsidTr="00C652DB">
        <w:tc>
          <w:tcPr>
            <w:tcW w:w="3420" w:type="dxa"/>
          </w:tcPr>
          <w:p w:rsidR="00C802EE" w:rsidRPr="00942C19" w:rsidRDefault="00C802EE" w:rsidP="00C652DB">
            <w:r w:rsidRPr="00942C19">
              <w:t>For all consumption in excess of 504 kVAh per kVA per month</w:t>
            </w:r>
          </w:p>
        </w:tc>
        <w:tc>
          <w:tcPr>
            <w:tcW w:w="4860" w:type="dxa"/>
          </w:tcPr>
          <w:p w:rsidR="00C802EE" w:rsidRPr="00942C19" w:rsidRDefault="00C802EE" w:rsidP="00C652DB">
            <w:pPr>
              <w:pStyle w:val="BodyText"/>
              <w:spacing w:line="288" w:lineRule="auto"/>
              <w:jc w:val="center"/>
              <w:rPr>
                <w:rFonts w:cs="Arial"/>
              </w:rPr>
            </w:pPr>
            <w:r w:rsidRPr="00942C19">
              <w:rPr>
                <w:rFonts w:cs="Arial"/>
              </w:rPr>
              <w:t>7.5% as applicable in first slab</w:t>
            </w:r>
          </w:p>
          <w:p w:rsidR="00C802EE" w:rsidRPr="00942C19" w:rsidRDefault="00C802EE" w:rsidP="00C652DB">
            <w:pPr>
              <w:pStyle w:val="BodyText"/>
              <w:spacing w:line="288" w:lineRule="auto"/>
              <w:jc w:val="center"/>
              <w:rPr>
                <w:rFonts w:cs="Arial"/>
                <w:i/>
                <w:iCs/>
              </w:rPr>
            </w:pPr>
            <w:r w:rsidRPr="00942C19">
              <w:rPr>
                <w:rFonts w:cs="Arial"/>
                <w:i/>
                <w:iCs/>
              </w:rPr>
              <w:t>plus</w:t>
            </w:r>
          </w:p>
          <w:p w:rsidR="00C802EE" w:rsidRPr="00942C19" w:rsidRDefault="00C802EE" w:rsidP="00C652DB">
            <w:pPr>
              <w:pStyle w:val="BodyText"/>
              <w:spacing w:line="288" w:lineRule="auto"/>
              <w:jc w:val="center"/>
              <w:rPr>
                <w:rFonts w:cs="Arial"/>
              </w:rPr>
            </w:pPr>
            <w:r w:rsidRPr="00942C19">
              <w:rPr>
                <w:rFonts w:cs="Arial"/>
              </w:rPr>
              <w:t>10% as applicable in second slab</w:t>
            </w:r>
          </w:p>
          <w:p w:rsidR="00C802EE" w:rsidRPr="00942C19" w:rsidRDefault="00C802EE" w:rsidP="00C652DB">
            <w:pPr>
              <w:pStyle w:val="BodyText"/>
              <w:spacing w:line="288" w:lineRule="auto"/>
              <w:jc w:val="center"/>
              <w:rPr>
                <w:rFonts w:cs="Arial"/>
                <w:i/>
                <w:iCs/>
              </w:rPr>
            </w:pPr>
            <w:r w:rsidRPr="00942C19">
              <w:rPr>
                <w:rFonts w:cs="Arial"/>
                <w:i/>
                <w:iCs/>
              </w:rPr>
              <w:t>plus</w:t>
            </w:r>
          </w:p>
          <w:p w:rsidR="00C802EE" w:rsidRPr="00942C19" w:rsidRDefault="00C802EE" w:rsidP="00C652DB">
            <w:pPr>
              <w:jc w:val="center"/>
            </w:pPr>
            <w:r w:rsidRPr="00942C19">
              <w:rPr>
                <w:rFonts w:cs="Arial"/>
              </w:rPr>
              <w:t>15% on the consumption over 504 kVAh / kVA / month</w:t>
            </w:r>
          </w:p>
        </w:tc>
      </w:tr>
    </w:tbl>
    <w:p w:rsidR="00C802EE" w:rsidRPr="00942C19" w:rsidRDefault="00C802EE" w:rsidP="00C802EE">
      <w:pPr>
        <w:pStyle w:val="BodyText"/>
        <w:spacing w:line="288" w:lineRule="auto"/>
      </w:pPr>
    </w:p>
    <w:p w:rsidR="00C802EE" w:rsidRPr="00942C19" w:rsidRDefault="00C802EE" w:rsidP="00C802EE">
      <w:pPr>
        <w:spacing w:before="100"/>
        <w:ind w:right="29"/>
        <w:rPr>
          <w:b/>
        </w:rPr>
      </w:pPr>
      <w:r w:rsidRPr="00942C19">
        <w:rPr>
          <w:b/>
        </w:rPr>
        <w:t>5.</w:t>
      </w:r>
      <w:r w:rsidRPr="00942C19">
        <w:rPr>
          <w:b/>
        </w:rPr>
        <w:tab/>
        <w:t xml:space="preserve">DETERMINATION OF THE DEMAND: </w:t>
      </w:r>
    </w:p>
    <w:p w:rsidR="00C802EE" w:rsidRPr="00942C19" w:rsidRDefault="00C802EE" w:rsidP="00C802EE">
      <w:pPr>
        <w:pStyle w:val="BodyText"/>
        <w:tabs>
          <w:tab w:val="left" w:pos="720"/>
        </w:tabs>
        <w:spacing w:line="288" w:lineRule="auto"/>
        <w:ind w:left="720" w:right="11"/>
      </w:pPr>
      <w:r w:rsidRPr="00942C19">
        <w:t>Demand measurement at a particular time will be made on basis of simultaneous maximum demands recorded in summation kilovolt-ampere meter installed at contiguous substation serviced by same grid transformer.</w:t>
      </w:r>
    </w:p>
    <w:p w:rsidR="00C802EE" w:rsidRPr="00942C19" w:rsidRDefault="00C802EE" w:rsidP="00C802EE">
      <w:pPr>
        <w:pStyle w:val="BodyText"/>
        <w:tabs>
          <w:tab w:val="left" w:pos="720"/>
        </w:tabs>
        <w:spacing w:line="288" w:lineRule="auto"/>
        <w:ind w:left="720" w:right="11"/>
      </w:pPr>
      <w:r w:rsidRPr="00942C19">
        <w:t>The demand for any month shall be defined as the highest average load measured in Kilo Volt –amperes during any fifteen consecutive minutes period of the month.</w:t>
      </w:r>
    </w:p>
    <w:p w:rsidR="00C802EE" w:rsidRPr="00942C19" w:rsidRDefault="00C802EE" w:rsidP="00C802EE">
      <w:pPr>
        <w:ind w:right="11"/>
        <w:jc w:val="center"/>
        <w:rPr>
          <w:b/>
          <w:bCs/>
          <w:szCs w:val="22"/>
          <w:u w:val="single"/>
        </w:rPr>
      </w:pPr>
    </w:p>
    <w:p w:rsidR="00C802EE" w:rsidRPr="00942C19" w:rsidRDefault="00C802EE" w:rsidP="00C802EE">
      <w:pPr>
        <w:spacing w:line="240" w:lineRule="auto"/>
        <w:jc w:val="left"/>
        <w:rPr>
          <w:rFonts w:cs="Arial"/>
          <w:b/>
          <w:szCs w:val="22"/>
        </w:rPr>
      </w:pPr>
      <w:r w:rsidRPr="00942C19">
        <w:rPr>
          <w:rFonts w:cs="Arial"/>
          <w:b/>
          <w:szCs w:val="22"/>
        </w:rPr>
        <w:br w:type="page"/>
      </w:r>
    </w:p>
    <w:p w:rsidR="00C802EE" w:rsidRPr="00942C19" w:rsidRDefault="00C802EE" w:rsidP="00C802EE">
      <w:pPr>
        <w:spacing w:before="100" w:beforeAutospacing="1"/>
        <w:ind w:right="29"/>
        <w:jc w:val="left"/>
        <w:rPr>
          <w:rFonts w:cs="Arial"/>
          <w:b/>
          <w:szCs w:val="22"/>
        </w:rPr>
      </w:pPr>
      <w:r w:rsidRPr="00942C19">
        <w:rPr>
          <w:rFonts w:cs="Arial"/>
          <w:b/>
          <w:szCs w:val="22"/>
        </w:rPr>
        <w:t>B: DELHI METRO RAIL:</w:t>
      </w:r>
    </w:p>
    <w:p w:rsidR="00C802EE" w:rsidRPr="00942C19" w:rsidRDefault="00C802EE" w:rsidP="00C802EE">
      <w:pPr>
        <w:tabs>
          <w:tab w:val="left" w:pos="360"/>
        </w:tabs>
        <w:spacing w:before="100" w:beforeAutospacing="1" w:after="100" w:afterAutospacing="1"/>
        <w:ind w:right="29"/>
        <w:rPr>
          <w:rFonts w:cs="Arial"/>
          <w:b/>
        </w:rPr>
      </w:pPr>
      <w:r w:rsidRPr="00942C19">
        <w:rPr>
          <w:rFonts w:cs="Arial"/>
          <w:b/>
          <w:szCs w:val="22"/>
        </w:rPr>
        <w:t>1</w:t>
      </w:r>
      <w:r w:rsidRPr="00942C19">
        <w:rPr>
          <w:rFonts w:cs="Arial"/>
          <w:b/>
        </w:rPr>
        <w:t>.   APPLICABILITY:</w:t>
      </w:r>
    </w:p>
    <w:p w:rsidR="00C802EE" w:rsidRPr="00942C19" w:rsidRDefault="00C802EE" w:rsidP="00C802EE">
      <w:pPr>
        <w:tabs>
          <w:tab w:val="left" w:pos="360"/>
        </w:tabs>
        <w:spacing w:before="100" w:beforeAutospacing="1"/>
        <w:ind w:left="360" w:right="11"/>
        <w:rPr>
          <w:rFonts w:cs="Arial"/>
        </w:rPr>
      </w:pPr>
      <w:r w:rsidRPr="00942C19">
        <w:rPr>
          <w:rFonts w:cs="Arial"/>
        </w:rPr>
        <w:t xml:space="preserve">This schedule shall apply to the DMRC (Delhi Metro Rail Corporation). </w:t>
      </w:r>
    </w:p>
    <w:p w:rsidR="00C802EE" w:rsidRPr="00942C19" w:rsidRDefault="00C802EE" w:rsidP="00C802EE">
      <w:pPr>
        <w:tabs>
          <w:tab w:val="left" w:pos="1421"/>
        </w:tabs>
      </w:pPr>
      <w:r w:rsidRPr="00942C19">
        <w:tab/>
      </w:r>
    </w:p>
    <w:p w:rsidR="00C802EE" w:rsidRPr="00942C19" w:rsidRDefault="00C802EE" w:rsidP="00C802EE">
      <w:pPr>
        <w:pStyle w:val="BodyText"/>
        <w:tabs>
          <w:tab w:val="left" w:pos="360"/>
        </w:tabs>
        <w:spacing w:line="288" w:lineRule="auto"/>
      </w:pPr>
      <w:r w:rsidRPr="00942C19">
        <w:rPr>
          <w:b/>
          <w:snapToGrid w:val="0"/>
        </w:rPr>
        <w:t>2.</w:t>
      </w:r>
      <w:r w:rsidRPr="00942C19">
        <w:rPr>
          <w:b/>
          <w:snapToGrid w:val="0"/>
        </w:rPr>
        <w:tab/>
      </w:r>
      <w:r w:rsidRPr="00942C19">
        <w:rPr>
          <w:rFonts w:cs="Arial"/>
          <w:b/>
        </w:rPr>
        <w:t>CHARACTER OF SERVICE AND POINT OF SUPPLY:</w:t>
      </w:r>
    </w:p>
    <w:p w:rsidR="00C802EE" w:rsidRPr="00942C19" w:rsidRDefault="00C802EE" w:rsidP="00C802EE">
      <w:pPr>
        <w:tabs>
          <w:tab w:val="left" w:pos="360"/>
        </w:tabs>
        <w:spacing w:before="100"/>
        <w:ind w:left="360" w:right="11"/>
      </w:pPr>
      <w:r w:rsidRPr="00942C19">
        <w:t xml:space="preserve">Alternating Current, single phase, two phase or three phase, 50 cycles, 132 kV or below depending on the availability of voltage of supply and the sole discretion of the </w:t>
      </w:r>
      <w:r w:rsidR="009A3804" w:rsidRPr="00942C19">
        <w:t>Licensee</w:t>
      </w:r>
      <w:r w:rsidRPr="00942C19">
        <w:t>. The supply at each sub-station shall be separately metered and charged.</w:t>
      </w:r>
    </w:p>
    <w:p w:rsidR="00C802EE" w:rsidRPr="00942C19" w:rsidRDefault="00C802EE" w:rsidP="00C802EE"/>
    <w:p w:rsidR="00C802EE" w:rsidRPr="00942C19" w:rsidRDefault="00C802EE" w:rsidP="00C802EE">
      <w:pPr>
        <w:rPr>
          <w:b/>
        </w:rPr>
      </w:pPr>
      <w:r w:rsidRPr="00942C19">
        <w:rPr>
          <w:b/>
        </w:rPr>
        <w:t>3.   RATE:</w:t>
      </w:r>
    </w:p>
    <w:p w:rsidR="00C802EE" w:rsidRPr="00942C19" w:rsidRDefault="00C802EE" w:rsidP="00C802EE">
      <w:pPr>
        <w:spacing w:before="100" w:beforeAutospacing="1" w:after="240"/>
        <w:ind w:left="360" w:right="14"/>
      </w:pPr>
      <w:r w:rsidRPr="00942C19">
        <w:t>Rate, gives the energy charges at which the consumer shall be billed for consumption during the billing period applicable to the category:</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078"/>
      </w:tblGrid>
      <w:tr w:rsidR="00C802EE" w:rsidRPr="00942C19" w:rsidTr="00C652DB">
        <w:trPr>
          <w:jc w:val="center"/>
        </w:trPr>
        <w:tc>
          <w:tcPr>
            <w:tcW w:w="0" w:type="auto"/>
          </w:tcPr>
          <w:p w:rsidR="00C802EE" w:rsidRPr="00942C19" w:rsidRDefault="00C802EE" w:rsidP="00C652DB">
            <w:pPr>
              <w:spacing w:line="240" w:lineRule="auto"/>
              <w:rPr>
                <w:b/>
              </w:rPr>
            </w:pPr>
            <w:r w:rsidRPr="00942C19">
              <w:rPr>
                <w:b/>
              </w:rPr>
              <w:t>Demand Charges</w:t>
            </w:r>
          </w:p>
        </w:tc>
        <w:tc>
          <w:tcPr>
            <w:tcW w:w="0" w:type="auto"/>
          </w:tcPr>
          <w:p w:rsidR="00C802EE" w:rsidRPr="00942C19" w:rsidRDefault="00C802EE" w:rsidP="00C652DB">
            <w:pPr>
              <w:pStyle w:val="BodyText"/>
              <w:spacing w:line="240" w:lineRule="auto"/>
              <w:ind w:left="720"/>
            </w:pPr>
            <w:r w:rsidRPr="00942C19">
              <w:t>Rs. 125 / kVA / month</w:t>
            </w:r>
          </w:p>
        </w:tc>
      </w:tr>
      <w:tr w:rsidR="00C802EE" w:rsidRPr="00942C19" w:rsidTr="00C652DB">
        <w:trPr>
          <w:jc w:val="center"/>
        </w:trPr>
        <w:tc>
          <w:tcPr>
            <w:tcW w:w="0" w:type="auto"/>
          </w:tcPr>
          <w:p w:rsidR="00C802EE" w:rsidRPr="00942C19" w:rsidRDefault="00C802EE" w:rsidP="00C652DB">
            <w:pPr>
              <w:spacing w:line="240" w:lineRule="auto"/>
              <w:rPr>
                <w:b/>
              </w:rPr>
            </w:pPr>
            <w:r w:rsidRPr="00942C19">
              <w:rPr>
                <w:b/>
              </w:rPr>
              <w:t>Energy Charges</w:t>
            </w:r>
            <w:r w:rsidRPr="00942C19">
              <w:rPr>
                <w:b/>
              </w:rPr>
              <w:tab/>
              <w:t xml:space="preserve">                   </w:t>
            </w:r>
          </w:p>
        </w:tc>
        <w:tc>
          <w:tcPr>
            <w:tcW w:w="0" w:type="auto"/>
          </w:tcPr>
          <w:p w:rsidR="00C802EE" w:rsidRPr="00942C19" w:rsidRDefault="00C802EE" w:rsidP="00C652DB">
            <w:pPr>
              <w:pStyle w:val="BodyText"/>
              <w:spacing w:line="240" w:lineRule="auto"/>
              <w:ind w:left="720"/>
              <w:rPr>
                <w:lang w:val="en-US"/>
              </w:rPr>
            </w:pPr>
            <w:r w:rsidRPr="00942C19">
              <w:t>Rs. 5.00 / kVAh</w:t>
            </w:r>
          </w:p>
        </w:tc>
      </w:tr>
      <w:tr w:rsidR="00C802EE" w:rsidRPr="00942C19" w:rsidTr="00C652DB">
        <w:trPr>
          <w:jc w:val="center"/>
        </w:trPr>
        <w:tc>
          <w:tcPr>
            <w:tcW w:w="0" w:type="auto"/>
          </w:tcPr>
          <w:p w:rsidR="00C802EE" w:rsidRPr="00942C19" w:rsidRDefault="00C802EE" w:rsidP="00C652DB">
            <w:pPr>
              <w:spacing w:line="240" w:lineRule="auto"/>
              <w:rPr>
                <w:b/>
              </w:rPr>
            </w:pPr>
            <w:r w:rsidRPr="00942C19">
              <w:rPr>
                <w:b/>
              </w:rPr>
              <w:t>Minimum charge</w:t>
            </w:r>
          </w:p>
        </w:tc>
        <w:tc>
          <w:tcPr>
            <w:tcW w:w="0" w:type="auto"/>
          </w:tcPr>
          <w:p w:rsidR="00C802EE" w:rsidRPr="00942C19" w:rsidRDefault="00C802EE" w:rsidP="00C652DB">
            <w:pPr>
              <w:pStyle w:val="BodyText"/>
              <w:spacing w:line="240" w:lineRule="auto"/>
              <w:ind w:left="720"/>
            </w:pPr>
            <w:r w:rsidRPr="00942C19">
              <w:t>Rs. 550 / kVA / month</w:t>
            </w:r>
          </w:p>
        </w:tc>
      </w:tr>
    </w:tbl>
    <w:p w:rsidR="00C802EE" w:rsidRPr="00942C19" w:rsidRDefault="00C802EE" w:rsidP="00C802EE"/>
    <w:p w:rsidR="00C802EE" w:rsidRPr="00942C19" w:rsidRDefault="00C802EE" w:rsidP="00A818DC">
      <w:pPr>
        <w:numPr>
          <w:ilvl w:val="0"/>
          <w:numId w:val="66"/>
        </w:numPr>
        <w:spacing w:before="0"/>
        <w:ind w:right="11"/>
        <w:jc w:val="left"/>
      </w:pPr>
      <w:r w:rsidRPr="00942C19">
        <w:t>Penalty @ Rs. 540 / kVA will be charged on excess demand, if demand exceeds contracted load.</w:t>
      </w:r>
    </w:p>
    <w:p w:rsidR="00C802EE" w:rsidRPr="00942C19" w:rsidRDefault="00C802EE" w:rsidP="00A818DC">
      <w:pPr>
        <w:numPr>
          <w:ilvl w:val="0"/>
          <w:numId w:val="66"/>
        </w:numPr>
        <w:spacing w:before="0"/>
        <w:ind w:right="11"/>
        <w:jc w:val="left"/>
      </w:pPr>
      <w:r w:rsidRPr="00942C19">
        <w:t>This category has been made as per the agreement between DMRC and NOIDA Administration.</w:t>
      </w:r>
    </w:p>
    <w:p w:rsidR="00C802EE" w:rsidRPr="00942C19" w:rsidRDefault="00C802EE" w:rsidP="00C802EE">
      <w:pPr>
        <w:spacing w:before="100"/>
        <w:ind w:right="29"/>
        <w:rPr>
          <w:b/>
        </w:rPr>
      </w:pPr>
    </w:p>
    <w:p w:rsidR="00C802EE" w:rsidRPr="00942C19" w:rsidRDefault="00C802EE" w:rsidP="00C802EE">
      <w:pPr>
        <w:spacing w:before="100"/>
        <w:ind w:right="29"/>
        <w:rPr>
          <w:b/>
        </w:rPr>
      </w:pPr>
      <w:r w:rsidRPr="00942C19">
        <w:rPr>
          <w:b/>
        </w:rPr>
        <w:t xml:space="preserve">4.    DETERMINATION OF THE DEMAND: </w:t>
      </w:r>
    </w:p>
    <w:p w:rsidR="00C802EE" w:rsidRPr="00942C19" w:rsidRDefault="00C802EE" w:rsidP="00C802EE">
      <w:pPr>
        <w:pStyle w:val="BodyText"/>
        <w:tabs>
          <w:tab w:val="left" w:pos="360"/>
          <w:tab w:val="left" w:pos="450"/>
        </w:tabs>
        <w:spacing w:line="288" w:lineRule="auto"/>
        <w:ind w:left="450" w:right="11"/>
      </w:pPr>
      <w:r w:rsidRPr="00942C19">
        <w:t>Demand measurement shall be made by suitable kilovolt ampere indicator at the point of delivery. The demand for any month shall be defined as the highest average load measured in Kilo Volt-Amperes during any fifteen consecutive minutes period of the month.</w:t>
      </w:r>
    </w:p>
    <w:p w:rsidR="00C802EE" w:rsidRPr="00942C19" w:rsidRDefault="00C802EE" w:rsidP="00C802EE">
      <w:pPr>
        <w:ind w:right="11"/>
        <w:jc w:val="center"/>
        <w:rPr>
          <w:b/>
          <w:bCs/>
          <w:u w:val="single"/>
        </w:rPr>
      </w:pPr>
      <w:r w:rsidRPr="00942C19">
        <w:br w:type="page"/>
      </w:r>
      <w:r w:rsidRPr="00942C19">
        <w:rPr>
          <w:b/>
          <w:bCs/>
          <w:u w:val="single"/>
        </w:rPr>
        <w:t>RATE SCHEDULE HV – 4:</w:t>
      </w:r>
    </w:p>
    <w:p w:rsidR="00C802EE" w:rsidRPr="00942C19" w:rsidRDefault="00C802EE" w:rsidP="00C802EE">
      <w:pPr>
        <w:spacing w:before="100" w:beforeAutospacing="1"/>
        <w:ind w:right="29"/>
        <w:jc w:val="center"/>
        <w:rPr>
          <w:rFonts w:cs="Arial"/>
          <w:b/>
        </w:rPr>
      </w:pPr>
      <w:r w:rsidRPr="00942C19">
        <w:rPr>
          <w:rFonts w:cs="Arial"/>
          <w:b/>
        </w:rPr>
        <w:t>LIFT IRRIGATION WORKS:</w:t>
      </w:r>
    </w:p>
    <w:p w:rsidR="00C802EE" w:rsidRPr="00942C19" w:rsidRDefault="00C802EE" w:rsidP="00A818DC">
      <w:pPr>
        <w:numPr>
          <w:ilvl w:val="0"/>
          <w:numId w:val="77"/>
        </w:numPr>
        <w:spacing w:before="100" w:beforeAutospacing="1" w:line="288" w:lineRule="auto"/>
        <w:ind w:right="29"/>
        <w:rPr>
          <w:rFonts w:cs="Arial"/>
          <w:b/>
        </w:rPr>
      </w:pPr>
      <w:r w:rsidRPr="00942C19">
        <w:rPr>
          <w:rFonts w:cs="Arial"/>
          <w:b/>
        </w:rPr>
        <w:t>APPLICABILITY:</w:t>
      </w:r>
    </w:p>
    <w:p w:rsidR="00C802EE" w:rsidRPr="00942C19" w:rsidRDefault="00C802EE" w:rsidP="00C802EE">
      <w:pPr>
        <w:tabs>
          <w:tab w:val="left" w:pos="360"/>
        </w:tabs>
        <w:ind w:left="360" w:right="29"/>
        <w:rPr>
          <w:rFonts w:cs="Arial"/>
        </w:rPr>
      </w:pPr>
      <w:r w:rsidRPr="00942C19">
        <w:rPr>
          <w:rFonts w:cs="Arial"/>
        </w:rPr>
        <w:t>This Rate Schedule shall apply to medium and large pumped canals having load of more than 100 BHP (75kW).</w:t>
      </w:r>
    </w:p>
    <w:p w:rsidR="00C802EE" w:rsidRPr="00942C19" w:rsidRDefault="00C802EE" w:rsidP="00C802EE">
      <w:pPr>
        <w:tabs>
          <w:tab w:val="left" w:pos="360"/>
        </w:tabs>
        <w:ind w:left="360" w:right="29"/>
        <w:rPr>
          <w:rFonts w:cs="Arial"/>
        </w:rPr>
      </w:pPr>
      <w:r w:rsidRPr="00942C19">
        <w:rPr>
          <w:rFonts w:cs="Arial"/>
        </w:rPr>
        <w:tab/>
      </w:r>
    </w:p>
    <w:p w:rsidR="00A44CA7" w:rsidRPr="00942C19" w:rsidRDefault="00C802EE">
      <w:pPr>
        <w:numPr>
          <w:ilvl w:val="0"/>
          <w:numId w:val="77"/>
        </w:numPr>
        <w:tabs>
          <w:tab w:val="clear" w:pos="360"/>
          <w:tab w:val="num" w:pos="450"/>
        </w:tabs>
        <w:spacing w:before="60" w:after="100" w:line="288" w:lineRule="auto"/>
        <w:ind w:left="720" w:right="28" w:hanging="720"/>
        <w:rPr>
          <w:b/>
        </w:rPr>
      </w:pPr>
      <w:r w:rsidRPr="00942C19">
        <w:rPr>
          <w:b/>
        </w:rPr>
        <w:t>CHARACTER OF SERVICE &amp; POINT OF SUPPLY:</w:t>
      </w:r>
    </w:p>
    <w:p w:rsidR="00C802EE" w:rsidRPr="00942C19" w:rsidRDefault="00C802EE" w:rsidP="00C802EE">
      <w:pPr>
        <w:spacing w:before="100" w:after="100"/>
        <w:ind w:left="360" w:right="29"/>
      </w:pPr>
      <w:r w:rsidRPr="00942C19">
        <w:t>As per applicable provisions of Electricity Supply Code.</w:t>
      </w:r>
    </w:p>
    <w:p w:rsidR="00A44CA7" w:rsidRPr="00942C19" w:rsidRDefault="00A44CA7">
      <w:pPr>
        <w:spacing w:before="0"/>
        <w:ind w:left="357" w:right="28"/>
      </w:pPr>
    </w:p>
    <w:p w:rsidR="00A44CA7" w:rsidRPr="00942C19" w:rsidRDefault="00C802EE">
      <w:pPr>
        <w:numPr>
          <w:ilvl w:val="0"/>
          <w:numId w:val="77"/>
        </w:numPr>
        <w:spacing w:before="60" w:after="100" w:afterAutospacing="1" w:line="288" w:lineRule="auto"/>
        <w:ind w:left="357" w:right="28" w:hanging="357"/>
        <w:rPr>
          <w:rFonts w:cs="Arial"/>
          <w:b/>
        </w:rPr>
      </w:pPr>
      <w:r w:rsidRPr="00942C19">
        <w:rPr>
          <w:rFonts w:cs="Arial"/>
          <w:b/>
        </w:rPr>
        <w:t xml:space="preserve">RATE: </w:t>
      </w:r>
    </w:p>
    <w:p w:rsidR="00C802EE" w:rsidRPr="00942C19" w:rsidRDefault="00C802EE" w:rsidP="00C802EE">
      <w:pPr>
        <w:spacing w:before="100" w:beforeAutospacing="1" w:after="100" w:afterAutospacing="1"/>
        <w:ind w:left="360" w:right="29"/>
      </w:pPr>
      <w:r w:rsidRPr="00942C19">
        <w:t xml:space="preserve">Rate, gives the demand and energy charges at which the consumer shall be billed for his consumption during the billing period applicable to the category: </w:t>
      </w:r>
    </w:p>
    <w:p w:rsidR="00C802EE" w:rsidRPr="00942C19" w:rsidRDefault="00C802EE" w:rsidP="00C802EE">
      <w:pPr>
        <w:ind w:left="360" w:right="29"/>
        <w:rPr>
          <w:rFonts w:cs="Arial"/>
          <w:b/>
        </w:rPr>
      </w:pPr>
      <w:r w:rsidRPr="00942C19">
        <w:rPr>
          <w:rFonts w:cs="Arial"/>
          <w:b/>
        </w:rPr>
        <w:t>(a)</w:t>
      </w:r>
      <w:r w:rsidRPr="00942C19">
        <w:rPr>
          <w:rFonts w:cs="Arial"/>
          <w:b/>
        </w:rPr>
        <w:tab/>
        <w:t>Demand Charges:</w:t>
      </w:r>
    </w:p>
    <w:tbl>
      <w:tblPr>
        <w:tblpPr w:leftFromText="180" w:rightFromText="180" w:vertAnchor="text" w:horzAnchor="margin" w:tblpXSpec="center" w:tblpY="16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942C19" w:rsidTr="00C652DB">
        <w:trPr>
          <w:trHeight w:val="225"/>
        </w:trPr>
        <w:tc>
          <w:tcPr>
            <w:tcW w:w="4230" w:type="dxa"/>
            <w:tcBorders>
              <w:bottom w:val="single" w:sz="4" w:space="0" w:color="auto"/>
            </w:tcBorders>
            <w:shd w:val="pct12" w:color="auto" w:fill="auto"/>
          </w:tcPr>
          <w:p w:rsidR="00C802EE" w:rsidRPr="00942C19" w:rsidRDefault="00C802EE" w:rsidP="00C652DB">
            <w:pPr>
              <w:pStyle w:val="BodyText"/>
              <w:spacing w:line="288" w:lineRule="auto"/>
              <w:jc w:val="center"/>
              <w:rPr>
                <w:rFonts w:cs="Arial"/>
                <w:b/>
                <w:bCs/>
              </w:rPr>
            </w:pPr>
            <w:r w:rsidRPr="00942C19">
              <w:rPr>
                <w:rFonts w:cs="Arial"/>
                <w:b/>
                <w:bCs/>
              </w:rPr>
              <w:t>Voltage Level</w:t>
            </w:r>
          </w:p>
        </w:tc>
        <w:tc>
          <w:tcPr>
            <w:tcW w:w="3078" w:type="dxa"/>
            <w:tcBorders>
              <w:bottom w:val="single" w:sz="4" w:space="0" w:color="auto"/>
            </w:tcBorders>
            <w:shd w:val="pct12" w:color="auto" w:fill="auto"/>
          </w:tcPr>
          <w:p w:rsidR="00C802EE" w:rsidRPr="00942C19" w:rsidRDefault="00C802EE" w:rsidP="00C652DB">
            <w:pPr>
              <w:pStyle w:val="BodyText"/>
              <w:spacing w:line="288" w:lineRule="auto"/>
              <w:jc w:val="center"/>
              <w:rPr>
                <w:rFonts w:cs="Arial"/>
                <w:b/>
                <w:bCs/>
              </w:rPr>
            </w:pPr>
            <w:r w:rsidRPr="00942C19">
              <w:rPr>
                <w:rFonts w:cs="Arial"/>
                <w:b/>
                <w:bCs/>
              </w:rPr>
              <w:t>Rate of Charge</w:t>
            </w:r>
          </w:p>
        </w:tc>
      </w:tr>
      <w:tr w:rsidR="00C802EE" w:rsidRPr="00942C19" w:rsidTr="00C652DB">
        <w:trPr>
          <w:trHeight w:val="893"/>
        </w:trPr>
        <w:tc>
          <w:tcPr>
            <w:tcW w:w="4230" w:type="dxa"/>
            <w:tcBorders>
              <w:top w:val="single" w:sz="4" w:space="0" w:color="auto"/>
            </w:tcBorders>
          </w:tcPr>
          <w:p w:rsidR="00C802EE" w:rsidRPr="00942C19" w:rsidRDefault="00C802EE" w:rsidP="00C652DB">
            <w:pPr>
              <w:pStyle w:val="BodyText"/>
              <w:spacing w:line="288" w:lineRule="auto"/>
              <w:jc w:val="left"/>
              <w:rPr>
                <w:rFonts w:cs="Arial"/>
              </w:rPr>
            </w:pPr>
            <w:r w:rsidRPr="00942C19">
              <w:rPr>
                <w:rFonts w:cs="Arial"/>
              </w:rPr>
              <w:t xml:space="preserve">For supply at 11 kV </w:t>
            </w:r>
          </w:p>
          <w:p w:rsidR="00C802EE" w:rsidRPr="00942C19" w:rsidRDefault="00C802EE" w:rsidP="00C652DB">
            <w:pPr>
              <w:pStyle w:val="BodyText"/>
              <w:spacing w:line="288" w:lineRule="auto"/>
              <w:jc w:val="left"/>
              <w:rPr>
                <w:rFonts w:cs="Arial"/>
              </w:rPr>
            </w:pPr>
            <w:r w:rsidRPr="00942C19">
              <w:rPr>
                <w:rFonts w:cs="Arial"/>
              </w:rPr>
              <w:t xml:space="preserve">For supply at 33 kV and 66 kV </w:t>
            </w:r>
          </w:p>
          <w:p w:rsidR="00C802EE" w:rsidRPr="00942C19" w:rsidRDefault="00C802EE" w:rsidP="00C652DB">
            <w:pPr>
              <w:pStyle w:val="BodyText"/>
              <w:spacing w:line="288" w:lineRule="auto"/>
              <w:jc w:val="left"/>
              <w:rPr>
                <w:rFonts w:cs="Arial"/>
                <w:b/>
              </w:rPr>
            </w:pPr>
            <w:r w:rsidRPr="00942C19">
              <w:rPr>
                <w:rFonts w:cs="Arial"/>
              </w:rPr>
              <w:t>For supply at  132 kV</w:t>
            </w:r>
          </w:p>
        </w:tc>
        <w:tc>
          <w:tcPr>
            <w:tcW w:w="3078" w:type="dxa"/>
            <w:tcBorders>
              <w:top w:val="single" w:sz="4" w:space="0" w:color="auto"/>
            </w:tcBorders>
          </w:tcPr>
          <w:p w:rsidR="00C802EE" w:rsidRPr="00942C19" w:rsidRDefault="00C802EE" w:rsidP="00C652DB">
            <w:pPr>
              <w:pStyle w:val="BodyText"/>
              <w:spacing w:line="288" w:lineRule="auto"/>
              <w:jc w:val="center"/>
              <w:rPr>
                <w:rFonts w:cs="Arial"/>
              </w:rPr>
            </w:pPr>
            <w:r w:rsidRPr="00942C19">
              <w:rPr>
                <w:rFonts w:cs="Arial"/>
              </w:rPr>
              <w:t>Rs. 250 / kVA / month</w:t>
            </w:r>
          </w:p>
          <w:p w:rsidR="00C802EE" w:rsidRPr="00942C19" w:rsidRDefault="00C802EE" w:rsidP="00C652DB">
            <w:pPr>
              <w:pStyle w:val="BodyText"/>
              <w:spacing w:line="288" w:lineRule="auto"/>
              <w:jc w:val="center"/>
              <w:rPr>
                <w:rFonts w:cs="Arial"/>
              </w:rPr>
            </w:pPr>
            <w:r w:rsidRPr="00942C19">
              <w:rPr>
                <w:rFonts w:cs="Arial"/>
              </w:rPr>
              <w:t>Rs. 240 / kVA / month</w:t>
            </w:r>
          </w:p>
          <w:p w:rsidR="00C802EE" w:rsidRPr="00942C19" w:rsidRDefault="00C802EE" w:rsidP="00C652DB">
            <w:pPr>
              <w:pStyle w:val="BodyText"/>
              <w:spacing w:line="288" w:lineRule="auto"/>
              <w:jc w:val="center"/>
              <w:rPr>
                <w:rFonts w:cs="Arial"/>
              </w:rPr>
            </w:pPr>
            <w:r w:rsidRPr="00942C19">
              <w:rPr>
                <w:rFonts w:cs="Arial"/>
              </w:rPr>
              <w:t>Rs. 230 / kVA / month</w:t>
            </w:r>
          </w:p>
        </w:tc>
      </w:tr>
    </w:tbl>
    <w:p w:rsidR="00C802EE" w:rsidRPr="00942C19" w:rsidRDefault="00C802EE" w:rsidP="00C802EE">
      <w:pPr>
        <w:pStyle w:val="BodyText"/>
        <w:spacing w:line="288" w:lineRule="auto"/>
        <w:jc w:val="left"/>
      </w:pPr>
      <w:r w:rsidRPr="00942C19">
        <w:tab/>
      </w:r>
    </w:p>
    <w:p w:rsidR="00C802EE" w:rsidRPr="00942C19" w:rsidRDefault="00C802EE" w:rsidP="00C802EE">
      <w:pPr>
        <w:pStyle w:val="BodyText"/>
        <w:spacing w:before="100" w:beforeAutospacing="1" w:after="100" w:afterAutospacing="1" w:line="288" w:lineRule="auto"/>
        <w:ind w:left="720" w:hanging="360"/>
        <w:jc w:val="left"/>
        <w:rPr>
          <w:b/>
        </w:rPr>
      </w:pPr>
    </w:p>
    <w:p w:rsidR="00C802EE" w:rsidRPr="00942C19" w:rsidRDefault="00C802EE" w:rsidP="00C802EE">
      <w:pPr>
        <w:pStyle w:val="BodyText"/>
        <w:spacing w:before="100" w:beforeAutospacing="1" w:after="100" w:afterAutospacing="1" w:line="288" w:lineRule="auto"/>
        <w:ind w:left="720" w:hanging="360"/>
        <w:jc w:val="left"/>
        <w:rPr>
          <w:b/>
        </w:rPr>
      </w:pPr>
    </w:p>
    <w:p w:rsidR="00C802EE" w:rsidRPr="00942C19" w:rsidRDefault="00C802EE" w:rsidP="00A818DC">
      <w:pPr>
        <w:pStyle w:val="BodyText"/>
        <w:numPr>
          <w:ilvl w:val="0"/>
          <w:numId w:val="80"/>
        </w:numPr>
        <w:spacing w:before="100" w:beforeAutospacing="1" w:line="288" w:lineRule="auto"/>
        <w:ind w:left="714" w:hanging="357"/>
        <w:jc w:val="left"/>
      </w:pPr>
      <w:r w:rsidRPr="00942C19">
        <w:rPr>
          <w:b/>
        </w:rPr>
        <w:t>Energy Charges</w:t>
      </w:r>
      <w:r w:rsidRPr="00942C19">
        <w:t>:</w:t>
      </w:r>
    </w:p>
    <w:tbl>
      <w:tblPr>
        <w:tblpPr w:leftFromText="180" w:rightFromText="180" w:vertAnchor="text" w:horzAnchor="margin" w:tblpXSpec="center" w:tblpY="9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942C19" w:rsidTr="00C652DB">
        <w:trPr>
          <w:trHeight w:val="252"/>
        </w:trPr>
        <w:tc>
          <w:tcPr>
            <w:tcW w:w="4230" w:type="dxa"/>
            <w:tcBorders>
              <w:bottom w:val="single" w:sz="4" w:space="0" w:color="auto"/>
            </w:tcBorders>
            <w:shd w:val="pct12" w:color="auto" w:fill="auto"/>
          </w:tcPr>
          <w:p w:rsidR="00C802EE" w:rsidRPr="00942C19" w:rsidRDefault="00C802EE" w:rsidP="00C652DB">
            <w:pPr>
              <w:pStyle w:val="BodyText"/>
              <w:spacing w:line="288" w:lineRule="auto"/>
              <w:jc w:val="left"/>
              <w:rPr>
                <w:rFonts w:cs="Arial"/>
                <w:b/>
                <w:bCs/>
              </w:rPr>
            </w:pPr>
            <w:r w:rsidRPr="00942C19">
              <w:rPr>
                <w:rFonts w:cs="Arial"/>
                <w:b/>
                <w:bCs/>
              </w:rPr>
              <w:t>Voltage Level</w:t>
            </w:r>
          </w:p>
        </w:tc>
        <w:tc>
          <w:tcPr>
            <w:tcW w:w="3078" w:type="dxa"/>
            <w:tcBorders>
              <w:bottom w:val="single" w:sz="4" w:space="0" w:color="auto"/>
            </w:tcBorders>
            <w:shd w:val="pct12" w:color="auto" w:fill="auto"/>
          </w:tcPr>
          <w:p w:rsidR="00C802EE" w:rsidRPr="00942C19" w:rsidRDefault="00C802EE" w:rsidP="00C652DB">
            <w:pPr>
              <w:pStyle w:val="BodyText"/>
              <w:spacing w:line="288" w:lineRule="auto"/>
              <w:jc w:val="center"/>
              <w:rPr>
                <w:rFonts w:cs="Arial"/>
                <w:b/>
                <w:bCs/>
              </w:rPr>
            </w:pPr>
            <w:r w:rsidRPr="00942C19">
              <w:rPr>
                <w:rFonts w:cs="Arial"/>
                <w:b/>
                <w:bCs/>
              </w:rPr>
              <w:t>Rate of Charge</w:t>
            </w:r>
          </w:p>
        </w:tc>
      </w:tr>
      <w:tr w:rsidR="00C802EE" w:rsidRPr="00942C19" w:rsidTr="00C652DB">
        <w:trPr>
          <w:trHeight w:val="887"/>
        </w:trPr>
        <w:tc>
          <w:tcPr>
            <w:tcW w:w="4230" w:type="dxa"/>
            <w:tcBorders>
              <w:top w:val="single" w:sz="4" w:space="0" w:color="auto"/>
              <w:bottom w:val="single" w:sz="4" w:space="0" w:color="auto"/>
            </w:tcBorders>
          </w:tcPr>
          <w:p w:rsidR="00C802EE" w:rsidRPr="00942C19" w:rsidRDefault="00C802EE" w:rsidP="00C652DB">
            <w:pPr>
              <w:pStyle w:val="BodyText"/>
              <w:spacing w:line="288" w:lineRule="auto"/>
              <w:jc w:val="left"/>
              <w:rPr>
                <w:rFonts w:cs="Arial"/>
              </w:rPr>
            </w:pPr>
            <w:r w:rsidRPr="00942C19">
              <w:rPr>
                <w:rFonts w:cs="Arial"/>
              </w:rPr>
              <w:t xml:space="preserve">For supply at 11 kV </w:t>
            </w:r>
          </w:p>
          <w:p w:rsidR="00C802EE" w:rsidRPr="00942C19" w:rsidRDefault="00C802EE" w:rsidP="00C652DB">
            <w:pPr>
              <w:pStyle w:val="BodyText"/>
              <w:spacing w:line="288" w:lineRule="auto"/>
              <w:jc w:val="left"/>
              <w:rPr>
                <w:rFonts w:cs="Arial"/>
              </w:rPr>
            </w:pPr>
            <w:r w:rsidRPr="00942C19">
              <w:rPr>
                <w:rFonts w:cs="Arial"/>
              </w:rPr>
              <w:t xml:space="preserve">For supply at 33 kV and 66 kV </w:t>
            </w:r>
          </w:p>
          <w:p w:rsidR="00C802EE" w:rsidRPr="00942C19" w:rsidRDefault="00C802EE" w:rsidP="00C652DB">
            <w:pPr>
              <w:pStyle w:val="BodyText"/>
              <w:spacing w:line="288" w:lineRule="auto"/>
              <w:jc w:val="left"/>
              <w:rPr>
                <w:rFonts w:cs="Arial"/>
              </w:rPr>
            </w:pPr>
            <w:r w:rsidRPr="00942C19">
              <w:rPr>
                <w:rFonts w:cs="Arial"/>
              </w:rPr>
              <w:t>For supply at 132 kV</w:t>
            </w:r>
          </w:p>
        </w:tc>
        <w:tc>
          <w:tcPr>
            <w:tcW w:w="3078" w:type="dxa"/>
            <w:tcBorders>
              <w:top w:val="single" w:sz="4" w:space="0" w:color="auto"/>
              <w:bottom w:val="single" w:sz="4" w:space="0" w:color="auto"/>
            </w:tcBorders>
          </w:tcPr>
          <w:p w:rsidR="00C802EE" w:rsidRPr="00942C19" w:rsidRDefault="00C802EE" w:rsidP="00C652DB">
            <w:pPr>
              <w:pStyle w:val="BodyText"/>
              <w:spacing w:line="288" w:lineRule="auto"/>
              <w:jc w:val="center"/>
              <w:rPr>
                <w:rFonts w:cs="Arial"/>
                <w:lang w:val="sv-SE"/>
              </w:rPr>
            </w:pPr>
            <w:r w:rsidRPr="00942C19">
              <w:rPr>
                <w:rFonts w:cs="Arial"/>
                <w:lang w:val="sv-SE"/>
              </w:rPr>
              <w:t>Rs. 6.00 / kVAh</w:t>
            </w:r>
          </w:p>
          <w:p w:rsidR="00C802EE" w:rsidRPr="00942C19" w:rsidRDefault="00C802EE" w:rsidP="00C652DB">
            <w:pPr>
              <w:pStyle w:val="BodyText"/>
              <w:spacing w:line="288" w:lineRule="auto"/>
              <w:jc w:val="center"/>
              <w:rPr>
                <w:rFonts w:cs="Arial"/>
                <w:lang w:val="sv-SE"/>
              </w:rPr>
            </w:pPr>
            <w:r w:rsidRPr="00942C19">
              <w:rPr>
                <w:rFonts w:cs="Arial"/>
                <w:lang w:val="sv-SE"/>
              </w:rPr>
              <w:t>Rs. 5.80 / kVAh</w:t>
            </w:r>
          </w:p>
          <w:p w:rsidR="00C802EE" w:rsidRPr="00942C19" w:rsidRDefault="00C802EE" w:rsidP="00C652DB">
            <w:pPr>
              <w:pStyle w:val="BodyText"/>
              <w:spacing w:line="288" w:lineRule="auto"/>
              <w:jc w:val="center"/>
              <w:rPr>
                <w:rFonts w:cs="Arial"/>
                <w:lang w:val="sv-SE"/>
              </w:rPr>
            </w:pPr>
            <w:r w:rsidRPr="00942C19">
              <w:rPr>
                <w:rFonts w:cs="Arial"/>
                <w:lang w:val="sv-SE"/>
              </w:rPr>
              <w:t>Rs. 5.60 / kVAh</w:t>
            </w:r>
          </w:p>
        </w:tc>
      </w:tr>
    </w:tbl>
    <w:p w:rsidR="00C802EE" w:rsidRPr="00942C19" w:rsidRDefault="00C802EE" w:rsidP="00C802EE">
      <w:pPr>
        <w:pStyle w:val="BodyText"/>
        <w:spacing w:before="100" w:beforeAutospacing="1" w:after="100" w:afterAutospacing="1" w:line="288" w:lineRule="auto"/>
        <w:jc w:val="left"/>
        <w:rPr>
          <w:lang w:val="sv-SE"/>
        </w:rPr>
      </w:pPr>
    </w:p>
    <w:p w:rsidR="00C802EE" w:rsidRPr="00942C19" w:rsidRDefault="00C802EE" w:rsidP="00C802EE">
      <w:pPr>
        <w:pStyle w:val="BodyText"/>
        <w:spacing w:before="100" w:beforeAutospacing="1" w:after="100" w:afterAutospacing="1" w:line="288" w:lineRule="auto"/>
        <w:jc w:val="left"/>
        <w:rPr>
          <w:lang w:val="sv-SE"/>
        </w:rPr>
      </w:pPr>
    </w:p>
    <w:p w:rsidR="00C802EE" w:rsidRPr="00942C19" w:rsidRDefault="00C802EE" w:rsidP="00C802EE">
      <w:pPr>
        <w:ind w:left="720" w:hanging="360"/>
        <w:rPr>
          <w:rFonts w:cs="Arial"/>
          <w:b/>
          <w:lang w:val="sv-SE"/>
        </w:rPr>
      </w:pPr>
    </w:p>
    <w:p w:rsidR="00C802EE" w:rsidRPr="00942C19" w:rsidRDefault="00C802EE" w:rsidP="00C802EE">
      <w:pPr>
        <w:ind w:left="360"/>
        <w:jc w:val="left"/>
        <w:rPr>
          <w:rFonts w:cs="Arial"/>
          <w:b/>
          <w:lang w:val="sv-SE"/>
        </w:rPr>
      </w:pPr>
    </w:p>
    <w:p w:rsidR="00C802EE" w:rsidRPr="00942C19" w:rsidRDefault="00C802EE" w:rsidP="00C802EE">
      <w:pPr>
        <w:ind w:left="360"/>
      </w:pPr>
    </w:p>
    <w:p w:rsidR="00C802EE" w:rsidRPr="00942C19" w:rsidRDefault="00C802EE" w:rsidP="00A818DC">
      <w:pPr>
        <w:pStyle w:val="ListParagraph"/>
        <w:numPr>
          <w:ilvl w:val="0"/>
          <w:numId w:val="79"/>
        </w:numPr>
        <w:spacing w:before="0" w:line="240" w:lineRule="auto"/>
        <w:jc w:val="left"/>
        <w:rPr>
          <w:b/>
        </w:rPr>
      </w:pPr>
      <w:r w:rsidRPr="00942C19">
        <w:rPr>
          <w:b/>
        </w:rPr>
        <w:t>Minimum Charges:</w:t>
      </w:r>
    </w:p>
    <w:p w:rsidR="00C802EE" w:rsidRPr="00942C19" w:rsidRDefault="00C802EE" w:rsidP="00C802EE">
      <w:pPr>
        <w:pStyle w:val="ListParagraph"/>
        <w:spacing w:line="240" w:lineRule="auto"/>
        <w:jc w:val="left"/>
        <w:rPr>
          <w:b/>
        </w:rPr>
      </w:pPr>
      <w:r w:rsidRPr="00942C19">
        <w:t>Rs. 650 / kVA / month irrespective of supply voltage</w:t>
      </w:r>
      <w:r w:rsidRPr="00942C19">
        <w:rPr>
          <w:b/>
        </w:rPr>
        <w:br w:type="page"/>
      </w:r>
    </w:p>
    <w:p w:rsidR="00C802EE" w:rsidRPr="00942C19" w:rsidRDefault="00C802EE" w:rsidP="00C802EE">
      <w:pPr>
        <w:tabs>
          <w:tab w:val="left" w:pos="360"/>
          <w:tab w:val="left" w:pos="900"/>
        </w:tabs>
        <w:spacing w:before="100" w:after="100"/>
        <w:ind w:right="29"/>
        <w:rPr>
          <w:b/>
        </w:rPr>
      </w:pPr>
      <w:r w:rsidRPr="00942C19">
        <w:rPr>
          <w:b/>
        </w:rPr>
        <w:t>4.</w:t>
      </w:r>
      <w:r w:rsidRPr="00942C19">
        <w:rPr>
          <w:b/>
        </w:rPr>
        <w:tab/>
        <w:t xml:space="preserve">DETERMINATION OF THE DEMAND: </w:t>
      </w:r>
    </w:p>
    <w:p w:rsidR="00C802EE" w:rsidRPr="00942C19" w:rsidRDefault="00C802EE" w:rsidP="00C802EE">
      <w:pPr>
        <w:tabs>
          <w:tab w:val="left" w:pos="360"/>
        </w:tabs>
        <w:ind w:left="360" w:right="29"/>
      </w:pPr>
      <w:r w:rsidRPr="00942C19">
        <w:t xml:space="preserve">Demand measurement shall be made by suitable kilovolt ampere indicator at the point of supply. In the absence of suitable demand indicator, the demand as assessed by the </w:t>
      </w:r>
      <w:r w:rsidR="009A3804" w:rsidRPr="00942C19">
        <w:t>Licensee</w:t>
      </w:r>
      <w:r w:rsidRPr="00942C19">
        <w:t xml:space="preserve"> shall be final and binding. If, however, the number of circuits is more than one, demand and energy measurement will be done on the principle of current transformer summation metering. </w:t>
      </w:r>
    </w:p>
    <w:p w:rsidR="00C802EE" w:rsidRPr="00942C19" w:rsidRDefault="00C802EE" w:rsidP="00C802EE">
      <w:pPr>
        <w:spacing w:line="240" w:lineRule="auto"/>
        <w:jc w:val="left"/>
        <w:rPr>
          <w:b/>
          <w:szCs w:val="22"/>
          <w:u w:val="single"/>
        </w:rPr>
      </w:pPr>
    </w:p>
    <w:p w:rsidR="00D31265" w:rsidRPr="00942C19" w:rsidRDefault="00D31265">
      <w:pPr>
        <w:spacing w:before="0" w:line="240" w:lineRule="auto"/>
        <w:jc w:val="left"/>
        <w:rPr>
          <w:rFonts w:cs="Arial"/>
          <w:b/>
          <w:bCs/>
          <w:szCs w:val="26"/>
        </w:rPr>
      </w:pPr>
      <w:r w:rsidRPr="00942C19">
        <w:rPr>
          <w:b/>
        </w:rPr>
        <w:br w:type="page"/>
      </w:r>
    </w:p>
    <w:p w:rsidR="00C802EE" w:rsidRPr="00942C19" w:rsidRDefault="00C802EE" w:rsidP="00710ADC">
      <w:pPr>
        <w:pStyle w:val="Heading3"/>
        <w:numPr>
          <w:ilvl w:val="2"/>
          <w:numId w:val="1"/>
        </w:numPr>
        <w:rPr>
          <w:b/>
        </w:rPr>
      </w:pPr>
      <w:r w:rsidRPr="00942C19">
        <w:rPr>
          <w:b/>
        </w:rPr>
        <w:t>DEPARTMENTAL EMPLOYEES:</w:t>
      </w:r>
    </w:p>
    <w:p w:rsidR="00C802EE" w:rsidRPr="00942C19" w:rsidRDefault="00C802EE" w:rsidP="00C802EE">
      <w:pPr>
        <w:tabs>
          <w:tab w:val="left" w:pos="2693"/>
          <w:tab w:val="left" w:pos="8730"/>
        </w:tabs>
        <w:spacing w:before="100"/>
        <w:ind w:right="11"/>
        <w:rPr>
          <w:szCs w:val="22"/>
        </w:rPr>
      </w:pPr>
      <w:r w:rsidRPr="00942C19">
        <w:rPr>
          <w:szCs w:val="22"/>
        </w:rPr>
        <w:tab/>
      </w:r>
    </w:p>
    <w:p w:rsidR="00C802EE" w:rsidRPr="00942C19" w:rsidRDefault="00C802EE" w:rsidP="00A818DC">
      <w:pPr>
        <w:numPr>
          <w:ilvl w:val="0"/>
          <w:numId w:val="88"/>
        </w:numPr>
        <w:tabs>
          <w:tab w:val="clear" w:pos="360"/>
          <w:tab w:val="num" w:pos="720"/>
        </w:tabs>
        <w:spacing w:before="100" w:after="40" w:line="288" w:lineRule="auto"/>
        <w:ind w:left="720" w:right="1440" w:hanging="720"/>
        <w:rPr>
          <w:b/>
          <w:szCs w:val="22"/>
        </w:rPr>
      </w:pPr>
      <w:r w:rsidRPr="00942C19">
        <w:rPr>
          <w:b/>
          <w:szCs w:val="22"/>
        </w:rPr>
        <w:t>OTHER PROVISIONS:</w:t>
      </w:r>
    </w:p>
    <w:p w:rsidR="00C802EE" w:rsidRPr="00942C19" w:rsidRDefault="00C802EE" w:rsidP="00A818DC">
      <w:pPr>
        <w:numPr>
          <w:ilvl w:val="0"/>
          <w:numId w:val="89"/>
        </w:numPr>
        <w:tabs>
          <w:tab w:val="clear" w:pos="1080"/>
        </w:tabs>
        <w:spacing w:before="100" w:after="40" w:line="288" w:lineRule="auto"/>
        <w:ind w:left="1440" w:right="-58"/>
        <w:rPr>
          <w:szCs w:val="22"/>
        </w:rPr>
      </w:pPr>
      <w:r w:rsidRPr="00942C19">
        <w:rPr>
          <w:szCs w:val="22"/>
        </w:rPr>
        <w:t xml:space="preserve">For serving / retired employees and their spouse, the supply will only be given at one place where </w:t>
      </w:r>
      <w:r w:rsidR="009A3804" w:rsidRPr="00942C19">
        <w:rPr>
          <w:szCs w:val="22"/>
        </w:rPr>
        <w:t>Licensee</w:t>
      </w:r>
      <w:r w:rsidRPr="00942C19">
        <w:rPr>
          <w:szCs w:val="22"/>
        </w:rPr>
        <w:t xml:space="preserve">’s mains exist. The electric supply under this tariff will be given only at one place, within the area of erstwhile UPSEB / its successor companies.   </w:t>
      </w:r>
    </w:p>
    <w:p w:rsidR="00C802EE" w:rsidRPr="00942C19" w:rsidRDefault="00C802EE" w:rsidP="00A818DC">
      <w:pPr>
        <w:numPr>
          <w:ilvl w:val="0"/>
          <w:numId w:val="89"/>
        </w:numPr>
        <w:tabs>
          <w:tab w:val="clear" w:pos="1080"/>
        </w:tabs>
        <w:spacing w:before="100" w:after="40" w:line="288" w:lineRule="auto"/>
        <w:ind w:left="1440" w:right="-58"/>
        <w:rPr>
          <w:szCs w:val="22"/>
        </w:rPr>
      </w:pPr>
      <w:r w:rsidRPr="00942C19">
        <w:rPr>
          <w:szCs w:val="22"/>
        </w:rPr>
        <w:t xml:space="preserve">In the event of transfer of the employee, this tariff shall be applied at the new place of posting only when a certificate has been obtained from the concerned Executive Engineer of the previous place of posting, that the supply under this tariff has been withdrawn at previous place of posting. Further, the employee shall also be required to submit an affidavit that he is not availing the benefit of LMV-10 connection anywhere else in the state. </w:t>
      </w:r>
    </w:p>
    <w:p w:rsidR="00C802EE" w:rsidRPr="00942C19" w:rsidRDefault="00C802EE" w:rsidP="00A818DC">
      <w:pPr>
        <w:numPr>
          <w:ilvl w:val="0"/>
          <w:numId w:val="89"/>
        </w:numPr>
        <w:tabs>
          <w:tab w:val="clear" w:pos="1080"/>
        </w:tabs>
        <w:spacing w:before="100" w:after="40" w:line="288" w:lineRule="auto"/>
        <w:ind w:left="1440" w:right="-58"/>
        <w:rPr>
          <w:szCs w:val="22"/>
        </w:rPr>
      </w:pPr>
      <w:r w:rsidRPr="00942C19">
        <w:rPr>
          <w:szCs w:val="22"/>
        </w:rPr>
        <w:t>Those who are not availing this tariff shall also give a declaration to this effect. This declaration shall be pasted / kept in his service book / personal file / Pensioners record. If the declaration is found wrong, necessary action against the employee shall be taken as per the provisions of service rules.  If declaration has already been given at the present place of posting then further declaration is not necessary due to this revision. Pensioners shall also have to give a similar declaration for availing departmental tariff at only one place. In case this declaration is found wrong, this tariff shall be withdrawn forever.</w:t>
      </w:r>
    </w:p>
    <w:p w:rsidR="00C802EE" w:rsidRPr="00942C19" w:rsidRDefault="00C802EE" w:rsidP="00A818DC">
      <w:pPr>
        <w:numPr>
          <w:ilvl w:val="0"/>
          <w:numId w:val="89"/>
        </w:numPr>
        <w:tabs>
          <w:tab w:val="clear" w:pos="1080"/>
        </w:tabs>
        <w:spacing w:before="100" w:after="40" w:line="288" w:lineRule="auto"/>
        <w:ind w:left="1440" w:right="-58"/>
        <w:rPr>
          <w:szCs w:val="22"/>
        </w:rPr>
      </w:pPr>
      <w:r w:rsidRPr="00942C19">
        <w:rPr>
          <w:szCs w:val="22"/>
        </w:rPr>
        <w:t>No other concession shall be admissible on this tariff.</w:t>
      </w:r>
    </w:p>
    <w:p w:rsidR="00C802EE" w:rsidRPr="00942C19" w:rsidRDefault="00C802EE" w:rsidP="00A818DC">
      <w:pPr>
        <w:numPr>
          <w:ilvl w:val="0"/>
          <w:numId w:val="89"/>
        </w:numPr>
        <w:tabs>
          <w:tab w:val="clear" w:pos="1080"/>
        </w:tabs>
        <w:spacing w:before="100" w:after="40" w:line="288" w:lineRule="auto"/>
        <w:ind w:left="1440" w:right="-58"/>
        <w:rPr>
          <w:szCs w:val="22"/>
        </w:rPr>
      </w:pPr>
      <w:r w:rsidRPr="00942C19">
        <w:rPr>
          <w:szCs w:val="22"/>
        </w:rPr>
        <w:t xml:space="preserve">The schedule of miscellaneous charges as appended with </w:t>
      </w:r>
      <w:r w:rsidR="009A3804" w:rsidRPr="00942C19">
        <w:rPr>
          <w:szCs w:val="22"/>
        </w:rPr>
        <w:t>Licensee</w:t>
      </w:r>
      <w:r w:rsidRPr="00942C19">
        <w:rPr>
          <w:szCs w:val="22"/>
        </w:rPr>
        <w:t>'s General Tariff as amended from time to time and Electricity Supply (Consumers) Regulation, 1984 as enforced from time to time shall also be applicable on the employee / pensioner receiving supply under this schedule.</w:t>
      </w:r>
    </w:p>
    <w:p w:rsidR="00C802EE" w:rsidRPr="00942C19" w:rsidRDefault="00C802EE" w:rsidP="00A818DC">
      <w:pPr>
        <w:numPr>
          <w:ilvl w:val="0"/>
          <w:numId w:val="89"/>
        </w:numPr>
        <w:tabs>
          <w:tab w:val="clear" w:pos="1080"/>
        </w:tabs>
        <w:spacing w:before="100" w:after="40" w:line="288" w:lineRule="auto"/>
        <w:ind w:left="1440" w:right="-58"/>
        <w:rPr>
          <w:b/>
          <w:szCs w:val="22"/>
        </w:rPr>
      </w:pPr>
      <w:r w:rsidRPr="00942C19">
        <w:rPr>
          <w:szCs w:val="22"/>
        </w:rPr>
        <w:t>Retired employees drawing pension from the Treasury / Bank will have to pay the monthly electricity charges as per the rates given in the rate schedule applicable to their category.</w:t>
      </w:r>
    </w:p>
    <w:p w:rsidR="00C802EE" w:rsidRPr="00942C19" w:rsidRDefault="00C802EE" w:rsidP="00A818DC">
      <w:pPr>
        <w:numPr>
          <w:ilvl w:val="0"/>
          <w:numId w:val="89"/>
        </w:numPr>
        <w:tabs>
          <w:tab w:val="clear" w:pos="1080"/>
        </w:tabs>
        <w:spacing w:before="100" w:after="40" w:line="288" w:lineRule="auto"/>
        <w:ind w:left="1440" w:right="-58"/>
        <w:rPr>
          <w:rFonts w:ascii="Georgia" w:hAnsi="Georgia"/>
          <w:szCs w:val="22"/>
        </w:rPr>
      </w:pPr>
      <w:r w:rsidRPr="00942C19">
        <w:rPr>
          <w:szCs w:val="22"/>
        </w:rPr>
        <w:t>In case of Multi-Storied / Societies where the electricity connection are provided at single point with HT metering, the employees / pensioners / family pensioners, shall be provided through a separate meter and shall be given adjustment towards HT side metered energy at single point.</w:t>
      </w:r>
      <w:r w:rsidRPr="00942C19">
        <w:rPr>
          <w:rFonts w:asciiTheme="minorHAnsi" w:hAnsiTheme="minorHAnsi"/>
          <w:szCs w:val="22"/>
        </w:rPr>
        <w:t xml:space="preserve"> Fixed charges equivalent to sanctioned load of the departmental employee shall also be adjusted. </w:t>
      </w:r>
      <w:r w:rsidRPr="00942C19">
        <w:rPr>
          <w:szCs w:val="22"/>
        </w:rPr>
        <w:t>One percent of energy consumed by LMV-10 consumer shall also be added towards transformation losses for giving adjustment</w:t>
      </w:r>
    </w:p>
    <w:p w:rsidR="00C802EE" w:rsidRPr="00942C19" w:rsidRDefault="00C802EE" w:rsidP="00A818DC">
      <w:pPr>
        <w:numPr>
          <w:ilvl w:val="0"/>
          <w:numId w:val="89"/>
        </w:numPr>
        <w:tabs>
          <w:tab w:val="clear" w:pos="1080"/>
        </w:tabs>
        <w:spacing w:before="100" w:after="40" w:line="288" w:lineRule="auto"/>
        <w:ind w:left="1440" w:right="-58"/>
        <w:rPr>
          <w:rFonts w:ascii="Georgia" w:hAnsi="Georgia"/>
          <w:szCs w:val="22"/>
        </w:rPr>
      </w:pPr>
      <w:r w:rsidRPr="00942C19">
        <w:rPr>
          <w:szCs w:val="22"/>
        </w:rPr>
        <w:t>LMV-10 consumers will have to give an undertaking regarding use of Air conditioners</w:t>
      </w:r>
      <w:r w:rsidRPr="00942C19">
        <w:rPr>
          <w:rFonts w:ascii="Georgia" w:hAnsi="Georgia"/>
          <w:szCs w:val="22"/>
        </w:rPr>
        <w:t>.</w:t>
      </w:r>
    </w:p>
    <w:p w:rsidR="00C802EE" w:rsidRPr="00942C19" w:rsidRDefault="00C802EE" w:rsidP="00C802EE">
      <w:pPr>
        <w:spacing w:before="100" w:after="40" w:line="288" w:lineRule="auto"/>
        <w:ind w:right="-58"/>
        <w:rPr>
          <w:rFonts w:ascii="Georgia" w:hAnsi="Georgia"/>
          <w:szCs w:val="22"/>
        </w:rPr>
      </w:pPr>
    </w:p>
    <w:p w:rsidR="00C802EE" w:rsidRPr="00942C19" w:rsidRDefault="00C802EE" w:rsidP="00A818DC">
      <w:pPr>
        <w:numPr>
          <w:ilvl w:val="0"/>
          <w:numId w:val="88"/>
        </w:numPr>
        <w:tabs>
          <w:tab w:val="clear" w:pos="360"/>
          <w:tab w:val="left" w:pos="0"/>
          <w:tab w:val="num" w:pos="720"/>
        </w:tabs>
        <w:spacing w:before="100" w:after="40" w:line="288" w:lineRule="auto"/>
        <w:ind w:left="0" w:right="1440" w:firstLine="0"/>
        <w:rPr>
          <w:b/>
          <w:szCs w:val="22"/>
        </w:rPr>
      </w:pPr>
      <w:r w:rsidRPr="00942C19">
        <w:rPr>
          <w:b/>
          <w:szCs w:val="22"/>
        </w:rPr>
        <w:t xml:space="preserve">MODE OF PAYMENT: </w:t>
      </w:r>
    </w:p>
    <w:p w:rsidR="00C802EE" w:rsidRPr="00942C19" w:rsidRDefault="00C802EE" w:rsidP="00A818DC">
      <w:pPr>
        <w:numPr>
          <w:ilvl w:val="0"/>
          <w:numId w:val="86"/>
        </w:numPr>
        <w:tabs>
          <w:tab w:val="num" w:pos="1440"/>
        </w:tabs>
        <w:spacing w:before="100" w:after="40" w:line="288" w:lineRule="auto"/>
        <w:ind w:left="1440" w:right="-58"/>
        <w:rPr>
          <w:szCs w:val="22"/>
        </w:rPr>
      </w:pPr>
      <w:r w:rsidRPr="00942C19">
        <w:rPr>
          <w:szCs w:val="22"/>
        </w:rPr>
        <w:t>The Disbursing Officer shall compulsorily and regularly deduct the amount due monthly from the salary bill of each and every employee / pensioners drawing pay / pension from his unit each month. The Drawing Officer shall ensure that each employee / pensioner has given the declaration about the connection in his name together with details of S.C. No. / Book No. and name of the billing division, before the disbursement of pay / pension.</w:t>
      </w:r>
    </w:p>
    <w:p w:rsidR="00C802EE" w:rsidRPr="00942C19" w:rsidRDefault="00C802EE" w:rsidP="00A818DC">
      <w:pPr>
        <w:numPr>
          <w:ilvl w:val="0"/>
          <w:numId w:val="86"/>
        </w:numPr>
        <w:tabs>
          <w:tab w:val="num" w:pos="1440"/>
        </w:tabs>
        <w:spacing w:before="100" w:after="40" w:line="288" w:lineRule="auto"/>
        <w:ind w:left="1440" w:right="-58"/>
        <w:rPr>
          <w:szCs w:val="22"/>
        </w:rPr>
      </w:pPr>
      <w:r w:rsidRPr="00942C19">
        <w:rPr>
          <w:szCs w:val="22"/>
        </w:rPr>
        <w:t>The monthly amount due from a consumer of this category can also be deposited by the concerned officer / employee to the concerned division in case the said amount is not being deducted from his salary / pension.</w:t>
      </w:r>
    </w:p>
    <w:p w:rsidR="00C802EE" w:rsidRPr="00942C19" w:rsidRDefault="00C802EE" w:rsidP="00A818DC">
      <w:pPr>
        <w:numPr>
          <w:ilvl w:val="0"/>
          <w:numId w:val="86"/>
        </w:numPr>
        <w:tabs>
          <w:tab w:val="num" w:pos="1440"/>
        </w:tabs>
        <w:spacing w:before="100" w:after="40" w:line="288" w:lineRule="auto"/>
        <w:ind w:left="1440" w:right="-58"/>
        <w:rPr>
          <w:szCs w:val="22"/>
        </w:rPr>
      </w:pPr>
      <w:r w:rsidRPr="00942C19">
        <w:rPr>
          <w:szCs w:val="22"/>
        </w:rPr>
        <w:t>Revenue and Energy Statistics in respect of the category of employee / pensioner shall be regularly prepared by the Divisions in the same manner as for every other manually billed category.</w:t>
      </w:r>
    </w:p>
    <w:p w:rsidR="00C802EE" w:rsidRPr="00942C19" w:rsidRDefault="00C802EE" w:rsidP="00A818DC">
      <w:pPr>
        <w:numPr>
          <w:ilvl w:val="0"/>
          <w:numId w:val="86"/>
        </w:numPr>
        <w:tabs>
          <w:tab w:val="num" w:pos="1440"/>
        </w:tabs>
        <w:spacing w:before="100" w:after="40" w:line="288" w:lineRule="auto"/>
        <w:ind w:left="1440" w:right="-58"/>
        <w:rPr>
          <w:szCs w:val="22"/>
        </w:rPr>
      </w:pPr>
      <w:r w:rsidRPr="00942C19">
        <w:rPr>
          <w:szCs w:val="22"/>
        </w:rPr>
        <w:t>Recovery from the salary shall be sent to the billing units in accordance with the instructions contained in circular No. 362-CAO/C-177 (Misc.) dated 5.5.89 and No. 380-CAO dated 12.5.89 from Chief Accounts Officer of erstwhile UPSEB, Lucknow.</w:t>
      </w:r>
    </w:p>
    <w:p w:rsidR="00C802EE" w:rsidRPr="00942C19" w:rsidRDefault="00C802EE" w:rsidP="00A818DC">
      <w:pPr>
        <w:numPr>
          <w:ilvl w:val="0"/>
          <w:numId w:val="86"/>
        </w:numPr>
        <w:tabs>
          <w:tab w:val="num" w:pos="1440"/>
        </w:tabs>
        <w:spacing w:before="100" w:line="288" w:lineRule="auto"/>
        <w:ind w:left="1440" w:right="28"/>
        <w:rPr>
          <w:szCs w:val="22"/>
        </w:rPr>
      </w:pPr>
      <w:r w:rsidRPr="00942C19">
        <w:rPr>
          <w:szCs w:val="22"/>
        </w:rPr>
        <w:t>In case of metered consumption, the mode of payment shall be similar to the domestic consumer.</w:t>
      </w:r>
    </w:p>
    <w:p w:rsidR="001A3601" w:rsidRPr="00942C19" w:rsidRDefault="001A3601">
      <w:pPr>
        <w:spacing w:before="0" w:line="240" w:lineRule="auto"/>
        <w:jc w:val="left"/>
        <w:rPr>
          <w:rFonts w:cs="Arial"/>
          <w:bCs/>
          <w:szCs w:val="22"/>
        </w:rPr>
      </w:pPr>
      <w:r w:rsidRPr="00942C19">
        <w:rPr>
          <w:szCs w:val="22"/>
        </w:rPr>
        <w:br w:type="page"/>
      </w:r>
    </w:p>
    <w:p w:rsidR="00C802EE" w:rsidRPr="00942C19" w:rsidRDefault="00C802EE" w:rsidP="00710ADC">
      <w:pPr>
        <w:pStyle w:val="Heading3"/>
        <w:numPr>
          <w:ilvl w:val="2"/>
          <w:numId w:val="1"/>
        </w:numPr>
        <w:rPr>
          <w:b/>
        </w:rPr>
      </w:pPr>
      <w:r w:rsidRPr="00942C19">
        <w:rPr>
          <w:b/>
        </w:rPr>
        <w:t>PUBLIC LAMPS:</w:t>
      </w:r>
    </w:p>
    <w:p w:rsidR="00C802EE" w:rsidRPr="00942C19" w:rsidRDefault="00C802EE" w:rsidP="00C802EE">
      <w:pPr>
        <w:jc w:val="center"/>
        <w:rPr>
          <w:b/>
          <w:szCs w:val="22"/>
          <w:u w:val="single"/>
          <w:lang w:val="fr-FR"/>
        </w:rPr>
      </w:pPr>
    </w:p>
    <w:p w:rsidR="00C802EE" w:rsidRPr="00942C19" w:rsidRDefault="00C802EE" w:rsidP="00C802EE">
      <w:pPr>
        <w:rPr>
          <w:b/>
        </w:rPr>
      </w:pPr>
      <w:r w:rsidRPr="00942C19">
        <w:rPr>
          <w:b/>
          <w:lang w:val="fr-FR"/>
        </w:rPr>
        <w:t>1.</w:t>
      </w:r>
      <w:r w:rsidRPr="00942C19">
        <w:rPr>
          <w:b/>
          <w:lang w:val="fr-FR"/>
        </w:rPr>
        <w:tab/>
      </w:r>
      <w:r w:rsidRPr="00942C19">
        <w:rPr>
          <w:b/>
        </w:rPr>
        <w:t>MAINTENANCE CHARGE:</w:t>
      </w:r>
    </w:p>
    <w:p w:rsidR="00C802EE" w:rsidRPr="00942C19" w:rsidRDefault="00C802EE" w:rsidP="00C802EE">
      <w:pPr>
        <w:spacing w:before="100"/>
        <w:ind w:left="720" w:right="29"/>
        <w:rPr>
          <w:szCs w:val="22"/>
        </w:rPr>
      </w:pPr>
      <w:r w:rsidRPr="00942C19">
        <w:rPr>
          <w:szCs w:val="22"/>
        </w:rPr>
        <w:t>In addition to the “Rate of Charge” mentioned above, a sum of Rs. 10.00 per light point per month will be charged for operation and maintenance of street lights. This Maintenance Charge will cover only labour charges, where all required materials are supplied by the local bodies.  However, the local bodies will have an option to operate and maintain the public lamps themselves and in such case, no maintenance charge shall be recovered. This charge shall not apply to the consumers with metered supply.</w:t>
      </w:r>
    </w:p>
    <w:p w:rsidR="00C802EE" w:rsidRPr="00942C19" w:rsidRDefault="00C802EE" w:rsidP="00C802EE">
      <w:pPr>
        <w:spacing w:before="100"/>
        <w:ind w:left="720" w:right="29"/>
        <w:rPr>
          <w:szCs w:val="22"/>
        </w:rPr>
      </w:pPr>
      <w:r w:rsidRPr="00942C19">
        <w:rPr>
          <w:szCs w:val="22"/>
        </w:rPr>
        <w:t xml:space="preserve">     </w:t>
      </w:r>
    </w:p>
    <w:p w:rsidR="00C802EE" w:rsidRPr="00942C19" w:rsidRDefault="00C802EE" w:rsidP="00C802EE">
      <w:pPr>
        <w:spacing w:before="100"/>
        <w:ind w:right="29"/>
        <w:rPr>
          <w:szCs w:val="22"/>
        </w:rPr>
      </w:pPr>
      <w:r w:rsidRPr="00942C19">
        <w:rPr>
          <w:b/>
          <w:szCs w:val="22"/>
        </w:rPr>
        <w:t xml:space="preserve">   2.</w:t>
      </w:r>
      <w:r w:rsidRPr="00942C19">
        <w:rPr>
          <w:szCs w:val="22"/>
        </w:rPr>
        <w:tab/>
      </w:r>
      <w:r w:rsidRPr="00942C19">
        <w:rPr>
          <w:rFonts w:cs="Arial"/>
          <w:b/>
          <w:bCs/>
          <w:iCs/>
          <w:szCs w:val="22"/>
        </w:rPr>
        <w:t>PROVISION OF LAMPS:</w:t>
      </w:r>
    </w:p>
    <w:p w:rsidR="00C802EE" w:rsidRPr="00942C19" w:rsidRDefault="00C802EE" w:rsidP="00C802EE">
      <w:pPr>
        <w:tabs>
          <w:tab w:val="left" w:pos="360"/>
        </w:tabs>
        <w:spacing w:before="100"/>
        <w:ind w:left="720" w:right="29"/>
        <w:rPr>
          <w:szCs w:val="22"/>
        </w:rPr>
      </w:pPr>
      <w:r w:rsidRPr="00942C19">
        <w:rPr>
          <w:szCs w:val="22"/>
        </w:rPr>
        <w:t xml:space="preserve">Streets where distribution mains already exist, the </w:t>
      </w:r>
      <w:r w:rsidR="009A3804" w:rsidRPr="00942C19">
        <w:rPr>
          <w:szCs w:val="22"/>
        </w:rPr>
        <w:t>Licensee</w:t>
      </w:r>
      <w:r w:rsidRPr="00942C19">
        <w:rPr>
          <w:szCs w:val="22"/>
        </w:rPr>
        <w:t xml:space="preserve"> will provide a separate single-phase, 2-wire system for the street lights including light fitting and incandescent lamps of rating not exceeding 100 Watts each.  In case the above maintenance charge is being levied, the labour involved in replacements or renewal of lamps shall be provided by the </w:t>
      </w:r>
      <w:r w:rsidR="009A3804" w:rsidRPr="00942C19">
        <w:rPr>
          <w:szCs w:val="22"/>
        </w:rPr>
        <w:t>Licensee</w:t>
      </w:r>
      <w:r w:rsidRPr="00942C19">
        <w:rPr>
          <w:szCs w:val="22"/>
        </w:rPr>
        <w:t>. However, all the required materials shall be provided by the local bodies. The cost of all other types of street light fittings shall be paid by the local bodies.</w:t>
      </w:r>
    </w:p>
    <w:p w:rsidR="00C802EE" w:rsidRPr="00942C19" w:rsidRDefault="00C802EE" w:rsidP="00C802EE">
      <w:pPr>
        <w:spacing w:before="100"/>
        <w:ind w:left="720" w:right="29"/>
        <w:rPr>
          <w:szCs w:val="22"/>
        </w:rPr>
      </w:pPr>
      <w:r w:rsidRPr="00942C19">
        <w:rPr>
          <w:szCs w:val="22"/>
        </w:rPr>
        <w:t xml:space="preserve">The cost involved in extension of street light mains (including cost of sub -stations, if any) in areas where distribution mains of the </w:t>
      </w:r>
      <w:r w:rsidR="009A3804" w:rsidRPr="00942C19">
        <w:rPr>
          <w:szCs w:val="22"/>
        </w:rPr>
        <w:t>Licensee</w:t>
      </w:r>
      <w:r w:rsidRPr="00942C19">
        <w:rPr>
          <w:szCs w:val="22"/>
        </w:rPr>
        <w:t xml:space="preserve"> have not been laid, will be paid for by the local bodies.</w:t>
      </w:r>
    </w:p>
    <w:p w:rsidR="00C802EE" w:rsidRPr="00942C19" w:rsidRDefault="00C802EE" w:rsidP="00C802EE">
      <w:pPr>
        <w:spacing w:before="100"/>
        <w:ind w:left="720" w:right="29"/>
        <w:rPr>
          <w:szCs w:val="22"/>
        </w:rPr>
      </w:pPr>
    </w:p>
    <w:p w:rsidR="00C802EE" w:rsidRPr="00942C19" w:rsidRDefault="00C802EE" w:rsidP="00C802EE">
      <w:pPr>
        <w:rPr>
          <w:b/>
        </w:rPr>
      </w:pPr>
      <w:r w:rsidRPr="00942C19">
        <w:rPr>
          <w:b/>
        </w:rPr>
        <w:t xml:space="preserve">3. </w:t>
      </w:r>
      <w:r w:rsidRPr="00942C19">
        <w:rPr>
          <w:b/>
        </w:rPr>
        <w:tab/>
        <w:t>VERIFICATION OF LOAD:</w:t>
      </w:r>
    </w:p>
    <w:p w:rsidR="00C802EE" w:rsidRPr="00942C19" w:rsidRDefault="00C802EE" w:rsidP="00C802EE">
      <w:pPr>
        <w:tabs>
          <w:tab w:val="left" w:pos="360"/>
        </w:tabs>
        <w:spacing w:before="100"/>
        <w:ind w:left="720" w:right="29"/>
        <w:rPr>
          <w:szCs w:val="22"/>
        </w:rPr>
      </w:pPr>
      <w:r w:rsidRPr="00942C19">
        <w:rPr>
          <w:szCs w:val="22"/>
        </w:rPr>
        <w:t xml:space="preserve">The number of light points including that of traffic signals together with their wattage will be verified jointly by the representatives of </w:t>
      </w:r>
      <w:r w:rsidR="009A3804" w:rsidRPr="00942C19">
        <w:rPr>
          <w:szCs w:val="22"/>
        </w:rPr>
        <w:t>Licensee</w:t>
      </w:r>
      <w:r w:rsidRPr="00942C19">
        <w:rPr>
          <w:szCs w:val="22"/>
        </w:rPr>
        <w:t xml:space="preserve"> and Town Area / Municipal Board / Corporation at least once in a year.  However, additions will be intimated by the Town Area / Municipal Board / Corporation on monthly basis.  The </w:t>
      </w:r>
      <w:r w:rsidR="009A3804" w:rsidRPr="00942C19">
        <w:rPr>
          <w:szCs w:val="22"/>
        </w:rPr>
        <w:t>Licensee</w:t>
      </w:r>
      <w:r w:rsidRPr="00942C19">
        <w:rPr>
          <w:szCs w:val="22"/>
        </w:rPr>
        <w:t xml:space="preserve"> will carry out the checking of such statements to satisfy themselves of the correctness of the same.  The monthly bills shall be issued on the basis of verified number of points at the beginning of the year and additions, if any, during the months as intimated above. The difference, if any, detected during joint verification in the following year shall be reconciled and supplementary bills shall be issued.</w:t>
      </w:r>
    </w:p>
    <w:p w:rsidR="00C802EE" w:rsidRPr="00942C19" w:rsidRDefault="00C802EE" w:rsidP="00C802EE">
      <w:pPr>
        <w:tabs>
          <w:tab w:val="left" w:pos="360"/>
        </w:tabs>
        <w:spacing w:before="100"/>
        <w:ind w:left="720" w:right="29"/>
        <w:rPr>
          <w:szCs w:val="22"/>
        </w:rPr>
      </w:pPr>
    </w:p>
    <w:p w:rsidR="00C802EE" w:rsidRPr="00942C19" w:rsidRDefault="00C802EE" w:rsidP="00C802EE">
      <w:pPr>
        <w:tabs>
          <w:tab w:val="left" w:pos="360"/>
        </w:tabs>
        <w:spacing w:before="60" w:after="120"/>
        <w:ind w:left="720" w:right="29"/>
        <w:rPr>
          <w:szCs w:val="22"/>
        </w:rPr>
      </w:pPr>
      <w:r w:rsidRPr="00942C19">
        <w:rPr>
          <w:szCs w:val="22"/>
        </w:rPr>
        <w:t xml:space="preserve">Further, if the authorized representative of concerned local body does not participate in the work of verification of light points, a notice will be sent by concerned Executive Engineer in writing to such local bodies for deputing representative on specific date(s), failing which the verification of the light points shall be done by the concerned representative of </w:t>
      </w:r>
      <w:r w:rsidR="009A3804" w:rsidRPr="00942C19">
        <w:rPr>
          <w:szCs w:val="22"/>
        </w:rPr>
        <w:t>Licensee</w:t>
      </w:r>
      <w:r w:rsidRPr="00942C19">
        <w:rPr>
          <w:szCs w:val="22"/>
        </w:rPr>
        <w:t xml:space="preserve"> which shall be final and binding upon such local body.</w:t>
      </w:r>
    </w:p>
    <w:p w:rsidR="00C802EE" w:rsidRPr="00942C19" w:rsidRDefault="00C802EE" w:rsidP="00C802EE">
      <w:pPr>
        <w:tabs>
          <w:tab w:val="left" w:pos="360"/>
        </w:tabs>
        <w:spacing w:before="60" w:after="120"/>
        <w:ind w:left="720" w:right="29"/>
        <w:rPr>
          <w:szCs w:val="22"/>
        </w:rPr>
      </w:pPr>
      <w:r w:rsidRPr="00942C19">
        <w:rPr>
          <w:szCs w:val="22"/>
        </w:rPr>
        <w:t xml:space="preserve"> </w:t>
      </w:r>
    </w:p>
    <w:p w:rsidR="001A3601" w:rsidRPr="00942C19" w:rsidRDefault="001A3601">
      <w:pPr>
        <w:spacing w:before="0" w:line="240" w:lineRule="auto"/>
        <w:jc w:val="left"/>
        <w:rPr>
          <w:rFonts w:cs="Arial"/>
          <w:b/>
          <w:bCs/>
          <w:szCs w:val="26"/>
        </w:rPr>
      </w:pPr>
      <w:r w:rsidRPr="00942C19">
        <w:rPr>
          <w:b/>
        </w:rPr>
        <w:br w:type="page"/>
      </w:r>
    </w:p>
    <w:p w:rsidR="00C802EE" w:rsidRPr="00942C19" w:rsidRDefault="00C802EE" w:rsidP="00710ADC">
      <w:pPr>
        <w:pStyle w:val="Heading3"/>
        <w:numPr>
          <w:ilvl w:val="2"/>
          <w:numId w:val="1"/>
        </w:numPr>
        <w:rPr>
          <w:b/>
        </w:rPr>
      </w:pPr>
      <w:r w:rsidRPr="00942C19">
        <w:rPr>
          <w:b/>
        </w:rPr>
        <w:t>STATE TUBE-WELLS</w:t>
      </w:r>
    </w:p>
    <w:p w:rsidR="00C802EE" w:rsidRPr="00942C19" w:rsidRDefault="00C802EE" w:rsidP="00C802EE">
      <w:pPr>
        <w:tabs>
          <w:tab w:val="left" w:pos="8730"/>
        </w:tabs>
        <w:spacing w:before="100"/>
        <w:ind w:right="11"/>
        <w:jc w:val="center"/>
        <w:rPr>
          <w:b/>
          <w:szCs w:val="22"/>
          <w:u w:val="single"/>
        </w:rPr>
      </w:pPr>
    </w:p>
    <w:p w:rsidR="00C802EE" w:rsidRPr="00942C19" w:rsidRDefault="00C802EE" w:rsidP="00C802EE">
      <w:pPr>
        <w:tabs>
          <w:tab w:val="left" w:pos="8730"/>
        </w:tabs>
        <w:spacing w:before="100"/>
        <w:ind w:right="11"/>
        <w:jc w:val="center"/>
        <w:rPr>
          <w:b/>
          <w:szCs w:val="22"/>
          <w:u w:val="single"/>
        </w:rPr>
      </w:pPr>
      <w:r w:rsidRPr="00942C19">
        <w:rPr>
          <w:b/>
          <w:szCs w:val="22"/>
          <w:u w:val="single"/>
        </w:rPr>
        <w:t>NET ADDITIONAL LOAD:</w:t>
      </w:r>
    </w:p>
    <w:p w:rsidR="00C802EE" w:rsidRPr="00942C19" w:rsidRDefault="00C802EE" w:rsidP="00C802EE">
      <w:pPr>
        <w:tabs>
          <w:tab w:val="left" w:pos="8730"/>
        </w:tabs>
        <w:spacing w:before="100"/>
        <w:ind w:right="11"/>
        <w:jc w:val="center"/>
        <w:rPr>
          <w:b/>
          <w:szCs w:val="22"/>
          <w:u w:val="single"/>
        </w:rPr>
      </w:pPr>
    </w:p>
    <w:p w:rsidR="00C802EE" w:rsidRPr="00942C19" w:rsidRDefault="00C802EE" w:rsidP="00A818DC">
      <w:pPr>
        <w:numPr>
          <w:ilvl w:val="0"/>
          <w:numId w:val="87"/>
        </w:numPr>
        <w:tabs>
          <w:tab w:val="clear" w:pos="1080"/>
          <w:tab w:val="num" w:pos="720"/>
          <w:tab w:val="num" w:pos="2880"/>
        </w:tabs>
        <w:spacing w:line="288" w:lineRule="auto"/>
        <w:ind w:right="11" w:hanging="720"/>
        <w:rPr>
          <w:szCs w:val="22"/>
        </w:rPr>
      </w:pPr>
      <w:r w:rsidRPr="00942C19">
        <w:rPr>
          <w:szCs w:val="22"/>
        </w:rPr>
        <w:t>Net additional load hereinafter shall mean the total additional load connected during the quarter less the load of failed and abandoned tube-wells accounted for during that quarter.</w:t>
      </w:r>
    </w:p>
    <w:p w:rsidR="00C802EE" w:rsidRPr="00942C19" w:rsidRDefault="00C802EE" w:rsidP="00A818DC">
      <w:pPr>
        <w:numPr>
          <w:ilvl w:val="0"/>
          <w:numId w:val="87"/>
        </w:numPr>
        <w:tabs>
          <w:tab w:val="clear" w:pos="1080"/>
          <w:tab w:val="left" w:pos="0"/>
          <w:tab w:val="num" w:pos="720"/>
          <w:tab w:val="num" w:pos="2880"/>
        </w:tabs>
        <w:spacing w:before="100" w:line="288" w:lineRule="auto"/>
        <w:ind w:right="28" w:hanging="720"/>
        <w:rPr>
          <w:szCs w:val="22"/>
        </w:rPr>
      </w:pPr>
      <w:r w:rsidRPr="00942C19">
        <w:rPr>
          <w:szCs w:val="22"/>
        </w:rPr>
        <w:t>The connected load as on 31</w:t>
      </w:r>
      <w:r w:rsidRPr="00942C19">
        <w:rPr>
          <w:szCs w:val="22"/>
          <w:vertAlign w:val="superscript"/>
        </w:rPr>
        <w:t>st</w:t>
      </w:r>
      <w:r w:rsidRPr="00942C19">
        <w:rPr>
          <w:szCs w:val="22"/>
        </w:rPr>
        <w:t xml:space="preserve"> March  of the preceding year will be worked out on the basis of ‘Net additional load’ reported by the Executive Engineers of concerned Divisions after joint inspection and verification of the same by the concerned officers of the State Government / Panchayat, joint meter reading shall also be taken during the inspection on quarterly basis.  The monthly bills for three months of the first quarter will be issued on the connected load worked out as such at the above rates. The same process shall be repeated for subsequent quarters.</w:t>
      </w:r>
    </w:p>
    <w:p w:rsidR="00C802EE" w:rsidRPr="00942C19" w:rsidRDefault="00C802EE" w:rsidP="00C802EE">
      <w:pPr>
        <w:tabs>
          <w:tab w:val="left" w:pos="360"/>
        </w:tabs>
        <w:spacing w:before="100"/>
        <w:ind w:right="28"/>
        <w:rPr>
          <w:szCs w:val="22"/>
        </w:rPr>
      </w:pPr>
    </w:p>
    <w:p w:rsidR="00C802EE" w:rsidRPr="00942C19" w:rsidRDefault="00C802EE" w:rsidP="00C802EE">
      <w:pPr>
        <w:tabs>
          <w:tab w:val="left" w:pos="360"/>
        </w:tabs>
        <w:spacing w:before="100"/>
        <w:ind w:right="28"/>
        <w:rPr>
          <w:szCs w:val="22"/>
        </w:rPr>
      </w:pPr>
    </w:p>
    <w:p w:rsidR="00C802EE" w:rsidRPr="00942C19" w:rsidRDefault="00C802EE" w:rsidP="00C802EE"/>
    <w:p w:rsidR="00C802EE" w:rsidRPr="00942C19" w:rsidRDefault="00C802EE" w:rsidP="00C802EE"/>
    <w:p w:rsidR="00C802EE" w:rsidRPr="00942C19" w:rsidRDefault="00C802EE" w:rsidP="00C802EE">
      <w:pPr>
        <w:rPr>
          <w:b/>
        </w:rPr>
      </w:pPr>
    </w:p>
    <w:p w:rsidR="00C802EE" w:rsidRPr="00942C19" w:rsidRDefault="00C802EE" w:rsidP="00C802EE">
      <w:pPr>
        <w:rPr>
          <w:b/>
        </w:rPr>
      </w:pPr>
    </w:p>
    <w:p w:rsidR="00C802EE" w:rsidRPr="00942C19" w:rsidRDefault="00C802EE" w:rsidP="00C802EE">
      <w:pPr>
        <w:sectPr w:rsidR="00C802EE" w:rsidRPr="00942C19" w:rsidSect="00F0647B">
          <w:footerReference w:type="default" r:id="rId41"/>
          <w:pgSz w:w="11909" w:h="16834" w:code="9"/>
          <w:pgMar w:top="992" w:right="1440" w:bottom="1440" w:left="1729" w:header="720" w:footer="720" w:gutter="0"/>
          <w:cols w:space="720"/>
          <w:docGrid w:linePitch="360"/>
        </w:sectPr>
      </w:pPr>
    </w:p>
    <w:p w:rsidR="00C802EE" w:rsidRPr="00942C19" w:rsidRDefault="00C802EE" w:rsidP="00331B21">
      <w:pPr>
        <w:pStyle w:val="Heading1"/>
        <w:numPr>
          <w:ilvl w:val="1"/>
          <w:numId w:val="1"/>
        </w:numPr>
        <w:spacing w:line="276" w:lineRule="auto"/>
        <w:rPr>
          <w:color w:val="auto"/>
        </w:rPr>
      </w:pPr>
      <w:bookmarkStart w:id="883" w:name="_Toc338336086"/>
      <w:bookmarkStart w:id="884" w:name="_Toc357345059"/>
      <w:bookmarkStart w:id="885" w:name="_Toc357714435"/>
      <w:r w:rsidRPr="00942C19">
        <w:rPr>
          <w:color w:val="auto"/>
        </w:rPr>
        <w:t>SCHEDULE OF MISCELLANEOUS CHARGES</w:t>
      </w:r>
      <w:bookmarkEnd w:id="883"/>
      <w:bookmarkEnd w:id="884"/>
      <w:bookmarkEnd w:id="885"/>
    </w:p>
    <w:p w:rsidR="00C802EE" w:rsidRPr="00942C19" w:rsidRDefault="00C802EE" w:rsidP="00C802EE">
      <w:pPr>
        <w:rPr>
          <w:rStyle w:val="Emphasis"/>
          <w:b/>
          <w:i w:val="0"/>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5198"/>
        <w:gridCol w:w="1764"/>
        <w:gridCol w:w="1374"/>
      </w:tblGrid>
      <w:tr w:rsidR="00C802EE" w:rsidRPr="00942C19" w:rsidTr="00C652DB">
        <w:trPr>
          <w:trHeight w:val="285"/>
          <w:tblHeader/>
          <w:jc w:val="center"/>
        </w:trPr>
        <w:tc>
          <w:tcPr>
            <w:tcW w:w="935" w:type="dxa"/>
            <w:shd w:val="pct12" w:color="auto" w:fill="auto"/>
          </w:tcPr>
          <w:p w:rsidR="00C802EE" w:rsidRPr="00942C19" w:rsidRDefault="00C802EE" w:rsidP="00C652DB">
            <w:pPr>
              <w:jc w:val="center"/>
              <w:rPr>
                <w:b/>
              </w:rPr>
            </w:pPr>
            <w:r w:rsidRPr="00942C19">
              <w:rPr>
                <w:b/>
              </w:rPr>
              <w:t>Sl. No.</w:t>
            </w:r>
          </w:p>
        </w:tc>
        <w:tc>
          <w:tcPr>
            <w:tcW w:w="5198" w:type="dxa"/>
            <w:shd w:val="pct12" w:color="auto" w:fill="auto"/>
          </w:tcPr>
          <w:p w:rsidR="00C802EE" w:rsidRPr="00942C19" w:rsidRDefault="00C802EE" w:rsidP="00C652DB">
            <w:pPr>
              <w:jc w:val="center"/>
              <w:rPr>
                <w:b/>
              </w:rPr>
            </w:pPr>
            <w:r w:rsidRPr="00942C19">
              <w:rPr>
                <w:b/>
              </w:rPr>
              <w:t>NATURE OF CHARGES</w:t>
            </w:r>
          </w:p>
        </w:tc>
        <w:tc>
          <w:tcPr>
            <w:tcW w:w="1764" w:type="dxa"/>
            <w:shd w:val="pct12" w:color="auto" w:fill="auto"/>
          </w:tcPr>
          <w:p w:rsidR="00C802EE" w:rsidRPr="00942C19" w:rsidRDefault="00C802EE" w:rsidP="00C652DB">
            <w:pPr>
              <w:jc w:val="center"/>
              <w:rPr>
                <w:b/>
              </w:rPr>
            </w:pPr>
            <w:r w:rsidRPr="00942C19">
              <w:rPr>
                <w:b/>
              </w:rPr>
              <w:t>UNIT</w:t>
            </w:r>
          </w:p>
        </w:tc>
        <w:tc>
          <w:tcPr>
            <w:tcW w:w="1374" w:type="dxa"/>
            <w:shd w:val="pct12" w:color="auto" w:fill="auto"/>
          </w:tcPr>
          <w:p w:rsidR="00C802EE" w:rsidRPr="00942C19" w:rsidRDefault="00C802EE" w:rsidP="00C652DB">
            <w:pPr>
              <w:jc w:val="center"/>
              <w:rPr>
                <w:b/>
              </w:rPr>
            </w:pPr>
            <w:r w:rsidRPr="00942C19">
              <w:rPr>
                <w:b/>
              </w:rPr>
              <w:t>RATES (</w:t>
            </w:r>
            <w:r w:rsidRPr="00942C19">
              <w:rPr>
                <w:b/>
                <w:noProof/>
                <w:lang w:val="en-US"/>
              </w:rPr>
              <w:drawing>
                <wp:inline distT="0" distB="0" distL="0" distR="0">
                  <wp:extent cx="86360" cy="120650"/>
                  <wp:effectExtent l="0" t="0" r="8890" b="0"/>
                  <wp:docPr id="4" name="Picture 8" descr="Rupee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pee Symbol.jpg"/>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360" cy="120650"/>
                          </a:xfrm>
                          <a:prstGeom prst="rect">
                            <a:avLst/>
                          </a:prstGeom>
                          <a:noFill/>
                          <a:ln>
                            <a:noFill/>
                          </a:ln>
                        </pic:spPr>
                      </pic:pic>
                    </a:graphicData>
                  </a:graphic>
                </wp:inline>
              </w:drawing>
            </w:r>
            <w:r w:rsidRPr="00942C19">
              <w:rPr>
                <w:b/>
              </w:rPr>
              <w:t>)</w:t>
            </w:r>
          </w:p>
        </w:tc>
      </w:tr>
      <w:tr w:rsidR="00C802EE" w:rsidRPr="00942C19" w:rsidTr="00C652DB">
        <w:trPr>
          <w:trHeight w:val="57"/>
          <w:jc w:val="center"/>
        </w:trPr>
        <w:tc>
          <w:tcPr>
            <w:tcW w:w="935" w:type="dxa"/>
          </w:tcPr>
          <w:p w:rsidR="00C802EE" w:rsidRPr="00942C19" w:rsidRDefault="00C802EE" w:rsidP="00C652DB">
            <w:r w:rsidRPr="00942C19">
              <w:t>1.</w:t>
            </w:r>
          </w:p>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r w:rsidRPr="00942C19">
              <w:t>2.</w:t>
            </w:r>
          </w:p>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r w:rsidRPr="00942C19">
              <w:t>3.</w:t>
            </w:r>
          </w:p>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r w:rsidRPr="00942C19">
              <w:t>4.</w:t>
            </w:r>
          </w:p>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r w:rsidRPr="00942C19">
              <w:t>5.</w:t>
            </w:r>
          </w:p>
          <w:p w:rsidR="00C802EE" w:rsidRPr="00942C19" w:rsidRDefault="00C802EE" w:rsidP="00C652DB"/>
          <w:p w:rsidR="00C802EE" w:rsidRPr="00942C19" w:rsidRDefault="00C802EE" w:rsidP="00C652DB"/>
          <w:p w:rsidR="00C802EE" w:rsidRPr="00942C19" w:rsidRDefault="00C802EE" w:rsidP="00C652DB">
            <w:r w:rsidRPr="00942C19">
              <w:t>6.</w:t>
            </w:r>
          </w:p>
          <w:p w:rsidR="00C802EE" w:rsidRPr="00942C19" w:rsidRDefault="00C802EE" w:rsidP="00C652DB"/>
          <w:p w:rsidR="00C802EE" w:rsidRPr="00942C19" w:rsidRDefault="00C802EE" w:rsidP="00C652DB"/>
          <w:p w:rsidR="00C802EE" w:rsidRPr="00942C19" w:rsidRDefault="00C802EE" w:rsidP="00C652DB"/>
        </w:tc>
        <w:tc>
          <w:tcPr>
            <w:tcW w:w="5198" w:type="dxa"/>
          </w:tcPr>
          <w:p w:rsidR="00C802EE" w:rsidRPr="00942C19" w:rsidRDefault="00C802EE" w:rsidP="00C652DB">
            <w:r w:rsidRPr="00942C19">
              <w:t>Checking and Testing of Meters:</w:t>
            </w:r>
          </w:p>
          <w:p w:rsidR="00C802EE" w:rsidRPr="00942C19" w:rsidRDefault="00C802EE" w:rsidP="00C652DB">
            <w:r w:rsidRPr="00942C19">
              <w:t>a.  Single Phase Meters</w:t>
            </w:r>
          </w:p>
          <w:p w:rsidR="00C802EE" w:rsidRPr="00942C19" w:rsidRDefault="00C802EE" w:rsidP="00C652DB">
            <w:r w:rsidRPr="00942C19">
              <w:t>b.  Three Phase Meters</w:t>
            </w:r>
          </w:p>
          <w:p w:rsidR="00C802EE" w:rsidRPr="00942C19" w:rsidRDefault="00C802EE" w:rsidP="00C652DB">
            <w:r w:rsidRPr="00942C19">
              <w:t>c.  Recording Type Watt-hour Meters</w:t>
            </w:r>
          </w:p>
          <w:p w:rsidR="00C802EE" w:rsidRPr="00942C19" w:rsidRDefault="00C802EE" w:rsidP="00C652DB">
            <w:r w:rsidRPr="00942C19">
              <w:t>d.  Maximum Demand Indicator</w:t>
            </w:r>
          </w:p>
          <w:p w:rsidR="00C802EE" w:rsidRPr="00942C19" w:rsidRDefault="00C802EE" w:rsidP="00C652DB">
            <w:r w:rsidRPr="00942C19">
              <w:t>e.  Tri-vector Meters</w:t>
            </w:r>
          </w:p>
          <w:p w:rsidR="00C802EE" w:rsidRPr="00942C19" w:rsidRDefault="00C802EE" w:rsidP="00C652DB">
            <w:r w:rsidRPr="00942C19">
              <w:t>f.  Ammeters and Volt Meters</w:t>
            </w:r>
          </w:p>
          <w:p w:rsidR="00C802EE" w:rsidRPr="00942C19" w:rsidRDefault="00C802EE" w:rsidP="00C652DB">
            <w:r w:rsidRPr="00942C19">
              <w:t>g.  Special Meters</w:t>
            </w:r>
          </w:p>
          <w:p w:rsidR="00C802EE" w:rsidRPr="00942C19" w:rsidRDefault="00C802EE" w:rsidP="00C652DB">
            <w:r w:rsidRPr="00942C19">
              <w:t>h.  Initial Testing of Meters</w:t>
            </w:r>
          </w:p>
          <w:p w:rsidR="00C802EE" w:rsidRPr="00942C19" w:rsidRDefault="00C802EE" w:rsidP="00C652DB">
            <w:pPr>
              <w:jc w:val="left"/>
            </w:pPr>
            <w:r w:rsidRPr="00942C19">
              <w:t>Disconnection and Reconnection of supply for any reason whatsoever (Disconnection &amp; Reconnection to be separately treated as single job)</w:t>
            </w:r>
          </w:p>
          <w:p w:rsidR="00C802EE" w:rsidRPr="00942C19" w:rsidRDefault="00C802EE" w:rsidP="00C652DB">
            <w:pPr>
              <w:ind w:left="229" w:hanging="229"/>
            </w:pPr>
            <w:r w:rsidRPr="00942C19">
              <w:t>a. Consumer having load above 100 BHP/75kW</w:t>
            </w:r>
          </w:p>
          <w:p w:rsidR="00C802EE" w:rsidRPr="00942C19" w:rsidRDefault="00C802EE" w:rsidP="00C652DB">
            <w:r w:rsidRPr="00942C19">
              <w:t xml:space="preserve">b. Power consumers </w:t>
            </w:r>
            <w:r w:rsidR="00D31494" w:rsidRPr="00942C19">
              <w:t>up to</w:t>
            </w:r>
            <w:r w:rsidRPr="00942C19">
              <w:t xml:space="preserve"> 100BHP/75kW</w:t>
            </w:r>
          </w:p>
          <w:p w:rsidR="00C802EE" w:rsidRPr="00942C19" w:rsidRDefault="00C802EE" w:rsidP="00C652DB">
            <w:r w:rsidRPr="00942C19">
              <w:t>c. All other categories of consumers.</w:t>
            </w:r>
          </w:p>
          <w:p w:rsidR="00C802EE" w:rsidRPr="00942C19" w:rsidRDefault="00C802EE" w:rsidP="00C652DB">
            <w:r w:rsidRPr="00942C19">
              <w:t>Replacement of Meters:</w:t>
            </w:r>
          </w:p>
          <w:p w:rsidR="00C802EE" w:rsidRPr="00942C19" w:rsidRDefault="00C802EE" w:rsidP="00C652DB">
            <w:r w:rsidRPr="00942C19">
              <w:t>a. By higher capacity Meter</w:t>
            </w:r>
          </w:p>
          <w:p w:rsidR="00C802EE" w:rsidRPr="00942C19" w:rsidRDefault="00C802EE" w:rsidP="00C652DB">
            <w:r w:rsidRPr="00942C19">
              <w:t>b. Installation of Meter and its subsequent</w:t>
            </w:r>
          </w:p>
          <w:p w:rsidR="00C802EE" w:rsidRPr="00942C19" w:rsidRDefault="00C802EE" w:rsidP="00C652DB">
            <w:r w:rsidRPr="00942C19">
              <w:t>removal in case of Temporary     Connections</w:t>
            </w:r>
          </w:p>
          <w:p w:rsidR="00C802EE" w:rsidRPr="00942C19" w:rsidRDefault="00C802EE" w:rsidP="00C652DB">
            <w:r w:rsidRPr="00942C19">
              <w:t>c. Changing of position of Meter Board at the   consumer's request</w:t>
            </w:r>
          </w:p>
          <w:p w:rsidR="00C802EE" w:rsidRPr="00942C19" w:rsidRDefault="00C802EE" w:rsidP="00C652DB">
            <w:r w:rsidRPr="00942C19">
              <w:t>Service of Wireman :</w:t>
            </w:r>
          </w:p>
          <w:p w:rsidR="00C802EE" w:rsidRPr="00942C19" w:rsidRDefault="00C802EE" w:rsidP="00C652DB">
            <w:r w:rsidRPr="00942C19">
              <w:t>a. Replacement of Fuse</w:t>
            </w:r>
          </w:p>
          <w:p w:rsidR="00C802EE" w:rsidRPr="00942C19" w:rsidRDefault="00C802EE" w:rsidP="00C652DB">
            <w:r w:rsidRPr="00942C19">
              <w:t>b. Inserting and Removal of Fuse in respect   of night loads.</w:t>
            </w:r>
          </w:p>
          <w:p w:rsidR="00C802EE" w:rsidRPr="00942C19" w:rsidRDefault="00C802EE" w:rsidP="00C652DB">
            <w:r w:rsidRPr="00942C19">
              <w:t>c. Hiring of services by the consumer during     temporary supply or otherwise.</w:t>
            </w:r>
          </w:p>
          <w:p w:rsidR="00C802EE" w:rsidRPr="00942C19" w:rsidRDefault="00C802EE" w:rsidP="00C652DB">
            <w:r w:rsidRPr="00942C19">
              <w:t>Resealing of Meters on account of any reason in addition to other charges payable in terms of other provision of charging of penalties, etc.)</w:t>
            </w:r>
          </w:p>
          <w:p w:rsidR="00C802EE" w:rsidRPr="00942C19" w:rsidRDefault="00C802EE" w:rsidP="00C652DB">
            <w:r w:rsidRPr="00942C19">
              <w:t>Checking of Capacitors (other than initial checking) on consumer's request:</w:t>
            </w:r>
          </w:p>
          <w:p w:rsidR="00C802EE" w:rsidRPr="00942C19" w:rsidRDefault="00C802EE" w:rsidP="00C652DB">
            <w:r w:rsidRPr="00942C19">
              <w:t>a. At 400 V / 230 V</w:t>
            </w:r>
          </w:p>
          <w:p w:rsidR="00C802EE" w:rsidRPr="00942C19" w:rsidRDefault="00C802EE" w:rsidP="00C652DB">
            <w:r w:rsidRPr="00942C19">
              <w:t>b. At 11 kV and above.</w:t>
            </w:r>
          </w:p>
        </w:tc>
        <w:tc>
          <w:tcPr>
            <w:tcW w:w="1764" w:type="dxa"/>
          </w:tcPr>
          <w:p w:rsidR="00C802EE" w:rsidRPr="00942C19" w:rsidRDefault="00C802EE" w:rsidP="00C652DB"/>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r w:rsidRPr="00942C19">
              <w:rPr>
                <w:lang w:val="sv-SE"/>
              </w:rPr>
              <w:t>Per Meter</w:t>
            </w:r>
          </w:p>
          <w:p w:rsidR="00C802EE" w:rsidRPr="00942C19" w:rsidRDefault="00C802EE" w:rsidP="00C652DB">
            <w:pPr>
              <w:rPr>
                <w:lang w:val="sv-SE"/>
              </w:rPr>
            </w:pPr>
          </w:p>
          <w:p w:rsidR="00C802EE" w:rsidRPr="00942C19" w:rsidRDefault="00C802EE" w:rsidP="00C652DB">
            <w:pPr>
              <w:rPr>
                <w:lang w:val="sv-SE"/>
              </w:rPr>
            </w:pPr>
          </w:p>
          <w:p w:rsidR="00C802EE" w:rsidRPr="00942C19" w:rsidRDefault="00C802EE" w:rsidP="00C652DB">
            <w:pPr>
              <w:rPr>
                <w:lang w:val="sv-SE"/>
              </w:rPr>
            </w:pPr>
          </w:p>
          <w:p w:rsidR="00C802EE" w:rsidRPr="00942C19" w:rsidRDefault="00C802EE" w:rsidP="00C652DB">
            <w:pPr>
              <w:rPr>
                <w:lang w:val="sv-SE"/>
              </w:rPr>
            </w:pPr>
          </w:p>
          <w:p w:rsidR="00C802EE" w:rsidRPr="00942C19" w:rsidRDefault="00C802EE" w:rsidP="00C652DB">
            <w:pPr>
              <w:rPr>
                <w:lang w:val="sv-SE"/>
              </w:rPr>
            </w:pPr>
            <w:r w:rsidRPr="00942C19">
              <w:rPr>
                <w:lang w:val="sv-SE"/>
              </w:rPr>
              <w:t>Per Job</w:t>
            </w:r>
          </w:p>
          <w:p w:rsidR="00C802EE" w:rsidRPr="00942C19" w:rsidRDefault="00C802EE" w:rsidP="00C652DB">
            <w:r w:rsidRPr="00942C19">
              <w:t>Per Job</w:t>
            </w:r>
          </w:p>
          <w:p w:rsidR="00C802EE" w:rsidRPr="00942C19" w:rsidRDefault="00C802EE" w:rsidP="00C652DB">
            <w:r w:rsidRPr="00942C19">
              <w:t>Per Job</w:t>
            </w:r>
          </w:p>
          <w:p w:rsidR="00C802EE" w:rsidRPr="00942C19" w:rsidRDefault="00C802EE" w:rsidP="00C652DB"/>
          <w:p w:rsidR="00C802EE" w:rsidRPr="00942C19" w:rsidRDefault="00C802EE" w:rsidP="00C652DB">
            <w:r w:rsidRPr="00942C19">
              <w:t>Per Job</w:t>
            </w:r>
          </w:p>
          <w:p w:rsidR="00C802EE" w:rsidRPr="00942C19" w:rsidRDefault="00C802EE" w:rsidP="00C652DB">
            <w:r w:rsidRPr="00942C19">
              <w:t>Per Job</w:t>
            </w:r>
          </w:p>
          <w:p w:rsidR="00C802EE" w:rsidRPr="00942C19" w:rsidRDefault="00C802EE" w:rsidP="00C652DB"/>
          <w:p w:rsidR="00C802EE" w:rsidRPr="00942C19" w:rsidRDefault="00C802EE" w:rsidP="00C652DB">
            <w:r w:rsidRPr="00942C19">
              <w:t>Per Job</w:t>
            </w:r>
          </w:p>
          <w:p w:rsidR="00C802EE" w:rsidRPr="00942C19" w:rsidRDefault="00C802EE" w:rsidP="00C652DB"/>
          <w:p w:rsidR="00C802EE" w:rsidRPr="00942C19" w:rsidRDefault="00C802EE" w:rsidP="00C652DB"/>
          <w:p w:rsidR="00C802EE" w:rsidRPr="00942C19" w:rsidRDefault="00C802EE" w:rsidP="00C652DB">
            <w:r w:rsidRPr="00942C19">
              <w:t>Per Job</w:t>
            </w:r>
          </w:p>
          <w:p w:rsidR="00C802EE" w:rsidRPr="00942C19" w:rsidRDefault="00C802EE" w:rsidP="00C652DB">
            <w:r w:rsidRPr="00942C19">
              <w:t>Per Job</w:t>
            </w:r>
          </w:p>
          <w:p w:rsidR="00C802EE" w:rsidRPr="00942C19" w:rsidRDefault="00C802EE" w:rsidP="00C652DB"/>
          <w:p w:rsidR="00C802EE" w:rsidRPr="00942C19" w:rsidRDefault="00C802EE" w:rsidP="00C652DB">
            <w:r w:rsidRPr="00942C19">
              <w:t xml:space="preserve">Per wireman /day of 6 Hrs. </w:t>
            </w:r>
          </w:p>
          <w:p w:rsidR="00C802EE" w:rsidRPr="00942C19" w:rsidRDefault="00C802EE" w:rsidP="00C652DB">
            <w:r w:rsidRPr="00942C19">
              <w:t>Per Meter</w:t>
            </w:r>
          </w:p>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r w:rsidRPr="00942C19">
              <w:t>Per Job</w:t>
            </w:r>
          </w:p>
          <w:p w:rsidR="00C802EE" w:rsidRPr="00942C19" w:rsidRDefault="00C802EE" w:rsidP="00C652DB">
            <w:r w:rsidRPr="00942C19">
              <w:t>Per Job</w:t>
            </w:r>
          </w:p>
        </w:tc>
        <w:tc>
          <w:tcPr>
            <w:tcW w:w="1374" w:type="dxa"/>
          </w:tcPr>
          <w:p w:rsidR="00C802EE" w:rsidRPr="00942C19" w:rsidRDefault="00C802EE" w:rsidP="00C652DB"/>
          <w:p w:rsidR="00C802EE" w:rsidRPr="00942C19" w:rsidRDefault="00C802EE" w:rsidP="00C652DB">
            <w:r w:rsidRPr="00942C19">
              <w:t>50.00</w:t>
            </w:r>
          </w:p>
          <w:p w:rsidR="00C802EE" w:rsidRPr="00942C19" w:rsidRDefault="00C802EE" w:rsidP="00C652DB">
            <w:r w:rsidRPr="00942C19">
              <w:t>50.00</w:t>
            </w:r>
          </w:p>
          <w:p w:rsidR="00C802EE" w:rsidRPr="00942C19" w:rsidRDefault="00C802EE" w:rsidP="00C652DB">
            <w:r w:rsidRPr="00942C19">
              <w:t>175.00</w:t>
            </w:r>
          </w:p>
          <w:p w:rsidR="00C802EE" w:rsidRPr="00942C19" w:rsidRDefault="00C802EE" w:rsidP="00C652DB">
            <w:r w:rsidRPr="00942C19">
              <w:t>350.00</w:t>
            </w:r>
          </w:p>
          <w:p w:rsidR="00C802EE" w:rsidRPr="00942C19" w:rsidRDefault="00C802EE" w:rsidP="00C652DB">
            <w:r w:rsidRPr="00942C19">
              <w:t>1000.00</w:t>
            </w:r>
          </w:p>
          <w:p w:rsidR="00C802EE" w:rsidRPr="00942C19" w:rsidRDefault="00C802EE" w:rsidP="00C652DB">
            <w:r w:rsidRPr="00942C19">
              <w:t>50.00</w:t>
            </w:r>
          </w:p>
          <w:p w:rsidR="00C802EE" w:rsidRPr="00942C19" w:rsidRDefault="00C802EE" w:rsidP="00C652DB">
            <w:r w:rsidRPr="00942C19">
              <w:t>400.00</w:t>
            </w:r>
          </w:p>
          <w:p w:rsidR="00C802EE" w:rsidRPr="00942C19" w:rsidRDefault="00C802EE" w:rsidP="00C652DB">
            <w:r w:rsidRPr="00942C19">
              <w:t>Nil</w:t>
            </w:r>
          </w:p>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r w:rsidRPr="00942C19">
              <w:t>500.00</w:t>
            </w:r>
          </w:p>
          <w:p w:rsidR="00C802EE" w:rsidRPr="00942C19" w:rsidRDefault="00C802EE" w:rsidP="00C652DB">
            <w:r w:rsidRPr="00942C19">
              <w:t>275.00</w:t>
            </w:r>
          </w:p>
          <w:p w:rsidR="00C802EE" w:rsidRPr="00942C19" w:rsidRDefault="00C802EE" w:rsidP="00C652DB">
            <w:r w:rsidRPr="00942C19">
              <w:t>150.00</w:t>
            </w:r>
          </w:p>
          <w:p w:rsidR="00C802EE" w:rsidRPr="00942C19" w:rsidRDefault="00C802EE" w:rsidP="00C652DB"/>
          <w:p w:rsidR="00C802EE" w:rsidRPr="00942C19" w:rsidRDefault="00C802EE" w:rsidP="00C652DB">
            <w:r w:rsidRPr="00942C19">
              <w:t>50.00</w:t>
            </w:r>
          </w:p>
          <w:p w:rsidR="00C802EE" w:rsidRPr="00942C19" w:rsidRDefault="00C802EE" w:rsidP="00C652DB">
            <w:r w:rsidRPr="00942C19">
              <w:t>75.00</w:t>
            </w:r>
          </w:p>
          <w:p w:rsidR="00C802EE" w:rsidRPr="00942C19" w:rsidRDefault="00C802EE" w:rsidP="00C652DB"/>
          <w:p w:rsidR="00C802EE" w:rsidRPr="00942C19" w:rsidRDefault="00C802EE" w:rsidP="00C652DB">
            <w:r w:rsidRPr="00942C19">
              <w:t>100.00</w:t>
            </w:r>
          </w:p>
          <w:p w:rsidR="00C802EE" w:rsidRPr="00942C19" w:rsidRDefault="00C802EE" w:rsidP="00C652DB"/>
          <w:p w:rsidR="00C802EE" w:rsidRPr="00942C19" w:rsidRDefault="00C802EE" w:rsidP="00C652DB"/>
          <w:p w:rsidR="00C802EE" w:rsidRPr="00942C19" w:rsidRDefault="00C802EE" w:rsidP="00C652DB">
            <w:r w:rsidRPr="00942C19">
              <w:t>20.00</w:t>
            </w:r>
          </w:p>
          <w:p w:rsidR="00C802EE" w:rsidRPr="00942C19" w:rsidRDefault="00C802EE" w:rsidP="00C652DB">
            <w:r w:rsidRPr="00942C19">
              <w:t>25.00</w:t>
            </w:r>
          </w:p>
          <w:p w:rsidR="00C802EE" w:rsidRPr="00942C19" w:rsidRDefault="00C802EE" w:rsidP="00C652DB"/>
          <w:p w:rsidR="00C802EE" w:rsidRPr="00942C19" w:rsidRDefault="00C802EE" w:rsidP="00C652DB">
            <w:r w:rsidRPr="00942C19">
              <w:t>60.00</w:t>
            </w:r>
          </w:p>
          <w:p w:rsidR="00C802EE" w:rsidRPr="00942C19" w:rsidRDefault="00C802EE" w:rsidP="00C652DB"/>
          <w:p w:rsidR="00C802EE" w:rsidRPr="00942C19" w:rsidRDefault="00C802EE" w:rsidP="00C652DB">
            <w:r w:rsidRPr="00942C19">
              <w:t>100.00</w:t>
            </w:r>
          </w:p>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p w:rsidR="00C802EE" w:rsidRPr="00942C19" w:rsidRDefault="00C802EE" w:rsidP="00C652DB">
            <w:r w:rsidRPr="00942C19">
              <w:t>100.00</w:t>
            </w:r>
          </w:p>
          <w:p w:rsidR="00C802EE" w:rsidRPr="00942C19" w:rsidRDefault="00C802EE" w:rsidP="00C652DB">
            <w:r w:rsidRPr="00942C19">
              <w:t>200.00</w:t>
            </w:r>
          </w:p>
        </w:tc>
      </w:tr>
    </w:tbl>
    <w:p w:rsidR="00C802EE" w:rsidRPr="00942C19" w:rsidRDefault="00C802EE" w:rsidP="00C802EE">
      <w:pPr>
        <w:jc w:val="center"/>
        <w:rPr>
          <w:rFonts w:ascii="Georgia" w:hAnsi="Georgia"/>
          <w:b/>
          <w:u w:val="single"/>
        </w:rPr>
      </w:pPr>
    </w:p>
    <w:p w:rsidR="00C802EE" w:rsidRPr="00942C19" w:rsidRDefault="00C802EE" w:rsidP="00C802EE">
      <w:pPr>
        <w:rPr>
          <w:b/>
          <w:u w:val="single"/>
        </w:rPr>
      </w:pPr>
      <w:r w:rsidRPr="00942C19">
        <w:rPr>
          <w:b/>
          <w:u w:val="single"/>
        </w:rPr>
        <w:t>CHARGES FOR TATKAL VIDYUT SANYOJAN (TATKAL CONNECTION):</w:t>
      </w:r>
    </w:p>
    <w:p w:rsidR="00C802EE" w:rsidRPr="00942C19" w:rsidRDefault="00C802EE" w:rsidP="00C802EE"/>
    <w:p w:rsidR="00C802EE" w:rsidRPr="00942C19" w:rsidRDefault="00C802EE" w:rsidP="00C802EE">
      <w:r w:rsidRPr="00942C19">
        <w:t>For urban consumers of LMV-1, LMV-2 and LMV-9 categories, desirous of getting connection within 24 hours of making the application, provided such release of connection does not require extension of distribution mains or commissioning of sub-station or augmenting capacity of transformers, shall have to pay following additional charges apart from the regular connection charges:</w:t>
      </w:r>
    </w:p>
    <w:p w:rsidR="00C802EE" w:rsidRPr="00942C19" w:rsidRDefault="00C802EE" w:rsidP="00C802EE">
      <w:pPr>
        <w:rPr>
          <w:szCs w:val="22"/>
        </w:rPr>
      </w:pPr>
    </w:p>
    <w:p w:rsidR="00C802EE" w:rsidRPr="00942C19" w:rsidRDefault="00C802EE" w:rsidP="00A818DC">
      <w:pPr>
        <w:numPr>
          <w:ilvl w:val="0"/>
          <w:numId w:val="67"/>
        </w:numPr>
        <w:spacing w:before="0"/>
        <w:rPr>
          <w:b/>
        </w:rPr>
      </w:pPr>
      <w:r w:rsidRPr="00942C19">
        <w:rPr>
          <w:b/>
        </w:rPr>
        <w:t>FOR PERMANENT ELECTRICITY CONNECTION:</w:t>
      </w:r>
    </w:p>
    <w:p w:rsidR="00C802EE" w:rsidRPr="00942C19" w:rsidRDefault="00C802EE" w:rsidP="00A818DC">
      <w:pPr>
        <w:numPr>
          <w:ilvl w:val="1"/>
          <w:numId w:val="67"/>
        </w:numPr>
        <w:spacing w:before="0"/>
      </w:pPr>
      <w:r w:rsidRPr="00942C19">
        <w:t xml:space="preserve">Single Phase Domestic light and fan </w:t>
      </w:r>
      <w:r w:rsidRPr="00942C19">
        <w:tab/>
      </w:r>
      <w:r w:rsidRPr="00942C19">
        <w:tab/>
        <w:t>: Rs. 500 per connection</w:t>
      </w:r>
    </w:p>
    <w:p w:rsidR="00C802EE" w:rsidRPr="00942C19" w:rsidRDefault="00C802EE" w:rsidP="00A818DC">
      <w:pPr>
        <w:numPr>
          <w:ilvl w:val="1"/>
          <w:numId w:val="67"/>
        </w:numPr>
        <w:spacing w:before="0"/>
      </w:pPr>
      <w:r w:rsidRPr="00942C19">
        <w:t>Three Phase Domestic light and fan</w:t>
      </w:r>
      <w:r w:rsidRPr="00942C19">
        <w:tab/>
      </w:r>
      <w:r w:rsidRPr="00942C19">
        <w:tab/>
        <w:t>: Rs. 750 per connection</w:t>
      </w:r>
    </w:p>
    <w:p w:rsidR="00C802EE" w:rsidRPr="00942C19" w:rsidRDefault="00C802EE" w:rsidP="00A818DC">
      <w:pPr>
        <w:numPr>
          <w:ilvl w:val="1"/>
          <w:numId w:val="67"/>
        </w:numPr>
        <w:spacing w:before="0"/>
      </w:pPr>
      <w:r w:rsidRPr="00942C19">
        <w:t>Single Phase Commercial</w:t>
      </w:r>
      <w:r w:rsidRPr="00942C19">
        <w:tab/>
      </w:r>
      <w:r w:rsidRPr="00942C19">
        <w:tab/>
      </w:r>
      <w:r w:rsidRPr="00942C19">
        <w:tab/>
        <w:t>: Rs. 750 per connection</w:t>
      </w:r>
    </w:p>
    <w:p w:rsidR="00C802EE" w:rsidRPr="00942C19" w:rsidRDefault="00C802EE" w:rsidP="00A818DC">
      <w:pPr>
        <w:numPr>
          <w:ilvl w:val="1"/>
          <w:numId w:val="67"/>
        </w:numPr>
        <w:spacing w:before="0"/>
      </w:pPr>
      <w:r w:rsidRPr="00942C19">
        <w:t>Three Phase Commercial</w:t>
      </w:r>
      <w:r w:rsidRPr="00942C19">
        <w:tab/>
      </w:r>
      <w:r w:rsidRPr="00942C19">
        <w:tab/>
      </w:r>
      <w:r w:rsidRPr="00942C19">
        <w:tab/>
        <w:t>: Rs. 1000 per connection</w:t>
      </w:r>
    </w:p>
    <w:p w:rsidR="00C802EE" w:rsidRPr="00942C19" w:rsidRDefault="00C802EE" w:rsidP="00C802EE"/>
    <w:p w:rsidR="00C802EE" w:rsidRPr="00942C19" w:rsidRDefault="00C802EE" w:rsidP="00A818DC">
      <w:pPr>
        <w:numPr>
          <w:ilvl w:val="0"/>
          <w:numId w:val="67"/>
        </w:numPr>
        <w:spacing w:before="0"/>
        <w:rPr>
          <w:b/>
        </w:rPr>
      </w:pPr>
      <w:r w:rsidRPr="00942C19">
        <w:rPr>
          <w:b/>
        </w:rPr>
        <w:t>FOR TEMPORARY ELECTRICITY CONNECTION:</w:t>
      </w:r>
    </w:p>
    <w:p w:rsidR="00C802EE" w:rsidRPr="00942C19" w:rsidRDefault="00C802EE" w:rsidP="00A818DC">
      <w:pPr>
        <w:numPr>
          <w:ilvl w:val="1"/>
          <w:numId w:val="67"/>
        </w:numPr>
        <w:spacing w:before="0"/>
      </w:pPr>
      <w:r w:rsidRPr="00942C19">
        <w:t>Single Phase (</w:t>
      </w:r>
      <w:r w:rsidR="00D31494" w:rsidRPr="00942C19">
        <w:t>Up to</w:t>
      </w:r>
      <w:r w:rsidRPr="00942C19">
        <w:t xml:space="preserve"> 4 kW)</w:t>
      </w:r>
      <w:r w:rsidRPr="00942C19">
        <w:tab/>
      </w:r>
      <w:r w:rsidRPr="00942C19">
        <w:tab/>
      </w:r>
      <w:r w:rsidRPr="00942C19">
        <w:tab/>
        <w:t>: Rs. 750 per connection</w:t>
      </w:r>
    </w:p>
    <w:p w:rsidR="00C802EE" w:rsidRPr="00942C19" w:rsidRDefault="00C802EE" w:rsidP="00A818DC">
      <w:pPr>
        <w:numPr>
          <w:ilvl w:val="1"/>
          <w:numId w:val="67"/>
        </w:numPr>
        <w:spacing w:before="0"/>
      </w:pPr>
      <w:r w:rsidRPr="00942C19">
        <w:t>Three Phase (from 5 kW to 24 kW)</w:t>
      </w:r>
      <w:r w:rsidRPr="00942C19">
        <w:tab/>
      </w:r>
      <w:r w:rsidRPr="00942C19">
        <w:tab/>
        <w:t>: Rs. 1000 per connection</w:t>
      </w:r>
    </w:p>
    <w:p w:rsidR="00C802EE" w:rsidRPr="00942C19" w:rsidRDefault="00C802EE" w:rsidP="00C802EE"/>
    <w:p w:rsidR="00C802EE" w:rsidRPr="00942C19" w:rsidRDefault="00C802EE" w:rsidP="00C802EE">
      <w:pPr>
        <w:sectPr w:rsidR="00C802EE" w:rsidRPr="00942C19" w:rsidSect="00F0647B">
          <w:footerReference w:type="default" r:id="rId43"/>
          <w:pgSz w:w="11909" w:h="16834" w:code="9"/>
          <w:pgMar w:top="992" w:right="1440" w:bottom="1440" w:left="1729" w:header="720" w:footer="720" w:gutter="0"/>
          <w:cols w:space="720"/>
          <w:docGrid w:linePitch="360"/>
        </w:sectPr>
      </w:pPr>
    </w:p>
    <w:p w:rsidR="00C802EE" w:rsidRPr="00942C19" w:rsidRDefault="00C802EE" w:rsidP="000C498C">
      <w:pPr>
        <w:pStyle w:val="Heading1"/>
        <w:numPr>
          <w:ilvl w:val="1"/>
          <w:numId w:val="1"/>
        </w:numPr>
        <w:spacing w:line="276" w:lineRule="auto"/>
        <w:rPr>
          <w:color w:val="auto"/>
        </w:rPr>
      </w:pPr>
      <w:bookmarkStart w:id="886" w:name="_Toc338336087"/>
      <w:bookmarkStart w:id="887" w:name="_Toc357345060"/>
      <w:bookmarkStart w:id="888" w:name="_Toc357714436"/>
      <w:r w:rsidRPr="00942C19">
        <w:rPr>
          <w:color w:val="auto"/>
        </w:rPr>
        <w:t>LIST OF POWER FACTOR APPARATUS</w:t>
      </w:r>
      <w:bookmarkEnd w:id="886"/>
      <w:bookmarkEnd w:id="887"/>
      <w:bookmarkEnd w:id="888"/>
    </w:p>
    <w:p w:rsidR="00C802EE" w:rsidRPr="00942C19" w:rsidRDefault="00C802EE" w:rsidP="00C802EE">
      <w:pPr>
        <w:ind w:left="360"/>
        <w:rPr>
          <w:b/>
          <w:szCs w:val="22"/>
          <w:u w:val="single"/>
        </w:rPr>
      </w:pPr>
      <w:r w:rsidRPr="00942C19">
        <w:rPr>
          <w:b/>
          <w:szCs w:val="22"/>
          <w:u w:val="single"/>
        </w:rPr>
        <w:t>FOR MOTORS:</w:t>
      </w:r>
    </w:p>
    <w:p w:rsidR="00C802EE" w:rsidRPr="00942C19" w:rsidRDefault="00C802EE" w:rsidP="00C802EE">
      <w:pPr>
        <w:ind w:left="360"/>
        <w:rPr>
          <w:b/>
          <w:szCs w:val="22"/>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038"/>
        <w:gridCol w:w="2104"/>
        <w:gridCol w:w="1350"/>
        <w:gridCol w:w="1350"/>
        <w:gridCol w:w="1260"/>
        <w:gridCol w:w="1482"/>
      </w:tblGrid>
      <w:tr w:rsidR="00C802EE" w:rsidRPr="00942C19" w:rsidTr="00C652DB">
        <w:trPr>
          <w:cantSplit/>
          <w:tblHeader/>
          <w:jc w:val="center"/>
        </w:trPr>
        <w:tc>
          <w:tcPr>
            <w:tcW w:w="1038" w:type="dxa"/>
            <w:vMerge w:val="restart"/>
            <w:shd w:val="clear" w:color="000000" w:fill="DBE5F1"/>
          </w:tcPr>
          <w:p w:rsidR="00C802EE" w:rsidRPr="00942C19" w:rsidRDefault="00C802EE" w:rsidP="00C652DB">
            <w:pPr>
              <w:jc w:val="center"/>
            </w:pPr>
            <w:r w:rsidRPr="00942C19">
              <w:rPr>
                <w:b/>
                <w:szCs w:val="22"/>
              </w:rPr>
              <w:t>Sl. No.</w:t>
            </w:r>
          </w:p>
        </w:tc>
        <w:tc>
          <w:tcPr>
            <w:tcW w:w="2104" w:type="dxa"/>
            <w:vMerge w:val="restart"/>
            <w:shd w:val="clear" w:color="000000" w:fill="DBE5F1"/>
          </w:tcPr>
          <w:p w:rsidR="00C802EE" w:rsidRPr="00942C19" w:rsidRDefault="00C802EE" w:rsidP="00C652DB">
            <w:pPr>
              <w:jc w:val="center"/>
            </w:pPr>
            <w:r w:rsidRPr="00942C19">
              <w:rPr>
                <w:b/>
                <w:szCs w:val="22"/>
              </w:rPr>
              <w:t>Rating of Individual Motor</w:t>
            </w:r>
          </w:p>
        </w:tc>
        <w:tc>
          <w:tcPr>
            <w:tcW w:w="5442" w:type="dxa"/>
            <w:gridSpan w:val="4"/>
            <w:tcBorders>
              <w:bottom w:val="dotted" w:sz="4" w:space="0" w:color="auto"/>
            </w:tcBorders>
            <w:shd w:val="clear" w:color="000000" w:fill="DBE5F1"/>
          </w:tcPr>
          <w:p w:rsidR="00C802EE" w:rsidRPr="00942C19" w:rsidRDefault="00C802EE" w:rsidP="00C652DB">
            <w:pPr>
              <w:jc w:val="center"/>
              <w:rPr>
                <w:b/>
              </w:rPr>
            </w:pPr>
            <w:r w:rsidRPr="00942C19">
              <w:rPr>
                <w:b/>
                <w:szCs w:val="22"/>
              </w:rPr>
              <w:t>KVAR Rating of Capacitor</w:t>
            </w:r>
          </w:p>
        </w:tc>
      </w:tr>
      <w:tr w:rsidR="00C802EE" w:rsidRPr="00942C19" w:rsidTr="00C652DB">
        <w:trPr>
          <w:cantSplit/>
          <w:tblHeader/>
          <w:jc w:val="center"/>
        </w:trPr>
        <w:tc>
          <w:tcPr>
            <w:tcW w:w="1038" w:type="dxa"/>
            <w:vMerge/>
          </w:tcPr>
          <w:p w:rsidR="00C802EE" w:rsidRPr="00942C19" w:rsidRDefault="00C802EE" w:rsidP="00C652DB">
            <w:pPr>
              <w:jc w:val="center"/>
            </w:pPr>
          </w:p>
        </w:tc>
        <w:tc>
          <w:tcPr>
            <w:tcW w:w="2104" w:type="dxa"/>
            <w:vMerge/>
          </w:tcPr>
          <w:p w:rsidR="00C802EE" w:rsidRPr="00942C19" w:rsidRDefault="00C802EE" w:rsidP="00C652DB">
            <w:pPr>
              <w:jc w:val="center"/>
            </w:pPr>
          </w:p>
        </w:tc>
        <w:tc>
          <w:tcPr>
            <w:tcW w:w="1350" w:type="dxa"/>
            <w:shd w:val="clear" w:color="auto" w:fill="DBE5F1"/>
          </w:tcPr>
          <w:p w:rsidR="00C802EE" w:rsidRPr="00942C19" w:rsidRDefault="00C802EE" w:rsidP="00C652DB">
            <w:pPr>
              <w:jc w:val="center"/>
              <w:rPr>
                <w:b/>
              </w:rPr>
            </w:pPr>
            <w:r w:rsidRPr="00942C19">
              <w:rPr>
                <w:b/>
                <w:szCs w:val="22"/>
              </w:rPr>
              <w:t>750 RPM</w:t>
            </w:r>
          </w:p>
        </w:tc>
        <w:tc>
          <w:tcPr>
            <w:tcW w:w="1350" w:type="dxa"/>
            <w:shd w:val="clear" w:color="auto" w:fill="DBE5F1"/>
          </w:tcPr>
          <w:p w:rsidR="00C802EE" w:rsidRPr="00942C19" w:rsidRDefault="00C802EE" w:rsidP="00C652DB">
            <w:pPr>
              <w:jc w:val="center"/>
              <w:rPr>
                <w:b/>
              </w:rPr>
            </w:pPr>
            <w:r w:rsidRPr="00942C19">
              <w:rPr>
                <w:b/>
                <w:szCs w:val="22"/>
              </w:rPr>
              <w:t>1000 RPM</w:t>
            </w:r>
          </w:p>
        </w:tc>
        <w:tc>
          <w:tcPr>
            <w:tcW w:w="1260" w:type="dxa"/>
            <w:shd w:val="clear" w:color="auto" w:fill="DBE5F1"/>
          </w:tcPr>
          <w:p w:rsidR="00C802EE" w:rsidRPr="00942C19" w:rsidRDefault="00C802EE" w:rsidP="00C652DB">
            <w:pPr>
              <w:jc w:val="center"/>
              <w:rPr>
                <w:b/>
              </w:rPr>
            </w:pPr>
            <w:r w:rsidRPr="00942C19">
              <w:rPr>
                <w:b/>
                <w:szCs w:val="22"/>
              </w:rPr>
              <w:t>1500 RPM</w:t>
            </w:r>
          </w:p>
        </w:tc>
        <w:tc>
          <w:tcPr>
            <w:tcW w:w="1482" w:type="dxa"/>
            <w:shd w:val="clear" w:color="auto" w:fill="DBE5F1"/>
          </w:tcPr>
          <w:p w:rsidR="00C802EE" w:rsidRPr="00942C19" w:rsidRDefault="00C802EE" w:rsidP="00C652DB">
            <w:pPr>
              <w:jc w:val="center"/>
              <w:rPr>
                <w:b/>
              </w:rPr>
            </w:pPr>
            <w:r w:rsidRPr="00942C19">
              <w:rPr>
                <w:b/>
                <w:szCs w:val="22"/>
              </w:rPr>
              <w:t>3000 RPM</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w:t>
            </w:r>
          </w:p>
        </w:tc>
        <w:tc>
          <w:tcPr>
            <w:tcW w:w="2104" w:type="dxa"/>
          </w:tcPr>
          <w:p w:rsidR="00C802EE" w:rsidRPr="00942C19" w:rsidRDefault="00D31494" w:rsidP="00C652DB">
            <w:pPr>
              <w:jc w:val="center"/>
            </w:pPr>
            <w:r w:rsidRPr="00942C19">
              <w:rPr>
                <w:szCs w:val="22"/>
              </w:rPr>
              <w:t>Up to</w:t>
            </w:r>
            <w:r w:rsidR="00C802EE" w:rsidRPr="00942C19">
              <w:rPr>
                <w:szCs w:val="22"/>
              </w:rPr>
              <w:t xml:space="preserve"> 3 HP</w:t>
            </w:r>
          </w:p>
        </w:tc>
        <w:tc>
          <w:tcPr>
            <w:tcW w:w="1350" w:type="dxa"/>
          </w:tcPr>
          <w:p w:rsidR="00C802EE" w:rsidRPr="00942C19" w:rsidRDefault="00C802EE" w:rsidP="00C652DB">
            <w:pPr>
              <w:jc w:val="center"/>
            </w:pPr>
            <w:r w:rsidRPr="00942C19">
              <w:rPr>
                <w:szCs w:val="22"/>
              </w:rPr>
              <w:t>1</w:t>
            </w:r>
          </w:p>
        </w:tc>
        <w:tc>
          <w:tcPr>
            <w:tcW w:w="1350" w:type="dxa"/>
          </w:tcPr>
          <w:p w:rsidR="00C802EE" w:rsidRPr="00942C19" w:rsidRDefault="00C802EE" w:rsidP="00C652DB">
            <w:pPr>
              <w:jc w:val="center"/>
            </w:pPr>
            <w:r w:rsidRPr="00942C19">
              <w:rPr>
                <w:szCs w:val="22"/>
              </w:rPr>
              <w:t>1</w:t>
            </w:r>
          </w:p>
        </w:tc>
        <w:tc>
          <w:tcPr>
            <w:tcW w:w="1260" w:type="dxa"/>
          </w:tcPr>
          <w:p w:rsidR="00C802EE" w:rsidRPr="00942C19" w:rsidRDefault="00C802EE" w:rsidP="00C652DB">
            <w:pPr>
              <w:jc w:val="center"/>
            </w:pPr>
            <w:r w:rsidRPr="00942C19">
              <w:rPr>
                <w:szCs w:val="22"/>
              </w:rPr>
              <w:t>1</w:t>
            </w:r>
          </w:p>
        </w:tc>
        <w:tc>
          <w:tcPr>
            <w:tcW w:w="1482" w:type="dxa"/>
          </w:tcPr>
          <w:p w:rsidR="00C802EE" w:rsidRPr="00942C19" w:rsidRDefault="00C802EE" w:rsidP="00C652DB">
            <w:pPr>
              <w:jc w:val="center"/>
            </w:pPr>
            <w:r w:rsidRPr="00942C19">
              <w:rPr>
                <w:szCs w:val="22"/>
              </w:rPr>
              <w:t>1</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2.</w:t>
            </w:r>
          </w:p>
        </w:tc>
        <w:tc>
          <w:tcPr>
            <w:tcW w:w="2104" w:type="dxa"/>
          </w:tcPr>
          <w:p w:rsidR="00C802EE" w:rsidRPr="00942C19" w:rsidRDefault="00C802EE" w:rsidP="00C652DB">
            <w:pPr>
              <w:jc w:val="center"/>
            </w:pPr>
            <w:r w:rsidRPr="00942C19">
              <w:rPr>
                <w:szCs w:val="22"/>
              </w:rPr>
              <w:t>5 HP</w:t>
            </w:r>
          </w:p>
        </w:tc>
        <w:tc>
          <w:tcPr>
            <w:tcW w:w="1350" w:type="dxa"/>
          </w:tcPr>
          <w:p w:rsidR="00C802EE" w:rsidRPr="00942C19" w:rsidRDefault="00C802EE" w:rsidP="00C652DB">
            <w:pPr>
              <w:jc w:val="center"/>
            </w:pPr>
            <w:r w:rsidRPr="00942C19">
              <w:rPr>
                <w:szCs w:val="22"/>
              </w:rPr>
              <w:t>2</w:t>
            </w:r>
          </w:p>
        </w:tc>
        <w:tc>
          <w:tcPr>
            <w:tcW w:w="1350" w:type="dxa"/>
          </w:tcPr>
          <w:p w:rsidR="00C802EE" w:rsidRPr="00942C19" w:rsidRDefault="00C802EE" w:rsidP="00C652DB">
            <w:pPr>
              <w:jc w:val="center"/>
            </w:pPr>
            <w:r w:rsidRPr="00942C19">
              <w:rPr>
                <w:szCs w:val="22"/>
              </w:rPr>
              <w:t>2</w:t>
            </w:r>
          </w:p>
        </w:tc>
        <w:tc>
          <w:tcPr>
            <w:tcW w:w="1260" w:type="dxa"/>
          </w:tcPr>
          <w:p w:rsidR="00C802EE" w:rsidRPr="00942C19" w:rsidRDefault="00C802EE" w:rsidP="00C652DB">
            <w:pPr>
              <w:jc w:val="center"/>
            </w:pPr>
            <w:r w:rsidRPr="00942C19">
              <w:rPr>
                <w:szCs w:val="22"/>
              </w:rPr>
              <w:t>2</w:t>
            </w:r>
          </w:p>
        </w:tc>
        <w:tc>
          <w:tcPr>
            <w:tcW w:w="1482" w:type="dxa"/>
          </w:tcPr>
          <w:p w:rsidR="00C802EE" w:rsidRPr="00942C19" w:rsidRDefault="00C802EE" w:rsidP="00C652DB">
            <w:pPr>
              <w:jc w:val="center"/>
            </w:pPr>
            <w:r w:rsidRPr="00942C19">
              <w:rPr>
                <w:szCs w:val="22"/>
              </w:rPr>
              <w:t>2</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3.</w:t>
            </w:r>
          </w:p>
        </w:tc>
        <w:tc>
          <w:tcPr>
            <w:tcW w:w="2104" w:type="dxa"/>
          </w:tcPr>
          <w:p w:rsidR="00C802EE" w:rsidRPr="00942C19" w:rsidRDefault="00C802EE" w:rsidP="00C652DB">
            <w:pPr>
              <w:jc w:val="center"/>
            </w:pPr>
            <w:r w:rsidRPr="00942C19">
              <w:rPr>
                <w:szCs w:val="22"/>
              </w:rPr>
              <w:t>7.5 HP</w:t>
            </w:r>
          </w:p>
        </w:tc>
        <w:tc>
          <w:tcPr>
            <w:tcW w:w="1350" w:type="dxa"/>
          </w:tcPr>
          <w:p w:rsidR="00C802EE" w:rsidRPr="00942C19" w:rsidRDefault="00C802EE" w:rsidP="00C652DB">
            <w:pPr>
              <w:jc w:val="center"/>
            </w:pPr>
            <w:r w:rsidRPr="00942C19">
              <w:rPr>
                <w:szCs w:val="22"/>
              </w:rPr>
              <w:t>3</w:t>
            </w:r>
          </w:p>
        </w:tc>
        <w:tc>
          <w:tcPr>
            <w:tcW w:w="1350" w:type="dxa"/>
          </w:tcPr>
          <w:p w:rsidR="00C802EE" w:rsidRPr="00942C19" w:rsidRDefault="00C802EE" w:rsidP="00C652DB">
            <w:pPr>
              <w:jc w:val="center"/>
            </w:pPr>
            <w:r w:rsidRPr="00942C19">
              <w:rPr>
                <w:szCs w:val="22"/>
              </w:rPr>
              <w:t>3</w:t>
            </w:r>
          </w:p>
        </w:tc>
        <w:tc>
          <w:tcPr>
            <w:tcW w:w="1260" w:type="dxa"/>
          </w:tcPr>
          <w:p w:rsidR="00C802EE" w:rsidRPr="00942C19" w:rsidRDefault="00C802EE" w:rsidP="00C652DB">
            <w:pPr>
              <w:jc w:val="center"/>
            </w:pPr>
            <w:r w:rsidRPr="00942C19">
              <w:rPr>
                <w:szCs w:val="22"/>
              </w:rPr>
              <w:t>3</w:t>
            </w:r>
          </w:p>
        </w:tc>
        <w:tc>
          <w:tcPr>
            <w:tcW w:w="1482" w:type="dxa"/>
          </w:tcPr>
          <w:p w:rsidR="00C802EE" w:rsidRPr="00942C19" w:rsidRDefault="00C802EE" w:rsidP="00C652DB">
            <w:pPr>
              <w:jc w:val="center"/>
            </w:pPr>
            <w:r w:rsidRPr="00942C19">
              <w:rPr>
                <w:szCs w:val="22"/>
              </w:rPr>
              <w:t>3</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4.</w:t>
            </w:r>
          </w:p>
        </w:tc>
        <w:tc>
          <w:tcPr>
            <w:tcW w:w="2104" w:type="dxa"/>
          </w:tcPr>
          <w:p w:rsidR="00C802EE" w:rsidRPr="00942C19" w:rsidRDefault="00C802EE" w:rsidP="00C652DB">
            <w:pPr>
              <w:jc w:val="center"/>
            </w:pPr>
            <w:r w:rsidRPr="00942C19">
              <w:rPr>
                <w:szCs w:val="22"/>
              </w:rPr>
              <w:t>10 HP</w:t>
            </w:r>
          </w:p>
        </w:tc>
        <w:tc>
          <w:tcPr>
            <w:tcW w:w="1350" w:type="dxa"/>
          </w:tcPr>
          <w:p w:rsidR="00C802EE" w:rsidRPr="00942C19" w:rsidRDefault="00C802EE" w:rsidP="00C652DB">
            <w:pPr>
              <w:jc w:val="center"/>
            </w:pPr>
            <w:r w:rsidRPr="00942C19">
              <w:rPr>
                <w:szCs w:val="22"/>
              </w:rPr>
              <w:t>4</w:t>
            </w:r>
          </w:p>
        </w:tc>
        <w:tc>
          <w:tcPr>
            <w:tcW w:w="1350" w:type="dxa"/>
          </w:tcPr>
          <w:p w:rsidR="00C802EE" w:rsidRPr="00942C19" w:rsidRDefault="00C802EE" w:rsidP="00C652DB">
            <w:pPr>
              <w:jc w:val="center"/>
            </w:pPr>
            <w:r w:rsidRPr="00942C19">
              <w:rPr>
                <w:szCs w:val="22"/>
              </w:rPr>
              <w:t>4</w:t>
            </w:r>
          </w:p>
        </w:tc>
        <w:tc>
          <w:tcPr>
            <w:tcW w:w="1260" w:type="dxa"/>
          </w:tcPr>
          <w:p w:rsidR="00C802EE" w:rsidRPr="00942C19" w:rsidRDefault="00C802EE" w:rsidP="00C652DB">
            <w:pPr>
              <w:jc w:val="center"/>
            </w:pPr>
            <w:r w:rsidRPr="00942C19">
              <w:rPr>
                <w:szCs w:val="22"/>
              </w:rPr>
              <w:t>4</w:t>
            </w:r>
          </w:p>
        </w:tc>
        <w:tc>
          <w:tcPr>
            <w:tcW w:w="1482" w:type="dxa"/>
          </w:tcPr>
          <w:p w:rsidR="00C802EE" w:rsidRPr="00942C19" w:rsidRDefault="00C802EE" w:rsidP="00C652DB">
            <w:pPr>
              <w:jc w:val="center"/>
            </w:pPr>
            <w:r w:rsidRPr="00942C19">
              <w:rPr>
                <w:szCs w:val="22"/>
              </w:rPr>
              <w:t>3</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5.</w:t>
            </w:r>
          </w:p>
        </w:tc>
        <w:tc>
          <w:tcPr>
            <w:tcW w:w="2104" w:type="dxa"/>
          </w:tcPr>
          <w:p w:rsidR="00C802EE" w:rsidRPr="00942C19" w:rsidRDefault="00C802EE" w:rsidP="00C652DB">
            <w:pPr>
              <w:jc w:val="center"/>
            </w:pPr>
            <w:r w:rsidRPr="00942C19">
              <w:rPr>
                <w:szCs w:val="22"/>
              </w:rPr>
              <w:t>15 HP</w:t>
            </w:r>
          </w:p>
        </w:tc>
        <w:tc>
          <w:tcPr>
            <w:tcW w:w="1350" w:type="dxa"/>
          </w:tcPr>
          <w:p w:rsidR="00C802EE" w:rsidRPr="00942C19" w:rsidRDefault="00C802EE" w:rsidP="00C652DB">
            <w:pPr>
              <w:jc w:val="center"/>
            </w:pPr>
            <w:r w:rsidRPr="00942C19">
              <w:rPr>
                <w:szCs w:val="22"/>
              </w:rPr>
              <w:t>6</w:t>
            </w:r>
          </w:p>
        </w:tc>
        <w:tc>
          <w:tcPr>
            <w:tcW w:w="1350" w:type="dxa"/>
          </w:tcPr>
          <w:p w:rsidR="00C802EE" w:rsidRPr="00942C19" w:rsidRDefault="00C802EE" w:rsidP="00C652DB">
            <w:pPr>
              <w:jc w:val="center"/>
            </w:pPr>
            <w:r w:rsidRPr="00942C19">
              <w:rPr>
                <w:szCs w:val="22"/>
              </w:rPr>
              <w:t>5</w:t>
            </w:r>
          </w:p>
        </w:tc>
        <w:tc>
          <w:tcPr>
            <w:tcW w:w="1260" w:type="dxa"/>
          </w:tcPr>
          <w:p w:rsidR="00C802EE" w:rsidRPr="00942C19" w:rsidRDefault="00C802EE" w:rsidP="00C652DB">
            <w:pPr>
              <w:jc w:val="center"/>
            </w:pPr>
            <w:r w:rsidRPr="00942C19">
              <w:rPr>
                <w:szCs w:val="22"/>
              </w:rPr>
              <w:t>5</w:t>
            </w:r>
          </w:p>
        </w:tc>
        <w:tc>
          <w:tcPr>
            <w:tcW w:w="1482" w:type="dxa"/>
          </w:tcPr>
          <w:p w:rsidR="00C802EE" w:rsidRPr="00942C19" w:rsidRDefault="00C802EE" w:rsidP="00C652DB">
            <w:pPr>
              <w:jc w:val="center"/>
            </w:pPr>
            <w:r w:rsidRPr="00942C19">
              <w:rPr>
                <w:szCs w:val="22"/>
              </w:rPr>
              <w:t>4</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6.</w:t>
            </w:r>
          </w:p>
        </w:tc>
        <w:tc>
          <w:tcPr>
            <w:tcW w:w="2104" w:type="dxa"/>
          </w:tcPr>
          <w:p w:rsidR="00C802EE" w:rsidRPr="00942C19" w:rsidRDefault="00C802EE" w:rsidP="00C652DB">
            <w:pPr>
              <w:jc w:val="center"/>
            </w:pPr>
            <w:r w:rsidRPr="00942C19">
              <w:rPr>
                <w:szCs w:val="22"/>
              </w:rPr>
              <w:t>20 HP</w:t>
            </w:r>
          </w:p>
        </w:tc>
        <w:tc>
          <w:tcPr>
            <w:tcW w:w="1350" w:type="dxa"/>
          </w:tcPr>
          <w:p w:rsidR="00C802EE" w:rsidRPr="00942C19" w:rsidRDefault="00C802EE" w:rsidP="00C652DB">
            <w:pPr>
              <w:jc w:val="center"/>
            </w:pPr>
            <w:r w:rsidRPr="00942C19">
              <w:rPr>
                <w:szCs w:val="22"/>
              </w:rPr>
              <w:t>8</w:t>
            </w:r>
          </w:p>
        </w:tc>
        <w:tc>
          <w:tcPr>
            <w:tcW w:w="1350" w:type="dxa"/>
          </w:tcPr>
          <w:p w:rsidR="00C802EE" w:rsidRPr="00942C19" w:rsidRDefault="00C802EE" w:rsidP="00C652DB">
            <w:pPr>
              <w:jc w:val="center"/>
            </w:pPr>
            <w:r w:rsidRPr="00942C19">
              <w:rPr>
                <w:szCs w:val="22"/>
              </w:rPr>
              <w:t>7</w:t>
            </w:r>
          </w:p>
        </w:tc>
        <w:tc>
          <w:tcPr>
            <w:tcW w:w="1260" w:type="dxa"/>
          </w:tcPr>
          <w:p w:rsidR="00C802EE" w:rsidRPr="00942C19" w:rsidRDefault="00C802EE" w:rsidP="00C652DB">
            <w:pPr>
              <w:jc w:val="center"/>
            </w:pPr>
            <w:r w:rsidRPr="00942C19">
              <w:rPr>
                <w:szCs w:val="22"/>
              </w:rPr>
              <w:t>6</w:t>
            </w:r>
          </w:p>
        </w:tc>
        <w:tc>
          <w:tcPr>
            <w:tcW w:w="1482" w:type="dxa"/>
          </w:tcPr>
          <w:p w:rsidR="00C802EE" w:rsidRPr="00942C19" w:rsidRDefault="00C802EE" w:rsidP="00C652DB">
            <w:pPr>
              <w:jc w:val="center"/>
            </w:pPr>
            <w:r w:rsidRPr="00942C19">
              <w:rPr>
                <w:szCs w:val="22"/>
              </w:rPr>
              <w:t>5</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7.</w:t>
            </w:r>
          </w:p>
        </w:tc>
        <w:tc>
          <w:tcPr>
            <w:tcW w:w="2104" w:type="dxa"/>
          </w:tcPr>
          <w:p w:rsidR="00C802EE" w:rsidRPr="00942C19" w:rsidRDefault="00C802EE" w:rsidP="00C652DB">
            <w:pPr>
              <w:jc w:val="center"/>
            </w:pPr>
            <w:r w:rsidRPr="00942C19">
              <w:rPr>
                <w:szCs w:val="22"/>
              </w:rPr>
              <w:t>25 HP</w:t>
            </w:r>
          </w:p>
        </w:tc>
        <w:tc>
          <w:tcPr>
            <w:tcW w:w="1350" w:type="dxa"/>
          </w:tcPr>
          <w:p w:rsidR="00C802EE" w:rsidRPr="00942C19" w:rsidRDefault="00C802EE" w:rsidP="00C652DB">
            <w:pPr>
              <w:jc w:val="center"/>
            </w:pPr>
            <w:r w:rsidRPr="00942C19">
              <w:rPr>
                <w:szCs w:val="22"/>
              </w:rPr>
              <w:t>9</w:t>
            </w:r>
          </w:p>
        </w:tc>
        <w:tc>
          <w:tcPr>
            <w:tcW w:w="1350" w:type="dxa"/>
          </w:tcPr>
          <w:p w:rsidR="00C802EE" w:rsidRPr="00942C19" w:rsidRDefault="00C802EE" w:rsidP="00C652DB">
            <w:pPr>
              <w:jc w:val="center"/>
            </w:pPr>
            <w:r w:rsidRPr="00942C19">
              <w:rPr>
                <w:szCs w:val="22"/>
              </w:rPr>
              <w:t>8</w:t>
            </w:r>
          </w:p>
        </w:tc>
        <w:tc>
          <w:tcPr>
            <w:tcW w:w="1260" w:type="dxa"/>
          </w:tcPr>
          <w:p w:rsidR="00C802EE" w:rsidRPr="00942C19" w:rsidRDefault="00C802EE" w:rsidP="00C652DB">
            <w:pPr>
              <w:jc w:val="center"/>
            </w:pPr>
            <w:r w:rsidRPr="00942C19">
              <w:rPr>
                <w:szCs w:val="22"/>
              </w:rPr>
              <w:t>7</w:t>
            </w:r>
          </w:p>
        </w:tc>
        <w:tc>
          <w:tcPr>
            <w:tcW w:w="1482" w:type="dxa"/>
          </w:tcPr>
          <w:p w:rsidR="00C802EE" w:rsidRPr="00942C19" w:rsidRDefault="00C802EE" w:rsidP="00C652DB">
            <w:pPr>
              <w:jc w:val="center"/>
            </w:pPr>
            <w:r w:rsidRPr="00942C19">
              <w:rPr>
                <w:szCs w:val="22"/>
              </w:rPr>
              <w:t>6</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8.</w:t>
            </w:r>
          </w:p>
        </w:tc>
        <w:tc>
          <w:tcPr>
            <w:tcW w:w="2104" w:type="dxa"/>
          </w:tcPr>
          <w:p w:rsidR="00C802EE" w:rsidRPr="00942C19" w:rsidRDefault="00C802EE" w:rsidP="00C652DB">
            <w:pPr>
              <w:jc w:val="center"/>
            </w:pPr>
            <w:r w:rsidRPr="00942C19">
              <w:rPr>
                <w:szCs w:val="22"/>
              </w:rPr>
              <w:t>30 HP</w:t>
            </w:r>
          </w:p>
        </w:tc>
        <w:tc>
          <w:tcPr>
            <w:tcW w:w="1350" w:type="dxa"/>
          </w:tcPr>
          <w:p w:rsidR="00C802EE" w:rsidRPr="00942C19" w:rsidRDefault="00C802EE" w:rsidP="00C652DB">
            <w:pPr>
              <w:jc w:val="center"/>
            </w:pPr>
            <w:r w:rsidRPr="00942C19">
              <w:rPr>
                <w:szCs w:val="22"/>
              </w:rPr>
              <w:t>10</w:t>
            </w:r>
          </w:p>
        </w:tc>
        <w:tc>
          <w:tcPr>
            <w:tcW w:w="1350" w:type="dxa"/>
          </w:tcPr>
          <w:p w:rsidR="00C802EE" w:rsidRPr="00942C19" w:rsidRDefault="00C802EE" w:rsidP="00C652DB">
            <w:pPr>
              <w:jc w:val="center"/>
            </w:pPr>
            <w:r w:rsidRPr="00942C19">
              <w:rPr>
                <w:szCs w:val="22"/>
              </w:rPr>
              <w:t>9</w:t>
            </w:r>
          </w:p>
        </w:tc>
        <w:tc>
          <w:tcPr>
            <w:tcW w:w="1260" w:type="dxa"/>
          </w:tcPr>
          <w:p w:rsidR="00C802EE" w:rsidRPr="00942C19" w:rsidRDefault="00C802EE" w:rsidP="00C652DB">
            <w:pPr>
              <w:jc w:val="center"/>
            </w:pPr>
            <w:r w:rsidRPr="00942C19">
              <w:rPr>
                <w:szCs w:val="22"/>
              </w:rPr>
              <w:t>8</w:t>
            </w:r>
          </w:p>
        </w:tc>
        <w:tc>
          <w:tcPr>
            <w:tcW w:w="1482" w:type="dxa"/>
          </w:tcPr>
          <w:p w:rsidR="00C802EE" w:rsidRPr="00942C19" w:rsidRDefault="00C802EE" w:rsidP="00C652DB">
            <w:pPr>
              <w:jc w:val="center"/>
            </w:pPr>
            <w:r w:rsidRPr="00942C19">
              <w:rPr>
                <w:szCs w:val="22"/>
              </w:rPr>
              <w:t>7</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9.</w:t>
            </w:r>
          </w:p>
        </w:tc>
        <w:tc>
          <w:tcPr>
            <w:tcW w:w="2104" w:type="dxa"/>
          </w:tcPr>
          <w:p w:rsidR="00C802EE" w:rsidRPr="00942C19" w:rsidRDefault="00C802EE" w:rsidP="00C652DB">
            <w:pPr>
              <w:jc w:val="center"/>
            </w:pPr>
            <w:r w:rsidRPr="00942C19">
              <w:rPr>
                <w:szCs w:val="22"/>
              </w:rPr>
              <w:t>40 HP</w:t>
            </w:r>
          </w:p>
        </w:tc>
        <w:tc>
          <w:tcPr>
            <w:tcW w:w="1350" w:type="dxa"/>
          </w:tcPr>
          <w:p w:rsidR="00C802EE" w:rsidRPr="00942C19" w:rsidRDefault="00C802EE" w:rsidP="00C652DB">
            <w:pPr>
              <w:jc w:val="center"/>
            </w:pPr>
            <w:r w:rsidRPr="00942C19">
              <w:rPr>
                <w:szCs w:val="22"/>
              </w:rPr>
              <w:t>13</w:t>
            </w:r>
          </w:p>
        </w:tc>
        <w:tc>
          <w:tcPr>
            <w:tcW w:w="1350" w:type="dxa"/>
          </w:tcPr>
          <w:p w:rsidR="00C802EE" w:rsidRPr="00942C19" w:rsidRDefault="00C802EE" w:rsidP="00C652DB">
            <w:pPr>
              <w:jc w:val="center"/>
            </w:pPr>
            <w:r w:rsidRPr="00942C19">
              <w:rPr>
                <w:szCs w:val="22"/>
              </w:rPr>
              <w:t>11</w:t>
            </w:r>
          </w:p>
        </w:tc>
        <w:tc>
          <w:tcPr>
            <w:tcW w:w="1260" w:type="dxa"/>
          </w:tcPr>
          <w:p w:rsidR="00C802EE" w:rsidRPr="00942C19" w:rsidRDefault="00C802EE" w:rsidP="00C652DB">
            <w:pPr>
              <w:jc w:val="center"/>
            </w:pPr>
            <w:r w:rsidRPr="00942C19">
              <w:rPr>
                <w:szCs w:val="22"/>
              </w:rPr>
              <w:t>10</w:t>
            </w:r>
          </w:p>
        </w:tc>
        <w:tc>
          <w:tcPr>
            <w:tcW w:w="1482" w:type="dxa"/>
          </w:tcPr>
          <w:p w:rsidR="00C802EE" w:rsidRPr="00942C19" w:rsidRDefault="00C802EE" w:rsidP="00C652DB">
            <w:pPr>
              <w:jc w:val="center"/>
            </w:pPr>
            <w:r w:rsidRPr="00942C19">
              <w:rPr>
                <w:szCs w:val="22"/>
              </w:rPr>
              <w:t>9</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10.</w:t>
            </w:r>
          </w:p>
        </w:tc>
        <w:tc>
          <w:tcPr>
            <w:tcW w:w="2104" w:type="dxa"/>
          </w:tcPr>
          <w:p w:rsidR="00C802EE" w:rsidRPr="00942C19" w:rsidRDefault="00C802EE" w:rsidP="00C652DB">
            <w:pPr>
              <w:jc w:val="center"/>
            </w:pPr>
            <w:r w:rsidRPr="00942C19">
              <w:rPr>
                <w:szCs w:val="22"/>
              </w:rPr>
              <w:t>50 HP</w:t>
            </w:r>
          </w:p>
        </w:tc>
        <w:tc>
          <w:tcPr>
            <w:tcW w:w="1350" w:type="dxa"/>
          </w:tcPr>
          <w:p w:rsidR="00C802EE" w:rsidRPr="00942C19" w:rsidRDefault="00C802EE" w:rsidP="00C652DB">
            <w:pPr>
              <w:jc w:val="center"/>
            </w:pPr>
            <w:r w:rsidRPr="00942C19">
              <w:rPr>
                <w:szCs w:val="22"/>
              </w:rPr>
              <w:t>15</w:t>
            </w:r>
          </w:p>
        </w:tc>
        <w:tc>
          <w:tcPr>
            <w:tcW w:w="1350" w:type="dxa"/>
          </w:tcPr>
          <w:p w:rsidR="00C802EE" w:rsidRPr="00942C19" w:rsidRDefault="00C802EE" w:rsidP="00C652DB">
            <w:pPr>
              <w:jc w:val="center"/>
            </w:pPr>
            <w:r w:rsidRPr="00942C19">
              <w:rPr>
                <w:szCs w:val="22"/>
              </w:rPr>
              <w:t>15</w:t>
            </w:r>
          </w:p>
        </w:tc>
        <w:tc>
          <w:tcPr>
            <w:tcW w:w="1260" w:type="dxa"/>
          </w:tcPr>
          <w:p w:rsidR="00C802EE" w:rsidRPr="00942C19" w:rsidRDefault="00C802EE" w:rsidP="00C652DB">
            <w:pPr>
              <w:jc w:val="center"/>
            </w:pPr>
            <w:r w:rsidRPr="00942C19">
              <w:rPr>
                <w:szCs w:val="22"/>
              </w:rPr>
              <w:t>12</w:t>
            </w:r>
          </w:p>
        </w:tc>
        <w:tc>
          <w:tcPr>
            <w:tcW w:w="1482" w:type="dxa"/>
          </w:tcPr>
          <w:p w:rsidR="00C802EE" w:rsidRPr="00942C19" w:rsidRDefault="00C802EE" w:rsidP="00C652DB">
            <w:pPr>
              <w:jc w:val="center"/>
            </w:pPr>
            <w:r w:rsidRPr="00942C19">
              <w:rPr>
                <w:szCs w:val="22"/>
              </w:rPr>
              <w:t>10</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11.</w:t>
            </w:r>
          </w:p>
        </w:tc>
        <w:tc>
          <w:tcPr>
            <w:tcW w:w="2104" w:type="dxa"/>
          </w:tcPr>
          <w:p w:rsidR="00C802EE" w:rsidRPr="00942C19" w:rsidRDefault="00C802EE" w:rsidP="00C652DB">
            <w:pPr>
              <w:jc w:val="center"/>
            </w:pPr>
            <w:r w:rsidRPr="00942C19">
              <w:rPr>
                <w:szCs w:val="22"/>
              </w:rPr>
              <w:t>60 HP</w:t>
            </w:r>
          </w:p>
        </w:tc>
        <w:tc>
          <w:tcPr>
            <w:tcW w:w="1350" w:type="dxa"/>
          </w:tcPr>
          <w:p w:rsidR="00C802EE" w:rsidRPr="00942C19" w:rsidRDefault="00C802EE" w:rsidP="00C652DB">
            <w:pPr>
              <w:jc w:val="center"/>
            </w:pPr>
            <w:r w:rsidRPr="00942C19">
              <w:rPr>
                <w:szCs w:val="22"/>
              </w:rPr>
              <w:t>20</w:t>
            </w:r>
          </w:p>
        </w:tc>
        <w:tc>
          <w:tcPr>
            <w:tcW w:w="1350" w:type="dxa"/>
          </w:tcPr>
          <w:p w:rsidR="00C802EE" w:rsidRPr="00942C19" w:rsidRDefault="00C802EE" w:rsidP="00C652DB">
            <w:pPr>
              <w:jc w:val="center"/>
            </w:pPr>
            <w:r w:rsidRPr="00942C19">
              <w:rPr>
                <w:szCs w:val="22"/>
              </w:rPr>
              <w:t>20</w:t>
            </w:r>
          </w:p>
        </w:tc>
        <w:tc>
          <w:tcPr>
            <w:tcW w:w="1260" w:type="dxa"/>
          </w:tcPr>
          <w:p w:rsidR="00C802EE" w:rsidRPr="00942C19" w:rsidRDefault="00C802EE" w:rsidP="00C652DB">
            <w:pPr>
              <w:jc w:val="center"/>
            </w:pPr>
            <w:r w:rsidRPr="00942C19">
              <w:rPr>
                <w:szCs w:val="22"/>
              </w:rPr>
              <w:t>16</w:t>
            </w:r>
          </w:p>
        </w:tc>
        <w:tc>
          <w:tcPr>
            <w:tcW w:w="1482" w:type="dxa"/>
          </w:tcPr>
          <w:p w:rsidR="00C802EE" w:rsidRPr="00942C19" w:rsidRDefault="00C802EE" w:rsidP="00C652DB">
            <w:pPr>
              <w:jc w:val="center"/>
            </w:pPr>
            <w:r w:rsidRPr="00942C19">
              <w:rPr>
                <w:szCs w:val="22"/>
              </w:rPr>
              <w:t>14</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12.</w:t>
            </w:r>
          </w:p>
        </w:tc>
        <w:tc>
          <w:tcPr>
            <w:tcW w:w="2104" w:type="dxa"/>
          </w:tcPr>
          <w:p w:rsidR="00C802EE" w:rsidRPr="00942C19" w:rsidRDefault="00C802EE" w:rsidP="00C652DB">
            <w:pPr>
              <w:jc w:val="center"/>
            </w:pPr>
            <w:r w:rsidRPr="00942C19">
              <w:rPr>
                <w:szCs w:val="22"/>
              </w:rPr>
              <w:t>75 HP</w:t>
            </w:r>
          </w:p>
        </w:tc>
        <w:tc>
          <w:tcPr>
            <w:tcW w:w="1350" w:type="dxa"/>
          </w:tcPr>
          <w:p w:rsidR="00C802EE" w:rsidRPr="00942C19" w:rsidRDefault="00C802EE" w:rsidP="00C652DB">
            <w:pPr>
              <w:jc w:val="center"/>
            </w:pPr>
            <w:r w:rsidRPr="00942C19">
              <w:rPr>
                <w:szCs w:val="22"/>
              </w:rPr>
              <w:t>24</w:t>
            </w:r>
          </w:p>
        </w:tc>
        <w:tc>
          <w:tcPr>
            <w:tcW w:w="1350" w:type="dxa"/>
          </w:tcPr>
          <w:p w:rsidR="00C802EE" w:rsidRPr="00942C19" w:rsidRDefault="00C802EE" w:rsidP="00C652DB">
            <w:pPr>
              <w:jc w:val="center"/>
            </w:pPr>
            <w:r w:rsidRPr="00942C19">
              <w:rPr>
                <w:szCs w:val="22"/>
              </w:rPr>
              <w:t>23</w:t>
            </w:r>
          </w:p>
        </w:tc>
        <w:tc>
          <w:tcPr>
            <w:tcW w:w="1260" w:type="dxa"/>
          </w:tcPr>
          <w:p w:rsidR="00C802EE" w:rsidRPr="00942C19" w:rsidRDefault="00C802EE" w:rsidP="00C652DB">
            <w:pPr>
              <w:jc w:val="center"/>
            </w:pPr>
            <w:r w:rsidRPr="00942C19">
              <w:rPr>
                <w:szCs w:val="22"/>
              </w:rPr>
              <w:t>19</w:t>
            </w:r>
          </w:p>
        </w:tc>
        <w:tc>
          <w:tcPr>
            <w:tcW w:w="1482" w:type="dxa"/>
          </w:tcPr>
          <w:p w:rsidR="00C802EE" w:rsidRPr="00942C19" w:rsidRDefault="00C802EE" w:rsidP="00C652DB">
            <w:pPr>
              <w:jc w:val="center"/>
            </w:pPr>
            <w:r w:rsidRPr="00942C19">
              <w:rPr>
                <w:szCs w:val="22"/>
              </w:rPr>
              <w:t>16</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13.</w:t>
            </w:r>
          </w:p>
        </w:tc>
        <w:tc>
          <w:tcPr>
            <w:tcW w:w="2104" w:type="dxa"/>
          </w:tcPr>
          <w:p w:rsidR="00C802EE" w:rsidRPr="00942C19" w:rsidRDefault="00C802EE" w:rsidP="00C652DB">
            <w:pPr>
              <w:jc w:val="center"/>
            </w:pPr>
            <w:r w:rsidRPr="00942C19">
              <w:rPr>
                <w:szCs w:val="22"/>
              </w:rPr>
              <w:t>100 HP</w:t>
            </w:r>
          </w:p>
        </w:tc>
        <w:tc>
          <w:tcPr>
            <w:tcW w:w="1350" w:type="dxa"/>
          </w:tcPr>
          <w:p w:rsidR="00C802EE" w:rsidRPr="00942C19" w:rsidRDefault="00C802EE" w:rsidP="00C652DB">
            <w:pPr>
              <w:jc w:val="center"/>
            </w:pPr>
            <w:r w:rsidRPr="00942C19">
              <w:rPr>
                <w:szCs w:val="22"/>
              </w:rPr>
              <w:t>30</w:t>
            </w:r>
          </w:p>
        </w:tc>
        <w:tc>
          <w:tcPr>
            <w:tcW w:w="1350" w:type="dxa"/>
          </w:tcPr>
          <w:p w:rsidR="00C802EE" w:rsidRPr="00942C19" w:rsidRDefault="00C802EE" w:rsidP="00C652DB">
            <w:pPr>
              <w:jc w:val="center"/>
            </w:pPr>
            <w:r w:rsidRPr="00942C19">
              <w:rPr>
                <w:szCs w:val="22"/>
              </w:rPr>
              <w:t>30</w:t>
            </w:r>
          </w:p>
        </w:tc>
        <w:tc>
          <w:tcPr>
            <w:tcW w:w="1260" w:type="dxa"/>
          </w:tcPr>
          <w:p w:rsidR="00C802EE" w:rsidRPr="00942C19" w:rsidRDefault="00C802EE" w:rsidP="00C652DB">
            <w:pPr>
              <w:jc w:val="center"/>
            </w:pPr>
            <w:r w:rsidRPr="00942C19">
              <w:rPr>
                <w:szCs w:val="22"/>
              </w:rPr>
              <w:t>24</w:t>
            </w:r>
          </w:p>
        </w:tc>
        <w:tc>
          <w:tcPr>
            <w:tcW w:w="1482" w:type="dxa"/>
          </w:tcPr>
          <w:p w:rsidR="00C802EE" w:rsidRPr="00942C19" w:rsidRDefault="00C802EE" w:rsidP="00C652DB">
            <w:pPr>
              <w:jc w:val="center"/>
            </w:pPr>
            <w:r w:rsidRPr="00942C19">
              <w:rPr>
                <w:szCs w:val="22"/>
              </w:rPr>
              <w:t>20</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14.</w:t>
            </w:r>
          </w:p>
        </w:tc>
        <w:tc>
          <w:tcPr>
            <w:tcW w:w="2104" w:type="dxa"/>
          </w:tcPr>
          <w:p w:rsidR="00C802EE" w:rsidRPr="00942C19" w:rsidRDefault="00C802EE" w:rsidP="00C652DB">
            <w:pPr>
              <w:jc w:val="center"/>
            </w:pPr>
            <w:r w:rsidRPr="00942C19">
              <w:rPr>
                <w:szCs w:val="22"/>
              </w:rPr>
              <w:t>125 HP</w:t>
            </w:r>
          </w:p>
        </w:tc>
        <w:tc>
          <w:tcPr>
            <w:tcW w:w="1350" w:type="dxa"/>
          </w:tcPr>
          <w:p w:rsidR="00C802EE" w:rsidRPr="00942C19" w:rsidRDefault="00C802EE" w:rsidP="00C652DB">
            <w:pPr>
              <w:jc w:val="center"/>
            </w:pPr>
            <w:r w:rsidRPr="00942C19">
              <w:rPr>
                <w:szCs w:val="22"/>
              </w:rPr>
              <w:t>39</w:t>
            </w:r>
          </w:p>
        </w:tc>
        <w:tc>
          <w:tcPr>
            <w:tcW w:w="1350" w:type="dxa"/>
          </w:tcPr>
          <w:p w:rsidR="00C802EE" w:rsidRPr="00942C19" w:rsidRDefault="00C802EE" w:rsidP="00C652DB">
            <w:pPr>
              <w:jc w:val="center"/>
            </w:pPr>
            <w:r w:rsidRPr="00942C19">
              <w:rPr>
                <w:szCs w:val="22"/>
              </w:rPr>
              <w:t>38</w:t>
            </w:r>
          </w:p>
        </w:tc>
        <w:tc>
          <w:tcPr>
            <w:tcW w:w="1260" w:type="dxa"/>
          </w:tcPr>
          <w:p w:rsidR="00C802EE" w:rsidRPr="00942C19" w:rsidRDefault="00C802EE" w:rsidP="00C652DB">
            <w:pPr>
              <w:jc w:val="center"/>
            </w:pPr>
            <w:r w:rsidRPr="00942C19">
              <w:rPr>
                <w:szCs w:val="22"/>
              </w:rPr>
              <w:t>31</w:t>
            </w:r>
          </w:p>
        </w:tc>
        <w:tc>
          <w:tcPr>
            <w:tcW w:w="1482" w:type="dxa"/>
          </w:tcPr>
          <w:p w:rsidR="00C802EE" w:rsidRPr="00942C19" w:rsidRDefault="00C802EE" w:rsidP="00C652DB">
            <w:pPr>
              <w:jc w:val="center"/>
            </w:pPr>
            <w:r w:rsidRPr="00942C19">
              <w:rPr>
                <w:szCs w:val="22"/>
              </w:rPr>
              <w:t>26</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15.</w:t>
            </w:r>
          </w:p>
        </w:tc>
        <w:tc>
          <w:tcPr>
            <w:tcW w:w="2104" w:type="dxa"/>
          </w:tcPr>
          <w:p w:rsidR="00C802EE" w:rsidRPr="00942C19" w:rsidRDefault="00C802EE" w:rsidP="00C652DB">
            <w:pPr>
              <w:jc w:val="center"/>
            </w:pPr>
            <w:r w:rsidRPr="00942C19">
              <w:rPr>
                <w:szCs w:val="22"/>
              </w:rPr>
              <w:t>150 HP</w:t>
            </w:r>
          </w:p>
        </w:tc>
        <w:tc>
          <w:tcPr>
            <w:tcW w:w="1350" w:type="dxa"/>
          </w:tcPr>
          <w:p w:rsidR="00C802EE" w:rsidRPr="00942C19" w:rsidRDefault="00C802EE" w:rsidP="00C652DB">
            <w:pPr>
              <w:jc w:val="center"/>
            </w:pPr>
            <w:r w:rsidRPr="00942C19">
              <w:rPr>
                <w:szCs w:val="22"/>
              </w:rPr>
              <w:t>45</w:t>
            </w:r>
          </w:p>
        </w:tc>
        <w:tc>
          <w:tcPr>
            <w:tcW w:w="1350" w:type="dxa"/>
          </w:tcPr>
          <w:p w:rsidR="00C802EE" w:rsidRPr="00942C19" w:rsidRDefault="00C802EE" w:rsidP="00C652DB">
            <w:pPr>
              <w:jc w:val="center"/>
            </w:pPr>
            <w:r w:rsidRPr="00942C19">
              <w:rPr>
                <w:szCs w:val="22"/>
              </w:rPr>
              <w:t>45</w:t>
            </w:r>
          </w:p>
        </w:tc>
        <w:tc>
          <w:tcPr>
            <w:tcW w:w="1260" w:type="dxa"/>
          </w:tcPr>
          <w:p w:rsidR="00C802EE" w:rsidRPr="00942C19" w:rsidRDefault="00C802EE" w:rsidP="00C652DB">
            <w:pPr>
              <w:jc w:val="center"/>
            </w:pPr>
            <w:r w:rsidRPr="00942C19">
              <w:rPr>
                <w:szCs w:val="22"/>
              </w:rPr>
              <w:t>36</w:t>
            </w:r>
          </w:p>
        </w:tc>
        <w:tc>
          <w:tcPr>
            <w:tcW w:w="1482" w:type="dxa"/>
          </w:tcPr>
          <w:p w:rsidR="00C802EE" w:rsidRPr="00942C19" w:rsidRDefault="00C802EE" w:rsidP="00C652DB">
            <w:pPr>
              <w:jc w:val="center"/>
            </w:pPr>
            <w:r w:rsidRPr="00942C19">
              <w:rPr>
                <w:szCs w:val="22"/>
              </w:rPr>
              <w:t>30</w:t>
            </w:r>
          </w:p>
        </w:tc>
      </w:tr>
      <w:tr w:rsidR="00C802EE" w:rsidRPr="00942C19" w:rsidTr="00C652DB">
        <w:trPr>
          <w:cantSplit/>
          <w:jc w:val="center"/>
        </w:trPr>
        <w:tc>
          <w:tcPr>
            <w:tcW w:w="1038" w:type="dxa"/>
          </w:tcPr>
          <w:p w:rsidR="00C802EE" w:rsidRPr="00942C19" w:rsidRDefault="00C802EE" w:rsidP="00C652DB">
            <w:pPr>
              <w:jc w:val="center"/>
            </w:pPr>
            <w:r w:rsidRPr="00942C19">
              <w:rPr>
                <w:szCs w:val="22"/>
              </w:rPr>
              <w:t>16.</w:t>
            </w:r>
          </w:p>
        </w:tc>
        <w:tc>
          <w:tcPr>
            <w:tcW w:w="2104" w:type="dxa"/>
          </w:tcPr>
          <w:p w:rsidR="00C802EE" w:rsidRPr="00942C19" w:rsidRDefault="00C802EE" w:rsidP="00C652DB">
            <w:pPr>
              <w:jc w:val="center"/>
            </w:pPr>
            <w:r w:rsidRPr="00942C19">
              <w:rPr>
                <w:szCs w:val="22"/>
              </w:rPr>
              <w:t>200 HP</w:t>
            </w:r>
          </w:p>
        </w:tc>
        <w:tc>
          <w:tcPr>
            <w:tcW w:w="1350" w:type="dxa"/>
          </w:tcPr>
          <w:p w:rsidR="00C802EE" w:rsidRPr="00942C19" w:rsidRDefault="00C802EE" w:rsidP="00C652DB">
            <w:pPr>
              <w:jc w:val="center"/>
            </w:pPr>
            <w:r w:rsidRPr="00942C19">
              <w:rPr>
                <w:szCs w:val="22"/>
              </w:rPr>
              <w:t>60</w:t>
            </w:r>
          </w:p>
        </w:tc>
        <w:tc>
          <w:tcPr>
            <w:tcW w:w="1350" w:type="dxa"/>
          </w:tcPr>
          <w:p w:rsidR="00C802EE" w:rsidRPr="00942C19" w:rsidRDefault="00C802EE" w:rsidP="00C652DB">
            <w:pPr>
              <w:jc w:val="center"/>
            </w:pPr>
            <w:r w:rsidRPr="00942C19">
              <w:rPr>
                <w:szCs w:val="22"/>
              </w:rPr>
              <w:t>60</w:t>
            </w:r>
          </w:p>
        </w:tc>
        <w:tc>
          <w:tcPr>
            <w:tcW w:w="1260" w:type="dxa"/>
          </w:tcPr>
          <w:p w:rsidR="00C802EE" w:rsidRPr="00942C19" w:rsidRDefault="00C802EE" w:rsidP="00C652DB">
            <w:pPr>
              <w:jc w:val="center"/>
            </w:pPr>
            <w:r w:rsidRPr="00942C19">
              <w:rPr>
                <w:szCs w:val="22"/>
              </w:rPr>
              <w:t>48</w:t>
            </w:r>
          </w:p>
        </w:tc>
        <w:tc>
          <w:tcPr>
            <w:tcW w:w="1482" w:type="dxa"/>
          </w:tcPr>
          <w:p w:rsidR="00C802EE" w:rsidRPr="00942C19" w:rsidRDefault="00C802EE" w:rsidP="00C652DB">
            <w:pPr>
              <w:jc w:val="center"/>
            </w:pPr>
            <w:r w:rsidRPr="00942C19">
              <w:rPr>
                <w:szCs w:val="22"/>
              </w:rPr>
              <w:t>40</w:t>
            </w:r>
          </w:p>
        </w:tc>
      </w:tr>
    </w:tbl>
    <w:p w:rsidR="00C802EE" w:rsidRPr="00942C19" w:rsidRDefault="00C802EE" w:rsidP="00C802EE"/>
    <w:p w:rsidR="00C802EE" w:rsidRPr="00942C19" w:rsidRDefault="00C802EE" w:rsidP="00C802EE"/>
    <w:p w:rsidR="00C802EE" w:rsidRPr="00942C19" w:rsidRDefault="00C802EE" w:rsidP="00C802EE">
      <w:pPr>
        <w:spacing w:line="240" w:lineRule="auto"/>
        <w:jc w:val="left"/>
        <w:rPr>
          <w:b/>
          <w:szCs w:val="22"/>
          <w:u w:val="single"/>
        </w:rPr>
      </w:pPr>
      <w:r w:rsidRPr="00942C19">
        <w:rPr>
          <w:b/>
          <w:szCs w:val="22"/>
          <w:u w:val="single"/>
        </w:rPr>
        <w:br w:type="page"/>
      </w:r>
    </w:p>
    <w:p w:rsidR="00C802EE" w:rsidRPr="00942C19" w:rsidRDefault="00C802EE" w:rsidP="00C802EE">
      <w:pPr>
        <w:ind w:left="360"/>
        <w:jc w:val="left"/>
        <w:rPr>
          <w:b/>
          <w:szCs w:val="22"/>
          <w:u w:val="single"/>
        </w:rPr>
      </w:pPr>
      <w:r w:rsidRPr="00942C19">
        <w:rPr>
          <w:b/>
          <w:szCs w:val="22"/>
          <w:u w:val="single"/>
        </w:rPr>
        <w:t>FOR WELDING TRANSFORMERS:</w:t>
      </w:r>
    </w:p>
    <w:p w:rsidR="00C802EE" w:rsidRPr="00942C19" w:rsidRDefault="00C802EE" w:rsidP="00C802EE">
      <w:pPr>
        <w:ind w:left="360"/>
        <w:jc w:val="left"/>
        <w:rPr>
          <w:b/>
          <w:szCs w:val="22"/>
          <w:u w:val="single"/>
        </w:rPr>
      </w:pPr>
    </w:p>
    <w:tbl>
      <w:tblPr>
        <w:tblW w:w="86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720"/>
        <w:gridCol w:w="4770"/>
        <w:gridCol w:w="3181"/>
      </w:tblGrid>
      <w:tr w:rsidR="00C802EE" w:rsidRPr="00942C19" w:rsidTr="00C652DB">
        <w:trPr>
          <w:tblHeader/>
          <w:jc w:val="center"/>
        </w:trPr>
        <w:tc>
          <w:tcPr>
            <w:tcW w:w="720" w:type="dxa"/>
            <w:shd w:val="clear" w:color="auto" w:fill="DBE5F1"/>
          </w:tcPr>
          <w:p w:rsidR="00C802EE" w:rsidRPr="00942C19" w:rsidRDefault="00C802EE" w:rsidP="00C652DB">
            <w:pPr>
              <w:jc w:val="center"/>
              <w:rPr>
                <w:b/>
              </w:rPr>
            </w:pPr>
            <w:r w:rsidRPr="00942C19">
              <w:rPr>
                <w:b/>
                <w:szCs w:val="22"/>
              </w:rPr>
              <w:t>Sl. No.</w:t>
            </w:r>
          </w:p>
        </w:tc>
        <w:tc>
          <w:tcPr>
            <w:tcW w:w="4770" w:type="dxa"/>
            <w:shd w:val="clear" w:color="auto" w:fill="DBE5F1"/>
          </w:tcPr>
          <w:p w:rsidR="00C802EE" w:rsidRPr="00942C19" w:rsidRDefault="00C802EE" w:rsidP="00C652DB">
            <w:pPr>
              <w:jc w:val="center"/>
              <w:rPr>
                <w:b/>
              </w:rPr>
            </w:pPr>
            <w:r w:rsidRPr="00942C19">
              <w:rPr>
                <w:b/>
                <w:szCs w:val="22"/>
              </w:rPr>
              <w:t>Name Plate Rating in KVA of Individual Welding Transformer</w:t>
            </w:r>
          </w:p>
        </w:tc>
        <w:tc>
          <w:tcPr>
            <w:tcW w:w="3181" w:type="dxa"/>
            <w:shd w:val="clear" w:color="auto" w:fill="DBE5F1"/>
          </w:tcPr>
          <w:p w:rsidR="00C802EE" w:rsidRPr="00942C19" w:rsidRDefault="00C802EE" w:rsidP="00C652DB">
            <w:pPr>
              <w:jc w:val="center"/>
              <w:rPr>
                <w:b/>
              </w:rPr>
            </w:pPr>
            <w:r w:rsidRPr="00942C19">
              <w:rPr>
                <w:b/>
                <w:szCs w:val="22"/>
              </w:rPr>
              <w:t>Capacity of the Capacitors</w:t>
            </w:r>
          </w:p>
          <w:p w:rsidR="00C802EE" w:rsidRPr="00942C19" w:rsidRDefault="00C802EE" w:rsidP="00C652DB">
            <w:pPr>
              <w:jc w:val="center"/>
              <w:rPr>
                <w:b/>
              </w:rPr>
            </w:pPr>
            <w:r w:rsidRPr="00942C19">
              <w:rPr>
                <w:b/>
                <w:szCs w:val="22"/>
              </w:rPr>
              <w:t>(KVAR)</w:t>
            </w:r>
          </w:p>
        </w:tc>
      </w:tr>
      <w:tr w:rsidR="00C802EE" w:rsidRPr="00942C19" w:rsidTr="00C652DB">
        <w:trPr>
          <w:jc w:val="center"/>
        </w:trPr>
        <w:tc>
          <w:tcPr>
            <w:tcW w:w="720" w:type="dxa"/>
          </w:tcPr>
          <w:p w:rsidR="00C802EE" w:rsidRPr="00942C19" w:rsidRDefault="00C802EE" w:rsidP="00C652DB">
            <w:pPr>
              <w:jc w:val="center"/>
            </w:pPr>
            <w:r w:rsidRPr="00942C19">
              <w:rPr>
                <w:szCs w:val="22"/>
              </w:rPr>
              <w:t>1.</w:t>
            </w:r>
          </w:p>
        </w:tc>
        <w:tc>
          <w:tcPr>
            <w:tcW w:w="4770" w:type="dxa"/>
          </w:tcPr>
          <w:p w:rsidR="00C802EE" w:rsidRPr="00942C19" w:rsidRDefault="00C802EE" w:rsidP="00C652DB">
            <w:pPr>
              <w:jc w:val="center"/>
            </w:pPr>
            <w:r w:rsidRPr="00942C19">
              <w:rPr>
                <w:szCs w:val="22"/>
              </w:rPr>
              <w:t>1</w:t>
            </w:r>
          </w:p>
        </w:tc>
        <w:tc>
          <w:tcPr>
            <w:tcW w:w="3181" w:type="dxa"/>
          </w:tcPr>
          <w:p w:rsidR="00C802EE" w:rsidRPr="00942C19" w:rsidRDefault="00C802EE" w:rsidP="00C652DB">
            <w:pPr>
              <w:jc w:val="center"/>
            </w:pPr>
            <w:r w:rsidRPr="00942C19">
              <w:rPr>
                <w:szCs w:val="22"/>
              </w:rPr>
              <w:t>1</w:t>
            </w:r>
          </w:p>
        </w:tc>
      </w:tr>
      <w:tr w:rsidR="00C802EE" w:rsidRPr="00942C19" w:rsidTr="00C652DB">
        <w:trPr>
          <w:jc w:val="center"/>
        </w:trPr>
        <w:tc>
          <w:tcPr>
            <w:tcW w:w="720" w:type="dxa"/>
          </w:tcPr>
          <w:p w:rsidR="00C802EE" w:rsidRPr="00942C19" w:rsidRDefault="00C802EE" w:rsidP="00C652DB">
            <w:pPr>
              <w:jc w:val="center"/>
            </w:pPr>
            <w:r w:rsidRPr="00942C19">
              <w:rPr>
                <w:szCs w:val="22"/>
              </w:rPr>
              <w:t>2.</w:t>
            </w:r>
          </w:p>
        </w:tc>
        <w:tc>
          <w:tcPr>
            <w:tcW w:w="4770" w:type="dxa"/>
          </w:tcPr>
          <w:p w:rsidR="00C802EE" w:rsidRPr="00942C19" w:rsidRDefault="00C802EE" w:rsidP="00C652DB">
            <w:pPr>
              <w:jc w:val="center"/>
            </w:pPr>
            <w:r w:rsidRPr="00942C19">
              <w:rPr>
                <w:szCs w:val="22"/>
              </w:rPr>
              <w:t>2</w:t>
            </w:r>
          </w:p>
        </w:tc>
        <w:tc>
          <w:tcPr>
            <w:tcW w:w="3181" w:type="dxa"/>
          </w:tcPr>
          <w:p w:rsidR="00C802EE" w:rsidRPr="00942C19" w:rsidRDefault="00C802EE" w:rsidP="00C652DB">
            <w:pPr>
              <w:jc w:val="center"/>
            </w:pPr>
            <w:r w:rsidRPr="00942C19">
              <w:rPr>
                <w:szCs w:val="22"/>
              </w:rPr>
              <w:t>2</w:t>
            </w:r>
          </w:p>
        </w:tc>
      </w:tr>
      <w:tr w:rsidR="00C802EE" w:rsidRPr="00942C19" w:rsidTr="00C652DB">
        <w:trPr>
          <w:jc w:val="center"/>
        </w:trPr>
        <w:tc>
          <w:tcPr>
            <w:tcW w:w="720" w:type="dxa"/>
          </w:tcPr>
          <w:p w:rsidR="00C802EE" w:rsidRPr="00942C19" w:rsidRDefault="00C802EE" w:rsidP="00C652DB">
            <w:pPr>
              <w:jc w:val="center"/>
            </w:pPr>
            <w:r w:rsidRPr="00942C19">
              <w:rPr>
                <w:szCs w:val="22"/>
              </w:rPr>
              <w:t>3.</w:t>
            </w:r>
          </w:p>
        </w:tc>
        <w:tc>
          <w:tcPr>
            <w:tcW w:w="4770" w:type="dxa"/>
          </w:tcPr>
          <w:p w:rsidR="00C802EE" w:rsidRPr="00942C19" w:rsidRDefault="00C802EE" w:rsidP="00C652DB">
            <w:pPr>
              <w:jc w:val="center"/>
            </w:pPr>
            <w:r w:rsidRPr="00942C19">
              <w:rPr>
                <w:szCs w:val="22"/>
              </w:rPr>
              <w:t>3</w:t>
            </w:r>
          </w:p>
        </w:tc>
        <w:tc>
          <w:tcPr>
            <w:tcW w:w="3181" w:type="dxa"/>
          </w:tcPr>
          <w:p w:rsidR="00C802EE" w:rsidRPr="00942C19" w:rsidRDefault="00C802EE" w:rsidP="00C652DB">
            <w:pPr>
              <w:jc w:val="center"/>
            </w:pPr>
            <w:r w:rsidRPr="00942C19">
              <w:rPr>
                <w:szCs w:val="22"/>
              </w:rPr>
              <w:t>3</w:t>
            </w:r>
          </w:p>
        </w:tc>
      </w:tr>
      <w:tr w:rsidR="00C802EE" w:rsidRPr="00942C19" w:rsidTr="00C652DB">
        <w:trPr>
          <w:jc w:val="center"/>
        </w:trPr>
        <w:tc>
          <w:tcPr>
            <w:tcW w:w="720" w:type="dxa"/>
          </w:tcPr>
          <w:p w:rsidR="00C802EE" w:rsidRPr="00942C19" w:rsidRDefault="00C802EE" w:rsidP="00C652DB">
            <w:pPr>
              <w:jc w:val="center"/>
            </w:pPr>
            <w:r w:rsidRPr="00942C19">
              <w:rPr>
                <w:szCs w:val="22"/>
              </w:rPr>
              <w:t>4.</w:t>
            </w:r>
          </w:p>
        </w:tc>
        <w:tc>
          <w:tcPr>
            <w:tcW w:w="4770" w:type="dxa"/>
          </w:tcPr>
          <w:p w:rsidR="00C802EE" w:rsidRPr="00942C19" w:rsidRDefault="00C802EE" w:rsidP="00C652DB">
            <w:pPr>
              <w:jc w:val="center"/>
            </w:pPr>
            <w:r w:rsidRPr="00942C19">
              <w:rPr>
                <w:szCs w:val="22"/>
              </w:rPr>
              <w:t>4</w:t>
            </w:r>
          </w:p>
        </w:tc>
        <w:tc>
          <w:tcPr>
            <w:tcW w:w="3181" w:type="dxa"/>
          </w:tcPr>
          <w:p w:rsidR="00C802EE" w:rsidRPr="00942C19" w:rsidRDefault="00C802EE" w:rsidP="00C652DB">
            <w:pPr>
              <w:jc w:val="center"/>
            </w:pPr>
            <w:r w:rsidRPr="00942C19">
              <w:rPr>
                <w:szCs w:val="22"/>
              </w:rPr>
              <w:t>3</w:t>
            </w:r>
          </w:p>
        </w:tc>
      </w:tr>
      <w:tr w:rsidR="00C802EE" w:rsidRPr="00942C19" w:rsidTr="00C652DB">
        <w:trPr>
          <w:jc w:val="center"/>
        </w:trPr>
        <w:tc>
          <w:tcPr>
            <w:tcW w:w="720" w:type="dxa"/>
          </w:tcPr>
          <w:p w:rsidR="00C802EE" w:rsidRPr="00942C19" w:rsidRDefault="00C802EE" w:rsidP="00C652DB">
            <w:pPr>
              <w:jc w:val="center"/>
            </w:pPr>
            <w:r w:rsidRPr="00942C19">
              <w:rPr>
                <w:szCs w:val="22"/>
              </w:rPr>
              <w:t>5.</w:t>
            </w:r>
          </w:p>
        </w:tc>
        <w:tc>
          <w:tcPr>
            <w:tcW w:w="4770" w:type="dxa"/>
          </w:tcPr>
          <w:p w:rsidR="00C802EE" w:rsidRPr="00942C19" w:rsidRDefault="00C802EE" w:rsidP="00C652DB">
            <w:pPr>
              <w:jc w:val="center"/>
            </w:pPr>
            <w:r w:rsidRPr="00942C19">
              <w:rPr>
                <w:szCs w:val="22"/>
              </w:rPr>
              <w:t>5</w:t>
            </w:r>
          </w:p>
        </w:tc>
        <w:tc>
          <w:tcPr>
            <w:tcW w:w="3181" w:type="dxa"/>
          </w:tcPr>
          <w:p w:rsidR="00C802EE" w:rsidRPr="00942C19" w:rsidRDefault="00C802EE" w:rsidP="00C652DB">
            <w:pPr>
              <w:jc w:val="center"/>
            </w:pPr>
            <w:r w:rsidRPr="00942C19">
              <w:rPr>
                <w:szCs w:val="22"/>
              </w:rPr>
              <w:t>4</w:t>
            </w:r>
          </w:p>
        </w:tc>
      </w:tr>
      <w:tr w:rsidR="00C802EE" w:rsidRPr="00942C19" w:rsidTr="00C652DB">
        <w:trPr>
          <w:jc w:val="center"/>
        </w:trPr>
        <w:tc>
          <w:tcPr>
            <w:tcW w:w="720" w:type="dxa"/>
          </w:tcPr>
          <w:p w:rsidR="00C802EE" w:rsidRPr="00942C19" w:rsidRDefault="00C802EE" w:rsidP="00C652DB">
            <w:pPr>
              <w:jc w:val="center"/>
            </w:pPr>
            <w:r w:rsidRPr="00942C19">
              <w:rPr>
                <w:szCs w:val="22"/>
              </w:rPr>
              <w:t>6.</w:t>
            </w:r>
          </w:p>
        </w:tc>
        <w:tc>
          <w:tcPr>
            <w:tcW w:w="4770" w:type="dxa"/>
          </w:tcPr>
          <w:p w:rsidR="00C802EE" w:rsidRPr="00942C19" w:rsidRDefault="00C802EE" w:rsidP="00C652DB">
            <w:pPr>
              <w:jc w:val="center"/>
            </w:pPr>
            <w:r w:rsidRPr="00942C19">
              <w:rPr>
                <w:szCs w:val="22"/>
              </w:rPr>
              <w:t>6</w:t>
            </w:r>
          </w:p>
        </w:tc>
        <w:tc>
          <w:tcPr>
            <w:tcW w:w="3181" w:type="dxa"/>
          </w:tcPr>
          <w:p w:rsidR="00C802EE" w:rsidRPr="00942C19" w:rsidRDefault="00C802EE" w:rsidP="00C652DB">
            <w:pPr>
              <w:jc w:val="center"/>
            </w:pPr>
            <w:r w:rsidRPr="00942C19">
              <w:rPr>
                <w:szCs w:val="22"/>
              </w:rPr>
              <w:t>5</w:t>
            </w:r>
          </w:p>
        </w:tc>
      </w:tr>
      <w:tr w:rsidR="00C802EE" w:rsidRPr="00942C19" w:rsidTr="00C652DB">
        <w:trPr>
          <w:jc w:val="center"/>
        </w:trPr>
        <w:tc>
          <w:tcPr>
            <w:tcW w:w="720" w:type="dxa"/>
          </w:tcPr>
          <w:p w:rsidR="00C802EE" w:rsidRPr="00942C19" w:rsidRDefault="00C802EE" w:rsidP="00C652DB">
            <w:pPr>
              <w:jc w:val="center"/>
            </w:pPr>
            <w:r w:rsidRPr="00942C19">
              <w:rPr>
                <w:szCs w:val="22"/>
              </w:rPr>
              <w:t>7.</w:t>
            </w:r>
          </w:p>
        </w:tc>
        <w:tc>
          <w:tcPr>
            <w:tcW w:w="4770" w:type="dxa"/>
          </w:tcPr>
          <w:p w:rsidR="00C802EE" w:rsidRPr="00942C19" w:rsidRDefault="00C802EE" w:rsidP="00C652DB">
            <w:pPr>
              <w:jc w:val="center"/>
            </w:pPr>
            <w:r w:rsidRPr="00942C19">
              <w:rPr>
                <w:szCs w:val="22"/>
              </w:rPr>
              <w:t>7</w:t>
            </w:r>
          </w:p>
        </w:tc>
        <w:tc>
          <w:tcPr>
            <w:tcW w:w="3181" w:type="dxa"/>
          </w:tcPr>
          <w:p w:rsidR="00C802EE" w:rsidRPr="00942C19" w:rsidRDefault="00C802EE" w:rsidP="00C652DB">
            <w:pPr>
              <w:jc w:val="center"/>
            </w:pPr>
            <w:r w:rsidRPr="00942C19">
              <w:rPr>
                <w:szCs w:val="22"/>
              </w:rPr>
              <w:t>6</w:t>
            </w:r>
          </w:p>
        </w:tc>
      </w:tr>
      <w:tr w:rsidR="00C802EE" w:rsidRPr="00942C19" w:rsidTr="00C652DB">
        <w:trPr>
          <w:jc w:val="center"/>
        </w:trPr>
        <w:tc>
          <w:tcPr>
            <w:tcW w:w="720" w:type="dxa"/>
          </w:tcPr>
          <w:p w:rsidR="00C802EE" w:rsidRPr="00942C19" w:rsidRDefault="00C802EE" w:rsidP="00C652DB">
            <w:pPr>
              <w:jc w:val="center"/>
            </w:pPr>
            <w:r w:rsidRPr="00942C19">
              <w:rPr>
                <w:szCs w:val="22"/>
              </w:rPr>
              <w:t>8.</w:t>
            </w:r>
          </w:p>
        </w:tc>
        <w:tc>
          <w:tcPr>
            <w:tcW w:w="4770" w:type="dxa"/>
          </w:tcPr>
          <w:p w:rsidR="00C802EE" w:rsidRPr="00942C19" w:rsidRDefault="00C802EE" w:rsidP="00C652DB">
            <w:pPr>
              <w:jc w:val="center"/>
            </w:pPr>
            <w:r w:rsidRPr="00942C19">
              <w:rPr>
                <w:szCs w:val="22"/>
              </w:rPr>
              <w:t>8</w:t>
            </w:r>
          </w:p>
        </w:tc>
        <w:tc>
          <w:tcPr>
            <w:tcW w:w="3181" w:type="dxa"/>
          </w:tcPr>
          <w:p w:rsidR="00C802EE" w:rsidRPr="00942C19" w:rsidRDefault="00C802EE" w:rsidP="00C652DB">
            <w:pPr>
              <w:jc w:val="center"/>
            </w:pPr>
            <w:r w:rsidRPr="00942C19">
              <w:rPr>
                <w:szCs w:val="22"/>
              </w:rPr>
              <w:t>6</w:t>
            </w:r>
          </w:p>
        </w:tc>
      </w:tr>
      <w:tr w:rsidR="00C802EE" w:rsidRPr="00942C19" w:rsidTr="00C652DB">
        <w:trPr>
          <w:jc w:val="center"/>
        </w:trPr>
        <w:tc>
          <w:tcPr>
            <w:tcW w:w="720" w:type="dxa"/>
          </w:tcPr>
          <w:p w:rsidR="00C802EE" w:rsidRPr="00942C19" w:rsidRDefault="00C802EE" w:rsidP="00C652DB">
            <w:pPr>
              <w:jc w:val="center"/>
            </w:pPr>
            <w:r w:rsidRPr="00942C19">
              <w:rPr>
                <w:szCs w:val="22"/>
              </w:rPr>
              <w:t>9.</w:t>
            </w:r>
          </w:p>
        </w:tc>
        <w:tc>
          <w:tcPr>
            <w:tcW w:w="4770" w:type="dxa"/>
          </w:tcPr>
          <w:p w:rsidR="00C802EE" w:rsidRPr="00942C19" w:rsidRDefault="00C802EE" w:rsidP="00C652DB">
            <w:pPr>
              <w:jc w:val="center"/>
            </w:pPr>
            <w:r w:rsidRPr="00942C19">
              <w:rPr>
                <w:szCs w:val="22"/>
              </w:rPr>
              <w:t>9</w:t>
            </w:r>
          </w:p>
        </w:tc>
        <w:tc>
          <w:tcPr>
            <w:tcW w:w="3181" w:type="dxa"/>
          </w:tcPr>
          <w:p w:rsidR="00C802EE" w:rsidRPr="00942C19" w:rsidRDefault="00C802EE" w:rsidP="00C652DB">
            <w:pPr>
              <w:jc w:val="center"/>
            </w:pPr>
            <w:r w:rsidRPr="00942C19">
              <w:rPr>
                <w:szCs w:val="22"/>
              </w:rPr>
              <w:t>7</w:t>
            </w:r>
          </w:p>
        </w:tc>
      </w:tr>
      <w:tr w:rsidR="00C802EE" w:rsidRPr="00942C19" w:rsidTr="00C652DB">
        <w:trPr>
          <w:jc w:val="center"/>
        </w:trPr>
        <w:tc>
          <w:tcPr>
            <w:tcW w:w="720" w:type="dxa"/>
          </w:tcPr>
          <w:p w:rsidR="00C802EE" w:rsidRPr="00942C19" w:rsidRDefault="00C802EE" w:rsidP="00C652DB">
            <w:pPr>
              <w:jc w:val="center"/>
            </w:pPr>
            <w:r w:rsidRPr="00942C19">
              <w:rPr>
                <w:szCs w:val="22"/>
              </w:rPr>
              <w:t>10.</w:t>
            </w:r>
          </w:p>
        </w:tc>
        <w:tc>
          <w:tcPr>
            <w:tcW w:w="4770" w:type="dxa"/>
          </w:tcPr>
          <w:p w:rsidR="00C802EE" w:rsidRPr="00942C19" w:rsidRDefault="00C802EE" w:rsidP="00C652DB">
            <w:pPr>
              <w:jc w:val="center"/>
            </w:pPr>
            <w:r w:rsidRPr="00942C19">
              <w:rPr>
                <w:szCs w:val="22"/>
              </w:rPr>
              <w:t>10</w:t>
            </w:r>
          </w:p>
        </w:tc>
        <w:tc>
          <w:tcPr>
            <w:tcW w:w="3181" w:type="dxa"/>
          </w:tcPr>
          <w:p w:rsidR="00C802EE" w:rsidRPr="00942C19" w:rsidRDefault="00C802EE" w:rsidP="00C652DB">
            <w:pPr>
              <w:jc w:val="center"/>
            </w:pPr>
            <w:r w:rsidRPr="00942C19">
              <w:rPr>
                <w:szCs w:val="22"/>
              </w:rPr>
              <w:t>8</w:t>
            </w:r>
          </w:p>
        </w:tc>
      </w:tr>
      <w:tr w:rsidR="00C802EE" w:rsidRPr="00942C19" w:rsidTr="00C652DB">
        <w:trPr>
          <w:jc w:val="center"/>
        </w:trPr>
        <w:tc>
          <w:tcPr>
            <w:tcW w:w="720" w:type="dxa"/>
          </w:tcPr>
          <w:p w:rsidR="00C802EE" w:rsidRPr="00942C19" w:rsidRDefault="00C802EE" w:rsidP="00C652DB">
            <w:pPr>
              <w:jc w:val="center"/>
            </w:pPr>
            <w:r w:rsidRPr="00942C19">
              <w:rPr>
                <w:szCs w:val="22"/>
              </w:rPr>
              <w:t>11.</w:t>
            </w:r>
          </w:p>
        </w:tc>
        <w:tc>
          <w:tcPr>
            <w:tcW w:w="4770" w:type="dxa"/>
          </w:tcPr>
          <w:p w:rsidR="00C802EE" w:rsidRPr="00942C19" w:rsidRDefault="00C802EE" w:rsidP="00C652DB">
            <w:pPr>
              <w:jc w:val="center"/>
            </w:pPr>
            <w:r w:rsidRPr="00942C19">
              <w:rPr>
                <w:szCs w:val="22"/>
              </w:rPr>
              <w:t>11</w:t>
            </w:r>
          </w:p>
        </w:tc>
        <w:tc>
          <w:tcPr>
            <w:tcW w:w="3181" w:type="dxa"/>
          </w:tcPr>
          <w:p w:rsidR="00C802EE" w:rsidRPr="00942C19" w:rsidRDefault="00C802EE" w:rsidP="00C652DB">
            <w:pPr>
              <w:jc w:val="center"/>
            </w:pPr>
            <w:r w:rsidRPr="00942C19">
              <w:rPr>
                <w:szCs w:val="22"/>
              </w:rPr>
              <w:t>9</w:t>
            </w:r>
          </w:p>
        </w:tc>
      </w:tr>
      <w:tr w:rsidR="00C802EE" w:rsidRPr="00942C19" w:rsidTr="00C652DB">
        <w:trPr>
          <w:jc w:val="center"/>
        </w:trPr>
        <w:tc>
          <w:tcPr>
            <w:tcW w:w="720" w:type="dxa"/>
          </w:tcPr>
          <w:p w:rsidR="00C802EE" w:rsidRPr="00942C19" w:rsidRDefault="00C802EE" w:rsidP="00C652DB">
            <w:pPr>
              <w:jc w:val="center"/>
            </w:pPr>
            <w:r w:rsidRPr="00942C19">
              <w:rPr>
                <w:szCs w:val="22"/>
              </w:rPr>
              <w:t>12.</w:t>
            </w:r>
          </w:p>
        </w:tc>
        <w:tc>
          <w:tcPr>
            <w:tcW w:w="4770" w:type="dxa"/>
          </w:tcPr>
          <w:p w:rsidR="00C802EE" w:rsidRPr="00942C19" w:rsidRDefault="00C802EE" w:rsidP="00C652DB">
            <w:pPr>
              <w:jc w:val="center"/>
            </w:pPr>
            <w:r w:rsidRPr="00942C19">
              <w:rPr>
                <w:szCs w:val="22"/>
              </w:rPr>
              <w:t>12</w:t>
            </w:r>
          </w:p>
        </w:tc>
        <w:tc>
          <w:tcPr>
            <w:tcW w:w="3181" w:type="dxa"/>
          </w:tcPr>
          <w:p w:rsidR="00C802EE" w:rsidRPr="00942C19" w:rsidRDefault="00C802EE" w:rsidP="00C652DB">
            <w:pPr>
              <w:jc w:val="center"/>
            </w:pPr>
            <w:r w:rsidRPr="00942C19">
              <w:rPr>
                <w:szCs w:val="22"/>
              </w:rPr>
              <w:t>9</w:t>
            </w:r>
          </w:p>
        </w:tc>
      </w:tr>
      <w:tr w:rsidR="00C802EE" w:rsidRPr="00942C19" w:rsidTr="00C652DB">
        <w:trPr>
          <w:jc w:val="center"/>
        </w:trPr>
        <w:tc>
          <w:tcPr>
            <w:tcW w:w="720" w:type="dxa"/>
          </w:tcPr>
          <w:p w:rsidR="00C802EE" w:rsidRPr="00942C19" w:rsidRDefault="00C802EE" w:rsidP="00C652DB">
            <w:pPr>
              <w:jc w:val="center"/>
            </w:pPr>
            <w:r w:rsidRPr="00942C19">
              <w:rPr>
                <w:szCs w:val="22"/>
              </w:rPr>
              <w:t>13.</w:t>
            </w:r>
          </w:p>
        </w:tc>
        <w:tc>
          <w:tcPr>
            <w:tcW w:w="4770" w:type="dxa"/>
          </w:tcPr>
          <w:p w:rsidR="00C802EE" w:rsidRPr="00942C19" w:rsidRDefault="00C802EE" w:rsidP="00C652DB">
            <w:pPr>
              <w:jc w:val="center"/>
            </w:pPr>
            <w:r w:rsidRPr="00942C19">
              <w:rPr>
                <w:szCs w:val="22"/>
              </w:rPr>
              <w:t>13</w:t>
            </w:r>
          </w:p>
        </w:tc>
        <w:tc>
          <w:tcPr>
            <w:tcW w:w="3181" w:type="dxa"/>
          </w:tcPr>
          <w:p w:rsidR="00C802EE" w:rsidRPr="00942C19" w:rsidRDefault="00C802EE" w:rsidP="00C652DB">
            <w:pPr>
              <w:jc w:val="center"/>
            </w:pPr>
            <w:r w:rsidRPr="00942C19">
              <w:rPr>
                <w:szCs w:val="22"/>
              </w:rPr>
              <w:t>10</w:t>
            </w:r>
          </w:p>
        </w:tc>
      </w:tr>
      <w:tr w:rsidR="00C802EE" w:rsidRPr="00942C19" w:rsidTr="00C652DB">
        <w:trPr>
          <w:jc w:val="center"/>
        </w:trPr>
        <w:tc>
          <w:tcPr>
            <w:tcW w:w="720" w:type="dxa"/>
          </w:tcPr>
          <w:p w:rsidR="00C802EE" w:rsidRPr="00942C19" w:rsidRDefault="00C802EE" w:rsidP="00C652DB">
            <w:pPr>
              <w:jc w:val="center"/>
            </w:pPr>
            <w:r w:rsidRPr="00942C19">
              <w:rPr>
                <w:szCs w:val="22"/>
              </w:rPr>
              <w:t>14.</w:t>
            </w:r>
          </w:p>
        </w:tc>
        <w:tc>
          <w:tcPr>
            <w:tcW w:w="4770" w:type="dxa"/>
          </w:tcPr>
          <w:p w:rsidR="00C802EE" w:rsidRPr="00942C19" w:rsidRDefault="00C802EE" w:rsidP="00C652DB">
            <w:pPr>
              <w:jc w:val="center"/>
            </w:pPr>
            <w:r w:rsidRPr="00942C19">
              <w:rPr>
                <w:szCs w:val="22"/>
              </w:rPr>
              <w:t>14</w:t>
            </w:r>
          </w:p>
        </w:tc>
        <w:tc>
          <w:tcPr>
            <w:tcW w:w="3181" w:type="dxa"/>
          </w:tcPr>
          <w:p w:rsidR="00C802EE" w:rsidRPr="00942C19" w:rsidRDefault="00C802EE" w:rsidP="00C652DB">
            <w:pPr>
              <w:jc w:val="center"/>
            </w:pPr>
            <w:r w:rsidRPr="00942C19">
              <w:rPr>
                <w:szCs w:val="22"/>
              </w:rPr>
              <w:t>11</w:t>
            </w:r>
          </w:p>
        </w:tc>
      </w:tr>
      <w:tr w:rsidR="00C802EE" w:rsidRPr="00942C19" w:rsidTr="00C652DB">
        <w:trPr>
          <w:jc w:val="center"/>
        </w:trPr>
        <w:tc>
          <w:tcPr>
            <w:tcW w:w="720" w:type="dxa"/>
          </w:tcPr>
          <w:p w:rsidR="00C802EE" w:rsidRPr="00942C19" w:rsidRDefault="00C802EE" w:rsidP="00C652DB">
            <w:pPr>
              <w:jc w:val="center"/>
            </w:pPr>
            <w:r w:rsidRPr="00942C19">
              <w:rPr>
                <w:szCs w:val="22"/>
              </w:rPr>
              <w:t>15.</w:t>
            </w:r>
          </w:p>
        </w:tc>
        <w:tc>
          <w:tcPr>
            <w:tcW w:w="4770" w:type="dxa"/>
          </w:tcPr>
          <w:p w:rsidR="00C802EE" w:rsidRPr="00942C19" w:rsidRDefault="00C802EE" w:rsidP="00C652DB">
            <w:pPr>
              <w:jc w:val="center"/>
            </w:pPr>
            <w:r w:rsidRPr="00942C19">
              <w:rPr>
                <w:szCs w:val="22"/>
              </w:rPr>
              <w:t>15</w:t>
            </w:r>
          </w:p>
        </w:tc>
        <w:tc>
          <w:tcPr>
            <w:tcW w:w="3181" w:type="dxa"/>
          </w:tcPr>
          <w:p w:rsidR="00C802EE" w:rsidRPr="00942C19" w:rsidRDefault="00C802EE" w:rsidP="00C652DB">
            <w:pPr>
              <w:jc w:val="center"/>
            </w:pPr>
            <w:r w:rsidRPr="00942C19">
              <w:rPr>
                <w:szCs w:val="22"/>
              </w:rPr>
              <w:t>12</w:t>
            </w:r>
          </w:p>
        </w:tc>
      </w:tr>
      <w:tr w:rsidR="00C802EE" w:rsidRPr="00942C19" w:rsidTr="00C652DB">
        <w:trPr>
          <w:jc w:val="center"/>
        </w:trPr>
        <w:tc>
          <w:tcPr>
            <w:tcW w:w="720" w:type="dxa"/>
          </w:tcPr>
          <w:p w:rsidR="00C802EE" w:rsidRPr="00942C19" w:rsidRDefault="00C802EE" w:rsidP="00C652DB">
            <w:pPr>
              <w:jc w:val="center"/>
            </w:pPr>
            <w:r w:rsidRPr="00942C19">
              <w:rPr>
                <w:szCs w:val="22"/>
              </w:rPr>
              <w:t>16.</w:t>
            </w:r>
          </w:p>
        </w:tc>
        <w:tc>
          <w:tcPr>
            <w:tcW w:w="4770" w:type="dxa"/>
          </w:tcPr>
          <w:p w:rsidR="00C802EE" w:rsidRPr="00942C19" w:rsidRDefault="00C802EE" w:rsidP="00C652DB">
            <w:pPr>
              <w:jc w:val="center"/>
            </w:pPr>
            <w:r w:rsidRPr="00942C19">
              <w:rPr>
                <w:szCs w:val="22"/>
              </w:rPr>
              <w:t>16</w:t>
            </w:r>
          </w:p>
        </w:tc>
        <w:tc>
          <w:tcPr>
            <w:tcW w:w="3181" w:type="dxa"/>
          </w:tcPr>
          <w:p w:rsidR="00C802EE" w:rsidRPr="00942C19" w:rsidRDefault="00C802EE" w:rsidP="00C652DB">
            <w:pPr>
              <w:jc w:val="center"/>
            </w:pPr>
            <w:r w:rsidRPr="00942C19">
              <w:rPr>
                <w:szCs w:val="22"/>
              </w:rPr>
              <w:t>12</w:t>
            </w:r>
          </w:p>
        </w:tc>
      </w:tr>
      <w:tr w:rsidR="00C802EE" w:rsidRPr="00942C19" w:rsidTr="00C652DB">
        <w:trPr>
          <w:jc w:val="center"/>
        </w:trPr>
        <w:tc>
          <w:tcPr>
            <w:tcW w:w="720" w:type="dxa"/>
          </w:tcPr>
          <w:p w:rsidR="00C802EE" w:rsidRPr="00942C19" w:rsidRDefault="00C802EE" w:rsidP="00C652DB">
            <w:pPr>
              <w:jc w:val="center"/>
            </w:pPr>
            <w:r w:rsidRPr="00942C19">
              <w:rPr>
                <w:szCs w:val="22"/>
              </w:rPr>
              <w:t>17.</w:t>
            </w:r>
          </w:p>
        </w:tc>
        <w:tc>
          <w:tcPr>
            <w:tcW w:w="4770" w:type="dxa"/>
          </w:tcPr>
          <w:p w:rsidR="00C802EE" w:rsidRPr="00942C19" w:rsidRDefault="00C802EE" w:rsidP="00C652DB">
            <w:pPr>
              <w:jc w:val="center"/>
            </w:pPr>
            <w:r w:rsidRPr="00942C19">
              <w:rPr>
                <w:szCs w:val="22"/>
              </w:rPr>
              <w:t>17</w:t>
            </w:r>
          </w:p>
        </w:tc>
        <w:tc>
          <w:tcPr>
            <w:tcW w:w="3181" w:type="dxa"/>
          </w:tcPr>
          <w:p w:rsidR="00C802EE" w:rsidRPr="00942C19" w:rsidRDefault="00C802EE" w:rsidP="00C652DB">
            <w:pPr>
              <w:jc w:val="center"/>
            </w:pPr>
            <w:r w:rsidRPr="00942C19">
              <w:rPr>
                <w:szCs w:val="22"/>
              </w:rPr>
              <w:t>13</w:t>
            </w:r>
          </w:p>
        </w:tc>
      </w:tr>
      <w:tr w:rsidR="00C802EE" w:rsidRPr="00942C19" w:rsidTr="00C652DB">
        <w:trPr>
          <w:jc w:val="center"/>
        </w:trPr>
        <w:tc>
          <w:tcPr>
            <w:tcW w:w="720" w:type="dxa"/>
          </w:tcPr>
          <w:p w:rsidR="00C802EE" w:rsidRPr="00942C19" w:rsidRDefault="00C802EE" w:rsidP="00C652DB">
            <w:pPr>
              <w:jc w:val="center"/>
            </w:pPr>
            <w:r w:rsidRPr="00942C19">
              <w:rPr>
                <w:szCs w:val="22"/>
              </w:rPr>
              <w:t>18.</w:t>
            </w:r>
          </w:p>
        </w:tc>
        <w:tc>
          <w:tcPr>
            <w:tcW w:w="4770" w:type="dxa"/>
          </w:tcPr>
          <w:p w:rsidR="00C802EE" w:rsidRPr="00942C19" w:rsidRDefault="00C802EE" w:rsidP="00C652DB">
            <w:pPr>
              <w:jc w:val="center"/>
            </w:pPr>
            <w:r w:rsidRPr="00942C19">
              <w:rPr>
                <w:szCs w:val="22"/>
              </w:rPr>
              <w:t>18</w:t>
            </w:r>
          </w:p>
        </w:tc>
        <w:tc>
          <w:tcPr>
            <w:tcW w:w="3181" w:type="dxa"/>
          </w:tcPr>
          <w:p w:rsidR="00C802EE" w:rsidRPr="00942C19" w:rsidRDefault="00C802EE" w:rsidP="00C652DB">
            <w:pPr>
              <w:jc w:val="center"/>
            </w:pPr>
            <w:r w:rsidRPr="00942C19">
              <w:rPr>
                <w:szCs w:val="22"/>
              </w:rPr>
              <w:t>14</w:t>
            </w:r>
          </w:p>
        </w:tc>
      </w:tr>
      <w:tr w:rsidR="00C802EE" w:rsidRPr="00942C19" w:rsidTr="00C652DB">
        <w:trPr>
          <w:jc w:val="center"/>
        </w:trPr>
        <w:tc>
          <w:tcPr>
            <w:tcW w:w="720" w:type="dxa"/>
          </w:tcPr>
          <w:p w:rsidR="00C802EE" w:rsidRPr="00942C19" w:rsidRDefault="00C802EE" w:rsidP="00C652DB">
            <w:pPr>
              <w:jc w:val="center"/>
            </w:pPr>
            <w:r w:rsidRPr="00942C19">
              <w:rPr>
                <w:szCs w:val="22"/>
              </w:rPr>
              <w:t>19.</w:t>
            </w:r>
          </w:p>
        </w:tc>
        <w:tc>
          <w:tcPr>
            <w:tcW w:w="4770" w:type="dxa"/>
          </w:tcPr>
          <w:p w:rsidR="00C802EE" w:rsidRPr="00942C19" w:rsidRDefault="00C802EE" w:rsidP="00C652DB">
            <w:pPr>
              <w:jc w:val="center"/>
            </w:pPr>
            <w:r w:rsidRPr="00942C19">
              <w:rPr>
                <w:szCs w:val="22"/>
              </w:rPr>
              <w:t>19</w:t>
            </w:r>
          </w:p>
        </w:tc>
        <w:tc>
          <w:tcPr>
            <w:tcW w:w="3181" w:type="dxa"/>
          </w:tcPr>
          <w:p w:rsidR="00C802EE" w:rsidRPr="00942C19" w:rsidRDefault="00C802EE" w:rsidP="00C652DB">
            <w:pPr>
              <w:jc w:val="center"/>
            </w:pPr>
            <w:r w:rsidRPr="00942C19">
              <w:rPr>
                <w:szCs w:val="22"/>
              </w:rPr>
              <w:t>15</w:t>
            </w:r>
          </w:p>
        </w:tc>
      </w:tr>
      <w:tr w:rsidR="00C802EE" w:rsidRPr="00942C19" w:rsidTr="00C652DB">
        <w:trPr>
          <w:jc w:val="center"/>
        </w:trPr>
        <w:tc>
          <w:tcPr>
            <w:tcW w:w="720" w:type="dxa"/>
          </w:tcPr>
          <w:p w:rsidR="00C802EE" w:rsidRPr="00942C19" w:rsidRDefault="00C802EE" w:rsidP="00C652DB">
            <w:pPr>
              <w:jc w:val="center"/>
            </w:pPr>
            <w:r w:rsidRPr="00942C19">
              <w:rPr>
                <w:szCs w:val="22"/>
              </w:rPr>
              <w:t>20</w:t>
            </w:r>
          </w:p>
        </w:tc>
        <w:tc>
          <w:tcPr>
            <w:tcW w:w="4770" w:type="dxa"/>
          </w:tcPr>
          <w:p w:rsidR="00C802EE" w:rsidRPr="00942C19" w:rsidRDefault="00C802EE" w:rsidP="00C652DB">
            <w:pPr>
              <w:jc w:val="center"/>
            </w:pPr>
            <w:r w:rsidRPr="00942C19">
              <w:rPr>
                <w:szCs w:val="22"/>
              </w:rPr>
              <w:t>20</w:t>
            </w:r>
          </w:p>
        </w:tc>
        <w:tc>
          <w:tcPr>
            <w:tcW w:w="3181" w:type="dxa"/>
          </w:tcPr>
          <w:p w:rsidR="00C802EE" w:rsidRPr="00942C19" w:rsidRDefault="00C802EE" w:rsidP="00C652DB">
            <w:pPr>
              <w:jc w:val="center"/>
            </w:pPr>
            <w:r w:rsidRPr="00942C19">
              <w:rPr>
                <w:szCs w:val="22"/>
              </w:rPr>
              <w:t>15</w:t>
            </w:r>
          </w:p>
        </w:tc>
      </w:tr>
      <w:tr w:rsidR="00C802EE" w:rsidRPr="00942C19" w:rsidTr="00C652DB">
        <w:trPr>
          <w:jc w:val="center"/>
        </w:trPr>
        <w:tc>
          <w:tcPr>
            <w:tcW w:w="720" w:type="dxa"/>
          </w:tcPr>
          <w:p w:rsidR="00C802EE" w:rsidRPr="00942C19" w:rsidRDefault="00C802EE" w:rsidP="00C652DB">
            <w:pPr>
              <w:jc w:val="center"/>
            </w:pPr>
            <w:r w:rsidRPr="00942C19">
              <w:rPr>
                <w:szCs w:val="22"/>
              </w:rPr>
              <w:t>21.</w:t>
            </w:r>
          </w:p>
        </w:tc>
        <w:tc>
          <w:tcPr>
            <w:tcW w:w="4770" w:type="dxa"/>
          </w:tcPr>
          <w:p w:rsidR="00C802EE" w:rsidRPr="00942C19" w:rsidRDefault="00C802EE" w:rsidP="00C652DB">
            <w:pPr>
              <w:jc w:val="center"/>
            </w:pPr>
            <w:r w:rsidRPr="00942C19">
              <w:rPr>
                <w:szCs w:val="22"/>
              </w:rPr>
              <w:t>21</w:t>
            </w:r>
          </w:p>
        </w:tc>
        <w:tc>
          <w:tcPr>
            <w:tcW w:w="3181" w:type="dxa"/>
          </w:tcPr>
          <w:p w:rsidR="00C802EE" w:rsidRPr="00942C19" w:rsidRDefault="00C802EE" w:rsidP="00C652DB">
            <w:pPr>
              <w:jc w:val="center"/>
            </w:pPr>
            <w:r w:rsidRPr="00942C19">
              <w:rPr>
                <w:szCs w:val="22"/>
              </w:rPr>
              <w:t>16</w:t>
            </w:r>
          </w:p>
        </w:tc>
      </w:tr>
      <w:tr w:rsidR="00C802EE" w:rsidRPr="00942C19" w:rsidTr="00C652DB">
        <w:trPr>
          <w:jc w:val="center"/>
        </w:trPr>
        <w:tc>
          <w:tcPr>
            <w:tcW w:w="720" w:type="dxa"/>
          </w:tcPr>
          <w:p w:rsidR="00C802EE" w:rsidRPr="00942C19" w:rsidRDefault="00C802EE" w:rsidP="00C652DB">
            <w:pPr>
              <w:jc w:val="center"/>
            </w:pPr>
            <w:r w:rsidRPr="00942C19">
              <w:rPr>
                <w:szCs w:val="22"/>
              </w:rPr>
              <w:t>22.</w:t>
            </w:r>
          </w:p>
        </w:tc>
        <w:tc>
          <w:tcPr>
            <w:tcW w:w="4770" w:type="dxa"/>
          </w:tcPr>
          <w:p w:rsidR="00C802EE" w:rsidRPr="00942C19" w:rsidRDefault="00C802EE" w:rsidP="00C652DB">
            <w:pPr>
              <w:jc w:val="center"/>
            </w:pPr>
            <w:r w:rsidRPr="00942C19">
              <w:rPr>
                <w:szCs w:val="22"/>
              </w:rPr>
              <w:t>22</w:t>
            </w:r>
          </w:p>
        </w:tc>
        <w:tc>
          <w:tcPr>
            <w:tcW w:w="3181" w:type="dxa"/>
          </w:tcPr>
          <w:p w:rsidR="00C802EE" w:rsidRPr="00942C19" w:rsidRDefault="00C802EE" w:rsidP="00C652DB">
            <w:pPr>
              <w:jc w:val="center"/>
            </w:pPr>
            <w:r w:rsidRPr="00942C19">
              <w:rPr>
                <w:szCs w:val="22"/>
              </w:rPr>
              <w:t>17</w:t>
            </w:r>
          </w:p>
        </w:tc>
      </w:tr>
      <w:tr w:rsidR="00C802EE" w:rsidRPr="00942C19" w:rsidTr="00C652DB">
        <w:trPr>
          <w:jc w:val="center"/>
        </w:trPr>
        <w:tc>
          <w:tcPr>
            <w:tcW w:w="720" w:type="dxa"/>
          </w:tcPr>
          <w:p w:rsidR="00C802EE" w:rsidRPr="00942C19" w:rsidRDefault="00C802EE" w:rsidP="00C652DB">
            <w:pPr>
              <w:jc w:val="center"/>
            </w:pPr>
            <w:r w:rsidRPr="00942C19">
              <w:rPr>
                <w:szCs w:val="22"/>
              </w:rPr>
              <w:t>23.</w:t>
            </w:r>
          </w:p>
        </w:tc>
        <w:tc>
          <w:tcPr>
            <w:tcW w:w="4770" w:type="dxa"/>
          </w:tcPr>
          <w:p w:rsidR="00C802EE" w:rsidRPr="00942C19" w:rsidRDefault="00C802EE" w:rsidP="00C652DB">
            <w:pPr>
              <w:jc w:val="center"/>
            </w:pPr>
            <w:r w:rsidRPr="00942C19">
              <w:rPr>
                <w:szCs w:val="22"/>
              </w:rPr>
              <w:t>23</w:t>
            </w:r>
          </w:p>
        </w:tc>
        <w:tc>
          <w:tcPr>
            <w:tcW w:w="3181" w:type="dxa"/>
          </w:tcPr>
          <w:p w:rsidR="00C802EE" w:rsidRPr="00942C19" w:rsidRDefault="00C802EE" w:rsidP="00C652DB">
            <w:pPr>
              <w:jc w:val="center"/>
            </w:pPr>
            <w:r w:rsidRPr="00942C19">
              <w:rPr>
                <w:szCs w:val="22"/>
              </w:rPr>
              <w:t>18</w:t>
            </w:r>
          </w:p>
        </w:tc>
      </w:tr>
      <w:tr w:rsidR="00C802EE" w:rsidRPr="00942C19" w:rsidTr="00C652DB">
        <w:trPr>
          <w:jc w:val="center"/>
        </w:trPr>
        <w:tc>
          <w:tcPr>
            <w:tcW w:w="720" w:type="dxa"/>
          </w:tcPr>
          <w:p w:rsidR="00C802EE" w:rsidRPr="00942C19" w:rsidRDefault="00C802EE" w:rsidP="00C652DB">
            <w:pPr>
              <w:jc w:val="center"/>
            </w:pPr>
            <w:r w:rsidRPr="00942C19">
              <w:rPr>
                <w:szCs w:val="22"/>
              </w:rPr>
              <w:t>24.</w:t>
            </w:r>
          </w:p>
        </w:tc>
        <w:tc>
          <w:tcPr>
            <w:tcW w:w="4770" w:type="dxa"/>
          </w:tcPr>
          <w:p w:rsidR="00C802EE" w:rsidRPr="00942C19" w:rsidRDefault="00C802EE" w:rsidP="00C652DB">
            <w:pPr>
              <w:jc w:val="center"/>
            </w:pPr>
            <w:r w:rsidRPr="00942C19">
              <w:rPr>
                <w:szCs w:val="22"/>
              </w:rPr>
              <w:t>24</w:t>
            </w:r>
          </w:p>
        </w:tc>
        <w:tc>
          <w:tcPr>
            <w:tcW w:w="3181" w:type="dxa"/>
          </w:tcPr>
          <w:p w:rsidR="00C802EE" w:rsidRPr="00942C19" w:rsidRDefault="00C802EE" w:rsidP="00C652DB">
            <w:pPr>
              <w:jc w:val="center"/>
            </w:pPr>
            <w:r w:rsidRPr="00942C19">
              <w:rPr>
                <w:szCs w:val="22"/>
              </w:rPr>
              <w:t>19</w:t>
            </w:r>
          </w:p>
        </w:tc>
      </w:tr>
      <w:tr w:rsidR="00C802EE" w:rsidRPr="00942C19" w:rsidTr="00C652DB">
        <w:trPr>
          <w:jc w:val="center"/>
        </w:trPr>
        <w:tc>
          <w:tcPr>
            <w:tcW w:w="720" w:type="dxa"/>
          </w:tcPr>
          <w:p w:rsidR="00C802EE" w:rsidRPr="00942C19" w:rsidRDefault="00C802EE" w:rsidP="00C652DB">
            <w:pPr>
              <w:jc w:val="center"/>
            </w:pPr>
            <w:r w:rsidRPr="00942C19">
              <w:rPr>
                <w:szCs w:val="22"/>
              </w:rPr>
              <w:t>25.</w:t>
            </w:r>
          </w:p>
        </w:tc>
        <w:tc>
          <w:tcPr>
            <w:tcW w:w="4770" w:type="dxa"/>
          </w:tcPr>
          <w:p w:rsidR="00C802EE" w:rsidRPr="00942C19" w:rsidRDefault="00C802EE" w:rsidP="00C652DB">
            <w:pPr>
              <w:jc w:val="center"/>
            </w:pPr>
            <w:r w:rsidRPr="00942C19">
              <w:rPr>
                <w:szCs w:val="22"/>
              </w:rPr>
              <w:t>25</w:t>
            </w:r>
          </w:p>
        </w:tc>
        <w:tc>
          <w:tcPr>
            <w:tcW w:w="3181" w:type="dxa"/>
          </w:tcPr>
          <w:p w:rsidR="00C802EE" w:rsidRPr="00942C19" w:rsidRDefault="00C802EE" w:rsidP="00C652DB">
            <w:pPr>
              <w:jc w:val="center"/>
            </w:pPr>
            <w:r w:rsidRPr="00942C19">
              <w:rPr>
                <w:szCs w:val="22"/>
              </w:rPr>
              <w:t>19</w:t>
            </w:r>
          </w:p>
        </w:tc>
      </w:tr>
      <w:tr w:rsidR="00C802EE" w:rsidRPr="00942C19" w:rsidTr="00C652DB">
        <w:trPr>
          <w:jc w:val="center"/>
        </w:trPr>
        <w:tc>
          <w:tcPr>
            <w:tcW w:w="720" w:type="dxa"/>
          </w:tcPr>
          <w:p w:rsidR="00C802EE" w:rsidRPr="00942C19" w:rsidRDefault="00C802EE" w:rsidP="00C652DB">
            <w:pPr>
              <w:jc w:val="center"/>
            </w:pPr>
            <w:r w:rsidRPr="00942C19">
              <w:rPr>
                <w:szCs w:val="22"/>
              </w:rPr>
              <w:t>26.</w:t>
            </w:r>
          </w:p>
        </w:tc>
        <w:tc>
          <w:tcPr>
            <w:tcW w:w="4770" w:type="dxa"/>
          </w:tcPr>
          <w:p w:rsidR="00C802EE" w:rsidRPr="00942C19" w:rsidRDefault="00C802EE" w:rsidP="00C652DB">
            <w:pPr>
              <w:jc w:val="center"/>
            </w:pPr>
            <w:r w:rsidRPr="00942C19">
              <w:rPr>
                <w:szCs w:val="22"/>
              </w:rPr>
              <w:t>26</w:t>
            </w:r>
          </w:p>
        </w:tc>
        <w:tc>
          <w:tcPr>
            <w:tcW w:w="3181" w:type="dxa"/>
          </w:tcPr>
          <w:p w:rsidR="00C802EE" w:rsidRPr="00942C19" w:rsidRDefault="00C802EE" w:rsidP="00C652DB">
            <w:pPr>
              <w:jc w:val="center"/>
            </w:pPr>
            <w:r w:rsidRPr="00942C19">
              <w:rPr>
                <w:szCs w:val="22"/>
              </w:rPr>
              <w:t>20</w:t>
            </w:r>
          </w:p>
        </w:tc>
      </w:tr>
      <w:tr w:rsidR="00C802EE" w:rsidRPr="00942C19" w:rsidTr="00C652DB">
        <w:trPr>
          <w:jc w:val="center"/>
        </w:trPr>
        <w:tc>
          <w:tcPr>
            <w:tcW w:w="720" w:type="dxa"/>
          </w:tcPr>
          <w:p w:rsidR="00C802EE" w:rsidRPr="00942C19" w:rsidRDefault="00C802EE" w:rsidP="00C652DB">
            <w:pPr>
              <w:jc w:val="center"/>
            </w:pPr>
            <w:r w:rsidRPr="00942C19">
              <w:rPr>
                <w:szCs w:val="22"/>
              </w:rPr>
              <w:t>27.</w:t>
            </w:r>
          </w:p>
        </w:tc>
        <w:tc>
          <w:tcPr>
            <w:tcW w:w="4770" w:type="dxa"/>
          </w:tcPr>
          <w:p w:rsidR="00C802EE" w:rsidRPr="00942C19" w:rsidRDefault="00C802EE" w:rsidP="00C652DB">
            <w:pPr>
              <w:jc w:val="center"/>
            </w:pPr>
            <w:r w:rsidRPr="00942C19">
              <w:rPr>
                <w:szCs w:val="22"/>
              </w:rPr>
              <w:t>27</w:t>
            </w:r>
          </w:p>
        </w:tc>
        <w:tc>
          <w:tcPr>
            <w:tcW w:w="3181" w:type="dxa"/>
          </w:tcPr>
          <w:p w:rsidR="00C802EE" w:rsidRPr="00942C19" w:rsidRDefault="00C802EE" w:rsidP="00C652DB">
            <w:pPr>
              <w:jc w:val="center"/>
            </w:pPr>
            <w:r w:rsidRPr="00942C19">
              <w:rPr>
                <w:szCs w:val="22"/>
              </w:rPr>
              <w:t>21</w:t>
            </w:r>
          </w:p>
        </w:tc>
      </w:tr>
      <w:tr w:rsidR="00C802EE" w:rsidRPr="00942C19" w:rsidTr="00C652DB">
        <w:trPr>
          <w:jc w:val="center"/>
        </w:trPr>
        <w:tc>
          <w:tcPr>
            <w:tcW w:w="720" w:type="dxa"/>
          </w:tcPr>
          <w:p w:rsidR="00C802EE" w:rsidRPr="00942C19" w:rsidRDefault="00C802EE" w:rsidP="00C652DB">
            <w:pPr>
              <w:jc w:val="center"/>
            </w:pPr>
            <w:r w:rsidRPr="00942C19">
              <w:rPr>
                <w:szCs w:val="22"/>
              </w:rPr>
              <w:t>28.</w:t>
            </w:r>
          </w:p>
        </w:tc>
        <w:tc>
          <w:tcPr>
            <w:tcW w:w="4770" w:type="dxa"/>
          </w:tcPr>
          <w:p w:rsidR="00C802EE" w:rsidRPr="00942C19" w:rsidRDefault="00C802EE" w:rsidP="00C652DB">
            <w:pPr>
              <w:jc w:val="center"/>
            </w:pPr>
            <w:r w:rsidRPr="00942C19">
              <w:rPr>
                <w:szCs w:val="22"/>
              </w:rPr>
              <w:t>28</w:t>
            </w:r>
          </w:p>
        </w:tc>
        <w:tc>
          <w:tcPr>
            <w:tcW w:w="3181" w:type="dxa"/>
          </w:tcPr>
          <w:p w:rsidR="00C802EE" w:rsidRPr="00942C19" w:rsidRDefault="00C802EE" w:rsidP="00C652DB">
            <w:pPr>
              <w:jc w:val="center"/>
            </w:pPr>
            <w:r w:rsidRPr="00942C19">
              <w:rPr>
                <w:szCs w:val="22"/>
              </w:rPr>
              <w:t>22</w:t>
            </w:r>
          </w:p>
        </w:tc>
      </w:tr>
      <w:tr w:rsidR="00C802EE" w:rsidRPr="00942C19" w:rsidTr="00C652DB">
        <w:trPr>
          <w:jc w:val="center"/>
        </w:trPr>
        <w:tc>
          <w:tcPr>
            <w:tcW w:w="720" w:type="dxa"/>
          </w:tcPr>
          <w:p w:rsidR="00C802EE" w:rsidRPr="00942C19" w:rsidRDefault="00C802EE" w:rsidP="00C652DB">
            <w:pPr>
              <w:jc w:val="center"/>
            </w:pPr>
            <w:r w:rsidRPr="00942C19">
              <w:rPr>
                <w:szCs w:val="22"/>
              </w:rPr>
              <w:t>29.</w:t>
            </w:r>
          </w:p>
        </w:tc>
        <w:tc>
          <w:tcPr>
            <w:tcW w:w="4770" w:type="dxa"/>
          </w:tcPr>
          <w:p w:rsidR="00C802EE" w:rsidRPr="00942C19" w:rsidRDefault="00C802EE" w:rsidP="00C652DB">
            <w:pPr>
              <w:jc w:val="center"/>
            </w:pPr>
            <w:r w:rsidRPr="00942C19">
              <w:rPr>
                <w:szCs w:val="22"/>
              </w:rPr>
              <w:t>29</w:t>
            </w:r>
          </w:p>
        </w:tc>
        <w:tc>
          <w:tcPr>
            <w:tcW w:w="3181" w:type="dxa"/>
          </w:tcPr>
          <w:p w:rsidR="00C802EE" w:rsidRPr="00942C19" w:rsidRDefault="00C802EE" w:rsidP="00C652DB">
            <w:pPr>
              <w:jc w:val="center"/>
            </w:pPr>
            <w:r w:rsidRPr="00942C19">
              <w:rPr>
                <w:szCs w:val="22"/>
              </w:rPr>
              <w:t>22</w:t>
            </w:r>
          </w:p>
        </w:tc>
      </w:tr>
      <w:tr w:rsidR="00C802EE" w:rsidRPr="00942C19" w:rsidTr="00C652DB">
        <w:trPr>
          <w:jc w:val="center"/>
        </w:trPr>
        <w:tc>
          <w:tcPr>
            <w:tcW w:w="720" w:type="dxa"/>
          </w:tcPr>
          <w:p w:rsidR="00C802EE" w:rsidRPr="00942C19" w:rsidRDefault="00C802EE" w:rsidP="00C652DB">
            <w:pPr>
              <w:jc w:val="center"/>
            </w:pPr>
            <w:r w:rsidRPr="00942C19">
              <w:rPr>
                <w:szCs w:val="22"/>
              </w:rPr>
              <w:t>30.</w:t>
            </w:r>
          </w:p>
        </w:tc>
        <w:tc>
          <w:tcPr>
            <w:tcW w:w="4770" w:type="dxa"/>
          </w:tcPr>
          <w:p w:rsidR="00C802EE" w:rsidRPr="00942C19" w:rsidRDefault="00C802EE" w:rsidP="00C652DB">
            <w:pPr>
              <w:jc w:val="center"/>
            </w:pPr>
            <w:r w:rsidRPr="00942C19">
              <w:rPr>
                <w:szCs w:val="22"/>
              </w:rPr>
              <w:t>30</w:t>
            </w:r>
          </w:p>
        </w:tc>
        <w:tc>
          <w:tcPr>
            <w:tcW w:w="3181" w:type="dxa"/>
          </w:tcPr>
          <w:p w:rsidR="00C802EE" w:rsidRPr="00942C19" w:rsidRDefault="00C802EE" w:rsidP="00C652DB">
            <w:pPr>
              <w:jc w:val="center"/>
            </w:pPr>
            <w:r w:rsidRPr="00942C19">
              <w:rPr>
                <w:szCs w:val="22"/>
              </w:rPr>
              <w:t>23</w:t>
            </w:r>
          </w:p>
        </w:tc>
      </w:tr>
      <w:tr w:rsidR="00C802EE" w:rsidRPr="00942C19" w:rsidTr="00C652DB">
        <w:trPr>
          <w:jc w:val="center"/>
        </w:trPr>
        <w:tc>
          <w:tcPr>
            <w:tcW w:w="720" w:type="dxa"/>
          </w:tcPr>
          <w:p w:rsidR="00C802EE" w:rsidRPr="00942C19" w:rsidRDefault="00C802EE" w:rsidP="00C652DB">
            <w:pPr>
              <w:jc w:val="center"/>
            </w:pPr>
            <w:r w:rsidRPr="00942C19">
              <w:rPr>
                <w:szCs w:val="22"/>
              </w:rPr>
              <w:t>31.</w:t>
            </w:r>
          </w:p>
        </w:tc>
        <w:tc>
          <w:tcPr>
            <w:tcW w:w="4770" w:type="dxa"/>
          </w:tcPr>
          <w:p w:rsidR="00C802EE" w:rsidRPr="00942C19" w:rsidRDefault="00C802EE" w:rsidP="00C652DB">
            <w:pPr>
              <w:jc w:val="center"/>
            </w:pPr>
            <w:r w:rsidRPr="00942C19">
              <w:rPr>
                <w:szCs w:val="22"/>
              </w:rPr>
              <w:t>31</w:t>
            </w:r>
          </w:p>
        </w:tc>
        <w:tc>
          <w:tcPr>
            <w:tcW w:w="3181" w:type="dxa"/>
          </w:tcPr>
          <w:p w:rsidR="00C802EE" w:rsidRPr="00942C19" w:rsidRDefault="00C802EE" w:rsidP="00C652DB">
            <w:pPr>
              <w:jc w:val="center"/>
            </w:pPr>
            <w:r w:rsidRPr="00942C19">
              <w:rPr>
                <w:szCs w:val="22"/>
              </w:rPr>
              <w:t>24</w:t>
            </w:r>
          </w:p>
        </w:tc>
      </w:tr>
      <w:tr w:rsidR="00C802EE" w:rsidRPr="00942C19" w:rsidTr="00C652DB">
        <w:trPr>
          <w:jc w:val="center"/>
        </w:trPr>
        <w:tc>
          <w:tcPr>
            <w:tcW w:w="720" w:type="dxa"/>
          </w:tcPr>
          <w:p w:rsidR="00C802EE" w:rsidRPr="00942C19" w:rsidRDefault="00C802EE" w:rsidP="00C652DB">
            <w:pPr>
              <w:jc w:val="center"/>
            </w:pPr>
            <w:r w:rsidRPr="00942C19">
              <w:rPr>
                <w:szCs w:val="22"/>
              </w:rPr>
              <w:t>32.</w:t>
            </w:r>
          </w:p>
        </w:tc>
        <w:tc>
          <w:tcPr>
            <w:tcW w:w="4770" w:type="dxa"/>
          </w:tcPr>
          <w:p w:rsidR="00C802EE" w:rsidRPr="00942C19" w:rsidRDefault="00C802EE" w:rsidP="00C652DB">
            <w:pPr>
              <w:jc w:val="center"/>
            </w:pPr>
            <w:r w:rsidRPr="00942C19">
              <w:rPr>
                <w:szCs w:val="22"/>
              </w:rPr>
              <w:t>32</w:t>
            </w:r>
          </w:p>
        </w:tc>
        <w:tc>
          <w:tcPr>
            <w:tcW w:w="3181" w:type="dxa"/>
          </w:tcPr>
          <w:p w:rsidR="00C802EE" w:rsidRPr="00942C19" w:rsidRDefault="00C802EE" w:rsidP="00C652DB">
            <w:pPr>
              <w:jc w:val="center"/>
            </w:pPr>
            <w:r w:rsidRPr="00942C19">
              <w:rPr>
                <w:szCs w:val="22"/>
              </w:rPr>
              <w:t>25</w:t>
            </w:r>
          </w:p>
        </w:tc>
      </w:tr>
      <w:tr w:rsidR="00C802EE" w:rsidRPr="00942C19" w:rsidTr="00C652DB">
        <w:trPr>
          <w:jc w:val="center"/>
        </w:trPr>
        <w:tc>
          <w:tcPr>
            <w:tcW w:w="720" w:type="dxa"/>
          </w:tcPr>
          <w:p w:rsidR="00C802EE" w:rsidRPr="00942C19" w:rsidRDefault="00C802EE" w:rsidP="00C652DB">
            <w:pPr>
              <w:jc w:val="center"/>
            </w:pPr>
            <w:r w:rsidRPr="00942C19">
              <w:rPr>
                <w:szCs w:val="22"/>
              </w:rPr>
              <w:t>33.</w:t>
            </w:r>
          </w:p>
        </w:tc>
        <w:tc>
          <w:tcPr>
            <w:tcW w:w="4770" w:type="dxa"/>
          </w:tcPr>
          <w:p w:rsidR="00C802EE" w:rsidRPr="00942C19" w:rsidRDefault="00C802EE" w:rsidP="00C652DB">
            <w:pPr>
              <w:jc w:val="center"/>
            </w:pPr>
            <w:r w:rsidRPr="00942C19">
              <w:rPr>
                <w:szCs w:val="22"/>
              </w:rPr>
              <w:t>33</w:t>
            </w:r>
          </w:p>
        </w:tc>
        <w:tc>
          <w:tcPr>
            <w:tcW w:w="3181" w:type="dxa"/>
          </w:tcPr>
          <w:p w:rsidR="00C802EE" w:rsidRPr="00942C19" w:rsidRDefault="00C802EE" w:rsidP="00C652DB">
            <w:pPr>
              <w:jc w:val="center"/>
            </w:pPr>
            <w:r w:rsidRPr="00942C19">
              <w:rPr>
                <w:szCs w:val="22"/>
              </w:rPr>
              <w:t>25</w:t>
            </w:r>
          </w:p>
        </w:tc>
      </w:tr>
      <w:tr w:rsidR="00C802EE" w:rsidRPr="00942C19" w:rsidTr="00C652DB">
        <w:trPr>
          <w:jc w:val="center"/>
        </w:trPr>
        <w:tc>
          <w:tcPr>
            <w:tcW w:w="720" w:type="dxa"/>
          </w:tcPr>
          <w:p w:rsidR="00C802EE" w:rsidRPr="00942C19" w:rsidRDefault="00C802EE" w:rsidP="00C652DB">
            <w:pPr>
              <w:jc w:val="center"/>
            </w:pPr>
            <w:r w:rsidRPr="00942C19">
              <w:rPr>
                <w:szCs w:val="22"/>
              </w:rPr>
              <w:t>34.</w:t>
            </w:r>
          </w:p>
        </w:tc>
        <w:tc>
          <w:tcPr>
            <w:tcW w:w="4770" w:type="dxa"/>
          </w:tcPr>
          <w:p w:rsidR="00C802EE" w:rsidRPr="00942C19" w:rsidRDefault="00C802EE" w:rsidP="00C652DB">
            <w:pPr>
              <w:jc w:val="center"/>
            </w:pPr>
            <w:r w:rsidRPr="00942C19">
              <w:rPr>
                <w:szCs w:val="22"/>
              </w:rPr>
              <w:t>34</w:t>
            </w:r>
          </w:p>
        </w:tc>
        <w:tc>
          <w:tcPr>
            <w:tcW w:w="3181" w:type="dxa"/>
          </w:tcPr>
          <w:p w:rsidR="00C802EE" w:rsidRPr="00942C19" w:rsidRDefault="00C802EE" w:rsidP="00C652DB">
            <w:pPr>
              <w:jc w:val="center"/>
            </w:pPr>
            <w:r w:rsidRPr="00942C19">
              <w:rPr>
                <w:szCs w:val="22"/>
              </w:rPr>
              <w:t>26</w:t>
            </w:r>
          </w:p>
        </w:tc>
      </w:tr>
      <w:tr w:rsidR="00C802EE" w:rsidRPr="00942C19" w:rsidTr="00C652DB">
        <w:trPr>
          <w:jc w:val="center"/>
        </w:trPr>
        <w:tc>
          <w:tcPr>
            <w:tcW w:w="720" w:type="dxa"/>
          </w:tcPr>
          <w:p w:rsidR="00C802EE" w:rsidRPr="00942C19" w:rsidRDefault="00C802EE" w:rsidP="00C652DB">
            <w:pPr>
              <w:jc w:val="center"/>
            </w:pPr>
            <w:r w:rsidRPr="00942C19">
              <w:rPr>
                <w:szCs w:val="22"/>
              </w:rPr>
              <w:t>35.</w:t>
            </w:r>
          </w:p>
        </w:tc>
        <w:tc>
          <w:tcPr>
            <w:tcW w:w="4770" w:type="dxa"/>
          </w:tcPr>
          <w:p w:rsidR="00C802EE" w:rsidRPr="00942C19" w:rsidRDefault="00C802EE" w:rsidP="00C652DB">
            <w:pPr>
              <w:jc w:val="center"/>
            </w:pPr>
            <w:r w:rsidRPr="00942C19">
              <w:rPr>
                <w:szCs w:val="22"/>
              </w:rPr>
              <w:t>35</w:t>
            </w:r>
          </w:p>
        </w:tc>
        <w:tc>
          <w:tcPr>
            <w:tcW w:w="3181" w:type="dxa"/>
          </w:tcPr>
          <w:p w:rsidR="00C802EE" w:rsidRPr="00942C19" w:rsidRDefault="00C802EE" w:rsidP="00C652DB">
            <w:pPr>
              <w:jc w:val="center"/>
            </w:pPr>
            <w:r w:rsidRPr="00942C19">
              <w:rPr>
                <w:szCs w:val="22"/>
              </w:rPr>
              <w:t>27</w:t>
            </w:r>
          </w:p>
        </w:tc>
      </w:tr>
      <w:bookmarkEnd w:id="881"/>
      <w:bookmarkEnd w:id="882"/>
    </w:tbl>
    <w:p w:rsidR="00331B21" w:rsidRPr="00942C19" w:rsidRDefault="00331B21" w:rsidP="00222C32">
      <w:pPr>
        <w:spacing w:before="0" w:line="240" w:lineRule="auto"/>
        <w:jc w:val="left"/>
        <w:rPr>
          <w:iCs/>
          <w:lang w:val="en-US"/>
        </w:rPr>
      </w:pPr>
    </w:p>
    <w:p w:rsidR="00331B21" w:rsidRPr="00942C19" w:rsidRDefault="00331B21">
      <w:pPr>
        <w:spacing w:before="0" w:line="240" w:lineRule="auto"/>
        <w:jc w:val="left"/>
        <w:rPr>
          <w:iCs/>
          <w:lang w:val="en-US"/>
        </w:rPr>
      </w:pPr>
      <w:r w:rsidRPr="00942C19">
        <w:rPr>
          <w:iCs/>
          <w:lang w:val="en-US"/>
        </w:rPr>
        <w:br w:type="page"/>
      </w:r>
    </w:p>
    <w:p w:rsidR="00A44CA7" w:rsidRPr="00942C19" w:rsidRDefault="00331B21">
      <w:pPr>
        <w:pStyle w:val="Heading1"/>
        <w:numPr>
          <w:ilvl w:val="1"/>
          <w:numId w:val="1"/>
        </w:numPr>
        <w:spacing w:line="276" w:lineRule="auto"/>
        <w:ind w:left="851" w:hanging="851"/>
        <w:rPr>
          <w:color w:val="auto"/>
        </w:rPr>
      </w:pPr>
      <w:bookmarkStart w:id="889" w:name="_Toc357714437"/>
      <w:r w:rsidRPr="00942C19">
        <w:rPr>
          <w:iCs/>
          <w:color w:val="auto"/>
        </w:rPr>
        <w:t>LIST OF PERSONS WHO HAVE ATTENDED PUBLIC HEARING</w:t>
      </w:r>
      <w:r w:rsidR="00710ADC" w:rsidRPr="00942C19">
        <w:rPr>
          <w:iCs/>
          <w:color w:val="auto"/>
        </w:rPr>
        <w:t xml:space="preserve"> </w:t>
      </w:r>
      <w:r w:rsidRPr="00942C19">
        <w:rPr>
          <w:iCs/>
          <w:color w:val="auto"/>
        </w:rPr>
        <w:t>AT 4 PLACES IN RESPECT OF SUO-MOTU PROCEEDINGS FOR ARR &amp; TARIFF DETERMINATION FOR FY 2013-14</w:t>
      </w:r>
      <w:bookmarkEnd w:id="889"/>
    </w:p>
    <w:p w:rsidR="00331B21" w:rsidRPr="00942C19" w:rsidRDefault="00331B21" w:rsidP="00331B21">
      <w:pPr>
        <w:jc w:val="left"/>
        <w:rPr>
          <w:bCs/>
          <w:lang w:val="en-US"/>
        </w:rPr>
      </w:pP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7"/>
        <w:gridCol w:w="3975"/>
        <w:gridCol w:w="4096"/>
      </w:tblGrid>
      <w:tr w:rsidR="001A3601" w:rsidRPr="00942C19" w:rsidTr="001A3601">
        <w:trPr>
          <w:trHeight w:val="300"/>
          <w:tblHeader/>
        </w:trPr>
        <w:tc>
          <w:tcPr>
            <w:tcW w:w="5000" w:type="pct"/>
            <w:gridSpan w:val="3"/>
            <w:shd w:val="clear" w:color="000000" w:fill="C5D9F1"/>
            <w:noWrap/>
            <w:vAlign w:val="bottom"/>
            <w:hideMark/>
          </w:tcPr>
          <w:p w:rsidR="00A44CA7" w:rsidRPr="00942C19" w:rsidRDefault="00785E17">
            <w:pPr>
              <w:spacing w:before="0"/>
              <w:jc w:val="center"/>
              <w:rPr>
                <w:rFonts w:asciiTheme="minorHAnsi" w:hAnsiTheme="minorHAnsi" w:cstheme="minorHAnsi"/>
                <w:b/>
                <w:bCs/>
                <w:color w:val="000000"/>
                <w:lang w:val="en-US"/>
              </w:rPr>
            </w:pPr>
            <w:r w:rsidRPr="00942C19">
              <w:rPr>
                <w:rFonts w:asciiTheme="minorHAnsi" w:hAnsiTheme="minorHAnsi" w:cstheme="minorHAnsi"/>
                <w:b/>
                <w:bCs/>
                <w:color w:val="000000"/>
                <w:lang w:val="en-US"/>
              </w:rPr>
              <w:t>List of Persons who attended Public Hearing in Kanpur on 15</w:t>
            </w:r>
            <w:r w:rsidRPr="00942C19">
              <w:rPr>
                <w:rFonts w:asciiTheme="minorHAnsi" w:hAnsiTheme="minorHAnsi" w:cstheme="minorHAnsi"/>
                <w:b/>
                <w:bCs/>
                <w:color w:val="000000"/>
                <w:vertAlign w:val="superscript"/>
                <w:lang w:val="en-US"/>
              </w:rPr>
              <w:t>th</w:t>
            </w:r>
            <w:r w:rsidRPr="00942C19">
              <w:rPr>
                <w:rFonts w:asciiTheme="minorHAnsi" w:hAnsiTheme="minorHAnsi" w:cstheme="minorHAnsi"/>
                <w:b/>
                <w:bCs/>
                <w:color w:val="000000"/>
                <w:lang w:val="en-US"/>
              </w:rPr>
              <w:t xml:space="preserve"> April, 2013</w:t>
            </w:r>
          </w:p>
        </w:tc>
      </w:tr>
      <w:tr w:rsidR="001A3601" w:rsidRPr="00942C19" w:rsidTr="001A3601">
        <w:trPr>
          <w:trHeight w:val="300"/>
          <w:tblHeader/>
        </w:trPr>
        <w:tc>
          <w:tcPr>
            <w:tcW w:w="460"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S.</w:t>
            </w:r>
            <w:r w:rsidR="00D31494" w:rsidRPr="00942C19">
              <w:rPr>
                <w:rFonts w:asciiTheme="minorHAnsi" w:hAnsiTheme="minorHAnsi" w:cstheme="minorHAnsi"/>
                <w:b/>
                <w:bCs/>
                <w:color w:val="000000"/>
                <w:lang w:val="en-US"/>
              </w:rPr>
              <w:t xml:space="preserve"> </w:t>
            </w:r>
            <w:r w:rsidRPr="00942C19">
              <w:rPr>
                <w:rFonts w:asciiTheme="minorHAnsi" w:hAnsiTheme="minorHAnsi" w:cstheme="minorHAnsi"/>
                <w:b/>
                <w:bCs/>
                <w:color w:val="000000"/>
                <w:lang w:val="en-US"/>
              </w:rPr>
              <w:t>No</w:t>
            </w:r>
          </w:p>
        </w:tc>
        <w:tc>
          <w:tcPr>
            <w:tcW w:w="2236"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Name</w:t>
            </w:r>
          </w:p>
        </w:tc>
        <w:tc>
          <w:tcPr>
            <w:tcW w:w="2305"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Organization</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S.K. Verma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SE,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Sushil Garg</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EE,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Er. B.K. Astha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SDO,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Pankaj Saxena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Dy. CAO,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5</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Lalit Mohan Agarwal</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Girohar Cold Storage</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6</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Ramesh Kumar</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CE (Commercial),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7</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S.B. Verma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PA (Commercial),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8</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R.D. Pandey</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EE,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9</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Manmohan Rajpal</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Indian Industries Association (IIA)</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10</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Rajesh Grover</w:t>
            </w:r>
          </w:p>
        </w:tc>
        <w:tc>
          <w:tcPr>
            <w:tcW w:w="2305" w:type="pct"/>
            <w:shd w:val="clear" w:color="auto" w:fill="auto"/>
            <w:noWrap/>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Indian Industries Association (IIA)</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11</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G.R. Ambwani</w:t>
            </w:r>
          </w:p>
        </w:tc>
        <w:tc>
          <w:tcPr>
            <w:tcW w:w="2305" w:type="pct"/>
            <w:shd w:val="clear" w:color="auto" w:fill="auto"/>
            <w:noWrap/>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Indian Industries Association (IIA)</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12</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Anil Gupta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13</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Umesh Chandra Srivastava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14</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Mr. Chotebhai Naronha </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15</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G.K Agarwal</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16</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Sunil Gupta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PIA</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17</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Mrs. Nisha Rani</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18</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B.D. Rai</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Bhartiya Janata Party (BJP)</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19</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D.N. Mishra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20</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R.S. Pandey</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Managing Director,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21</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S.N. Bajpai</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Director (Technical), </w:t>
            </w:r>
            <w:r w:rsidR="00D31494" w:rsidRPr="00942C19">
              <w:rPr>
                <w:rFonts w:asciiTheme="minorHAnsi" w:hAnsiTheme="minorHAnsi" w:cstheme="minorHAnsi"/>
                <w:color w:val="000000"/>
                <w:lang w:val="en-US"/>
              </w:rPr>
              <w:t>KESCO</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22</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Bharat Rajyogi</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Aam Aadmi Party</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23</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P.N. Agarwal</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Prakash Metal Works (P) Ltd.</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24</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D.C. Verma</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UPPCL</w:t>
            </w:r>
          </w:p>
        </w:tc>
      </w:tr>
      <w:tr w:rsidR="001A3601" w:rsidRPr="00942C19" w:rsidTr="001A3601">
        <w:trPr>
          <w:trHeight w:val="300"/>
        </w:trPr>
        <w:tc>
          <w:tcPr>
            <w:tcW w:w="46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25</w:t>
            </w:r>
          </w:p>
        </w:tc>
        <w:tc>
          <w:tcPr>
            <w:tcW w:w="2236"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Mrs. Rani</w:t>
            </w:r>
          </w:p>
        </w:tc>
        <w:tc>
          <w:tcPr>
            <w:tcW w:w="2305"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1A3601" w:rsidRPr="00942C19" w:rsidTr="001A3601">
        <w:trPr>
          <w:trHeight w:val="300"/>
        </w:trPr>
        <w:tc>
          <w:tcPr>
            <w:tcW w:w="46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26</w:t>
            </w:r>
          </w:p>
        </w:tc>
        <w:tc>
          <w:tcPr>
            <w:tcW w:w="2236"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Mohd. Ghufran</w:t>
            </w:r>
          </w:p>
        </w:tc>
        <w:tc>
          <w:tcPr>
            <w:tcW w:w="2305"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CE (RAU), UPPCL</w:t>
            </w:r>
          </w:p>
        </w:tc>
      </w:tr>
      <w:tr w:rsidR="001A3601" w:rsidRPr="00942C19" w:rsidTr="001A3601">
        <w:trPr>
          <w:trHeight w:val="300"/>
        </w:trPr>
        <w:tc>
          <w:tcPr>
            <w:tcW w:w="46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27</w:t>
            </w:r>
          </w:p>
        </w:tc>
        <w:tc>
          <w:tcPr>
            <w:tcW w:w="2236"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Sukhendu Joshi</w:t>
            </w:r>
          </w:p>
        </w:tc>
        <w:tc>
          <w:tcPr>
            <w:tcW w:w="2305"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UPPCKL</w:t>
            </w:r>
          </w:p>
        </w:tc>
      </w:tr>
    </w:tbl>
    <w:p w:rsidR="00331B21" w:rsidRPr="00942C19" w:rsidRDefault="00331B21" w:rsidP="00331B21">
      <w:pPr>
        <w:spacing w:line="240" w:lineRule="auto"/>
        <w:jc w:val="left"/>
        <w:rPr>
          <w:rFonts w:asciiTheme="minorHAnsi" w:hAnsiTheme="minorHAnsi" w:cstheme="minorHAnsi"/>
          <w:sz w:val="22"/>
          <w:szCs w:val="22"/>
        </w:rPr>
      </w:pPr>
    </w:p>
    <w:p w:rsidR="00331B21" w:rsidRPr="00942C19" w:rsidRDefault="00331B21" w:rsidP="00331B21">
      <w:pPr>
        <w:spacing w:after="120" w:line="288" w:lineRule="auto"/>
        <w:ind w:left="720" w:hanging="360"/>
        <w:rPr>
          <w:rFonts w:asciiTheme="minorHAnsi" w:hAnsiTheme="minorHAnsi" w:cstheme="minorHAnsi"/>
          <w:sz w:val="22"/>
          <w:szCs w:val="22"/>
        </w:rPr>
      </w:pPr>
      <w:r w:rsidRPr="00942C19">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628"/>
        <w:gridCol w:w="4590"/>
      </w:tblGrid>
      <w:tr w:rsidR="00EE2570" w:rsidRPr="00942C19" w:rsidTr="00EE2570">
        <w:trPr>
          <w:trHeight w:val="300"/>
          <w:tblHeader/>
        </w:trPr>
        <w:tc>
          <w:tcPr>
            <w:tcW w:w="5000" w:type="pct"/>
            <w:gridSpan w:val="3"/>
            <w:shd w:val="clear" w:color="000000" w:fill="C5D9F1"/>
            <w:noWrap/>
            <w:vAlign w:val="bottom"/>
            <w:hideMark/>
          </w:tcPr>
          <w:p w:rsidR="00A44CA7" w:rsidRPr="00942C19" w:rsidRDefault="00785E17">
            <w:pPr>
              <w:spacing w:before="0"/>
              <w:jc w:val="center"/>
              <w:rPr>
                <w:rFonts w:asciiTheme="minorHAnsi" w:hAnsiTheme="minorHAnsi" w:cstheme="minorHAnsi"/>
                <w:b/>
                <w:bCs/>
                <w:color w:val="000000"/>
                <w:lang w:val="en-US"/>
              </w:rPr>
            </w:pPr>
            <w:r w:rsidRPr="00942C19">
              <w:rPr>
                <w:rFonts w:asciiTheme="minorHAnsi" w:hAnsiTheme="minorHAnsi" w:cstheme="minorHAnsi"/>
                <w:b/>
                <w:bCs/>
                <w:color w:val="000000"/>
                <w:lang w:val="en-US"/>
              </w:rPr>
              <w:t>List of Persons who attended Public Hearing in Lucknow on 17</w:t>
            </w:r>
            <w:r w:rsidRPr="00942C19">
              <w:rPr>
                <w:rFonts w:asciiTheme="minorHAnsi" w:hAnsiTheme="minorHAnsi" w:cstheme="minorHAnsi"/>
                <w:b/>
                <w:bCs/>
                <w:color w:val="000000"/>
                <w:vertAlign w:val="superscript"/>
                <w:lang w:val="en-US"/>
              </w:rPr>
              <w:t>th</w:t>
            </w:r>
            <w:r w:rsidRPr="00942C19">
              <w:rPr>
                <w:rFonts w:asciiTheme="minorHAnsi" w:hAnsiTheme="minorHAnsi" w:cstheme="minorHAnsi"/>
                <w:b/>
                <w:bCs/>
                <w:color w:val="000000"/>
                <w:lang w:val="en-US"/>
              </w:rPr>
              <w:t xml:space="preserve"> April, 2013</w:t>
            </w:r>
          </w:p>
        </w:tc>
      </w:tr>
      <w:tr w:rsidR="00EE2570" w:rsidRPr="00942C19" w:rsidTr="00EE2570">
        <w:trPr>
          <w:trHeight w:val="300"/>
          <w:tblHeader/>
        </w:trPr>
        <w:tc>
          <w:tcPr>
            <w:tcW w:w="377" w:type="pct"/>
            <w:shd w:val="clear" w:color="000000" w:fill="C5D9F1"/>
            <w:noWrap/>
            <w:vAlign w:val="bottom"/>
            <w:hideMark/>
          </w:tcPr>
          <w:p w:rsidR="00A44CA7" w:rsidRPr="00942C19" w:rsidRDefault="00785E17">
            <w:pPr>
              <w:spacing w:before="0"/>
              <w:jc w:val="center"/>
              <w:rPr>
                <w:rFonts w:asciiTheme="minorHAnsi" w:hAnsiTheme="minorHAnsi" w:cstheme="minorHAnsi"/>
                <w:b/>
                <w:bCs/>
                <w:color w:val="000000"/>
                <w:lang w:val="en-US"/>
              </w:rPr>
            </w:pPr>
            <w:r w:rsidRPr="00942C19">
              <w:rPr>
                <w:rFonts w:asciiTheme="minorHAnsi" w:hAnsiTheme="minorHAnsi" w:cstheme="minorHAnsi"/>
                <w:b/>
                <w:bCs/>
                <w:color w:val="000000"/>
                <w:lang w:val="en-US"/>
              </w:rPr>
              <w:t>S.N</w:t>
            </w:r>
          </w:p>
        </w:tc>
        <w:tc>
          <w:tcPr>
            <w:tcW w:w="2041"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Name</w:t>
            </w:r>
          </w:p>
        </w:tc>
        <w:tc>
          <w:tcPr>
            <w:tcW w:w="2582"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Organization</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Rakesh Goel</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Munna Lal</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Raghendra Singh</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P.N. Kulki</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Akhil Bhartiya Math</w:t>
            </w:r>
            <w:r w:rsidR="00D31494" w:rsidRPr="00942C19">
              <w:rPr>
                <w:rFonts w:asciiTheme="minorHAnsi" w:hAnsiTheme="minorHAnsi" w:cstheme="minorHAnsi"/>
                <w:color w:val="000000"/>
                <w:lang w:val="en-US"/>
              </w:rPr>
              <w:t>a</w:t>
            </w:r>
            <w:r w:rsidRPr="00942C19">
              <w:rPr>
                <w:rFonts w:asciiTheme="minorHAnsi" w:hAnsiTheme="minorHAnsi" w:cstheme="minorHAnsi"/>
                <w:color w:val="000000"/>
                <w:lang w:val="en-US"/>
              </w:rPr>
              <w:t>dhikar Sangh</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5</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J.P. Arya</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Indira Nagar Adhivakta Sangh</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6</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Col. M.C. Papnai</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President VSS</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7</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S.M.S. Chauhan</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8</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Sayed Ghazi Abbas</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9</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Awadhesh Kumar Verma</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Chairman, UP Rajya Vidyut Upbhokta Parishad</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10</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G.S. Dhirani</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Cold Storage Association UP</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11</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Mohd Firoz</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12</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Munna Lal Sonkar</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13</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Akram</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14</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Arun Kumar Tiwari</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15</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Satish Kumar</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16</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Brij Nath Yadav</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17</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Parvesh</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18</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Deena Nath</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19</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K.K. Jaiswal</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20</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G.C. Chaturvedi</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Indian Industries Association (IIA)</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21</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Shashi Bhushan Mishra</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22</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Gokul Prasad</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23</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Naseeruddin</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24</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Babu Lal</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25</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Lakhan</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26</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Mohd Sharif</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27</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A.K. Arora</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28</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Gyan Prakash</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Hindustan</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29</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Rohit Joshi</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30</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Rohit Gupta</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31</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Mr. Nadeem </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32</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Golu Sonkar</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33</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Amir</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34</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Raju Sonkar</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35</w:t>
            </w:r>
          </w:p>
        </w:tc>
        <w:tc>
          <w:tcPr>
            <w:tcW w:w="204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Prashant Bhatia</w:t>
            </w:r>
          </w:p>
        </w:tc>
        <w:tc>
          <w:tcPr>
            <w:tcW w:w="258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Indian Industries Association (IIA)</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36</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Rama Shanker Awasthi</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37</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Vaibhav Shukla</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NTPC Ltd.</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38</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K.B. Singh</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NTPC Ltd.</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39</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Prashant Chaturvedi</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NTPC Ltd.</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40</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Mahendra Tiwari</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Amar Ujala</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41</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Vipin Kumar Gupta</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Secretary, ABMS</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42</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G.C. Chaturvedi</w:t>
            </w:r>
          </w:p>
        </w:tc>
        <w:tc>
          <w:tcPr>
            <w:tcW w:w="2582" w:type="pct"/>
            <w:shd w:val="clear" w:color="auto" w:fill="auto"/>
            <w:noWrap/>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Indian Industries Association (IIA)</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43</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Tanay Agarwal</w:t>
            </w:r>
          </w:p>
        </w:tc>
        <w:tc>
          <w:tcPr>
            <w:tcW w:w="2582" w:type="pct"/>
            <w:shd w:val="clear" w:color="auto" w:fill="auto"/>
            <w:noWrap/>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Indian Industries Association (IIA)</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44</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P.R. Pandey</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Vice President, Jan Kalyan Mahasamiti</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45</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Brijesh Kumar Tiwari</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President, Jan Kalyan Mahasamiti</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46</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Guddu</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47</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Ram Ashim Yadav</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48</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 Rizvi</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UPPCL</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49</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Mohd Ghufran</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CE (RAU), UPPCL</w:t>
            </w:r>
          </w:p>
        </w:tc>
      </w:tr>
      <w:tr w:rsidR="00EE2570" w:rsidRPr="00942C19" w:rsidTr="00EE2570">
        <w:trPr>
          <w:trHeight w:val="300"/>
        </w:trPr>
        <w:tc>
          <w:tcPr>
            <w:tcW w:w="377"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50</w:t>
            </w:r>
          </w:p>
        </w:tc>
        <w:tc>
          <w:tcPr>
            <w:tcW w:w="2041"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D.C. Verma</w:t>
            </w:r>
          </w:p>
        </w:tc>
        <w:tc>
          <w:tcPr>
            <w:tcW w:w="2582"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UPPCL</w:t>
            </w:r>
          </w:p>
        </w:tc>
      </w:tr>
    </w:tbl>
    <w:p w:rsidR="00A44CA7" w:rsidRPr="00942C19" w:rsidRDefault="00A44CA7">
      <w:pPr>
        <w:spacing w:before="0" w:after="120" w:line="288" w:lineRule="auto"/>
        <w:ind w:left="720" w:hanging="360"/>
        <w:rPr>
          <w:rFonts w:asciiTheme="minorHAnsi" w:hAnsiTheme="minorHAnsi" w:cstheme="minorHAnsi"/>
          <w:sz w:val="22"/>
          <w:szCs w:val="22"/>
        </w:rPr>
      </w:pPr>
    </w:p>
    <w:p w:rsidR="00331B21" w:rsidRPr="00942C19" w:rsidRDefault="00331B21" w:rsidP="00331B21">
      <w:pPr>
        <w:spacing w:after="120" w:line="288" w:lineRule="auto"/>
        <w:ind w:left="720" w:hanging="360"/>
        <w:rPr>
          <w:rFonts w:asciiTheme="minorHAnsi" w:hAnsiTheme="minorHAnsi" w:cstheme="minorHAnsi"/>
          <w:sz w:val="22"/>
          <w:szCs w:val="22"/>
        </w:rPr>
      </w:pPr>
      <w:r w:rsidRPr="00942C19">
        <w:rPr>
          <w:rFonts w:asciiTheme="minorHAnsi" w:hAnsiTheme="minorHAnsi" w:cstheme="minorHAnsi"/>
          <w:sz w:val="22"/>
          <w:szCs w:val="22"/>
        </w:rPr>
        <w:br w:type="page"/>
      </w:r>
    </w:p>
    <w:tbl>
      <w:tblPr>
        <w:tblW w:w="504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
        <w:gridCol w:w="3269"/>
        <w:gridCol w:w="5106"/>
      </w:tblGrid>
      <w:tr w:rsidR="00EE2570" w:rsidRPr="00942C19" w:rsidTr="00EE2570">
        <w:trPr>
          <w:trHeight w:val="300"/>
          <w:tblHeader/>
        </w:trPr>
        <w:tc>
          <w:tcPr>
            <w:tcW w:w="5000" w:type="pct"/>
            <w:gridSpan w:val="3"/>
            <w:shd w:val="clear" w:color="000000" w:fill="C5D9F1"/>
            <w:noWrap/>
            <w:vAlign w:val="bottom"/>
            <w:hideMark/>
          </w:tcPr>
          <w:p w:rsidR="00A44CA7" w:rsidRPr="00942C19" w:rsidRDefault="00785E17">
            <w:pPr>
              <w:spacing w:before="0"/>
              <w:jc w:val="center"/>
              <w:rPr>
                <w:rFonts w:asciiTheme="minorHAnsi" w:hAnsiTheme="minorHAnsi" w:cstheme="minorHAnsi"/>
                <w:b/>
                <w:bCs/>
                <w:color w:val="000000"/>
                <w:lang w:val="en-US"/>
              </w:rPr>
            </w:pPr>
            <w:r w:rsidRPr="00942C19">
              <w:rPr>
                <w:rFonts w:asciiTheme="minorHAnsi" w:hAnsiTheme="minorHAnsi" w:cstheme="minorHAnsi"/>
                <w:b/>
                <w:bCs/>
                <w:color w:val="000000"/>
                <w:lang w:val="en-US"/>
              </w:rPr>
              <w:t>List of Persons who attended Public Hearing in Greater Noida on 22</w:t>
            </w:r>
            <w:r w:rsidRPr="00942C19">
              <w:rPr>
                <w:rFonts w:asciiTheme="minorHAnsi" w:hAnsiTheme="minorHAnsi" w:cstheme="minorHAnsi"/>
                <w:b/>
                <w:bCs/>
                <w:color w:val="000000"/>
                <w:vertAlign w:val="superscript"/>
                <w:lang w:val="en-US"/>
              </w:rPr>
              <w:t>nd</w:t>
            </w:r>
            <w:r w:rsidRPr="00942C19">
              <w:rPr>
                <w:rFonts w:asciiTheme="minorHAnsi" w:hAnsiTheme="minorHAnsi" w:cstheme="minorHAnsi"/>
                <w:b/>
                <w:bCs/>
                <w:color w:val="000000"/>
                <w:lang w:val="en-US"/>
              </w:rPr>
              <w:t xml:space="preserve"> April, 2013</w:t>
            </w:r>
          </w:p>
        </w:tc>
      </w:tr>
      <w:tr w:rsidR="00EE2570" w:rsidRPr="00942C19" w:rsidTr="00EE2570">
        <w:trPr>
          <w:trHeight w:val="300"/>
          <w:tblHeader/>
        </w:trPr>
        <w:tc>
          <w:tcPr>
            <w:tcW w:w="370" w:type="pct"/>
            <w:shd w:val="clear" w:color="000000" w:fill="C5D9F1"/>
            <w:noWrap/>
            <w:vAlign w:val="bottom"/>
            <w:hideMark/>
          </w:tcPr>
          <w:p w:rsidR="00A44CA7" w:rsidRPr="00942C19" w:rsidRDefault="00785E17">
            <w:pPr>
              <w:spacing w:before="0"/>
              <w:jc w:val="center"/>
              <w:rPr>
                <w:rFonts w:asciiTheme="minorHAnsi" w:hAnsiTheme="minorHAnsi" w:cstheme="minorHAnsi"/>
                <w:b/>
                <w:bCs/>
                <w:color w:val="000000"/>
                <w:lang w:val="en-US"/>
              </w:rPr>
            </w:pPr>
            <w:r w:rsidRPr="00942C19">
              <w:rPr>
                <w:rFonts w:asciiTheme="minorHAnsi" w:hAnsiTheme="minorHAnsi" w:cstheme="minorHAnsi"/>
                <w:b/>
                <w:bCs/>
                <w:color w:val="000000"/>
                <w:lang w:val="en-US"/>
              </w:rPr>
              <w:t>S.N</w:t>
            </w:r>
          </w:p>
        </w:tc>
        <w:tc>
          <w:tcPr>
            <w:tcW w:w="1807"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Name</w:t>
            </w:r>
          </w:p>
        </w:tc>
        <w:tc>
          <w:tcPr>
            <w:tcW w:w="2823" w:type="pct"/>
            <w:shd w:val="clear" w:color="000000" w:fill="C5D9F1"/>
            <w:noWrap/>
            <w:vAlign w:val="bottom"/>
            <w:hideMark/>
          </w:tcPr>
          <w:p w:rsidR="00A44CA7" w:rsidRPr="00942C19" w:rsidRDefault="00785E17">
            <w:pPr>
              <w:spacing w:before="0"/>
              <w:jc w:val="center"/>
              <w:rPr>
                <w:rFonts w:asciiTheme="minorHAnsi" w:hAnsiTheme="minorHAnsi" w:cstheme="minorHAnsi"/>
                <w:b/>
                <w:bCs/>
                <w:color w:val="000000"/>
                <w:lang w:val="en-US"/>
              </w:rPr>
            </w:pPr>
            <w:r w:rsidRPr="00942C19">
              <w:rPr>
                <w:rFonts w:asciiTheme="minorHAnsi" w:hAnsiTheme="minorHAnsi" w:cstheme="minorHAnsi"/>
                <w:b/>
                <w:bCs/>
                <w:color w:val="000000"/>
                <w:lang w:val="en-US"/>
              </w:rPr>
              <w:t>Organization</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Mohit Bhatia</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WLL, Junpat</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Jogendra</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Makara</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Manoj Bhatt</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Bulk</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Harber Singh</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Kanpur</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5</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Naveen</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Village- Tilpata</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6</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Manoj Nagar</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Village- Bajpura</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7</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Mahaveer</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Khanpur</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8</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Sunil</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Sakipur</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9</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Mr. Narendra </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Bhanohta</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10</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Sanjeev</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Makara</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11</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Balendra Singh</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Beta II, G. Nagar</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12</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Haroon Khan</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Thapheda</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13</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Govind Singh</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14</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Suresh Bhatia</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Junpat</w:t>
            </w:r>
          </w:p>
        </w:tc>
      </w:tr>
      <w:tr w:rsidR="00EE2570" w:rsidRPr="00942C19" w:rsidTr="00EE2570">
        <w:trPr>
          <w:trHeight w:val="300"/>
        </w:trPr>
        <w:tc>
          <w:tcPr>
            <w:tcW w:w="370" w:type="pct"/>
            <w:shd w:val="clear" w:color="auto" w:fill="auto"/>
            <w:noWrap/>
            <w:vAlign w:val="bottom"/>
            <w:hideMark/>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15</w:t>
            </w:r>
          </w:p>
        </w:tc>
        <w:tc>
          <w:tcPr>
            <w:tcW w:w="180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Ravi Nagar</w:t>
            </w:r>
          </w:p>
        </w:tc>
        <w:tc>
          <w:tcPr>
            <w:tcW w:w="2823"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Chaula</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16</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Vinit Rana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Lukshar</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17</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Anil Kumar</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D-92, Alpha 01</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18</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Satish</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Dabra</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19</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Ms. Rupa Gupta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G-193, </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20</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A.W. Pandey</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Chairman, Indian Industries Association</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21</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Bhim</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22</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Abhishek</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Habibpur</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23</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Basanta Sahu</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24</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Priyanshu</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Sallarpur</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25</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Ashok Kumar</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Ghaziabad</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26</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J.S. Rana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Accman Industry</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27</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Anil Bhava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NBT</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28</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Rajesh Gautam</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Dainik jagran</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29</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Arun Bhatia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National</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30</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Ms. Pinki Verma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AWHO Society</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31</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Deepak Kumar</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32</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Vinod Kumar</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Surajpur S/s</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33</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Vamid Kumar</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Bata I</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34</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Arvind Mishra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Dainik Jagran</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35</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Sanjay Garg</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Dainik Jagran</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36</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Vishaeed Gautam</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RWA</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37</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Alok Singh</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RWA</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38</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Ajay Bhatt</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39</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 Rizvi</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UPPCL</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40</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Mohd Ghufran</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CE (RAU), UPPCL</w:t>
            </w:r>
          </w:p>
        </w:tc>
      </w:tr>
      <w:tr w:rsidR="00EE2570" w:rsidRPr="00942C19" w:rsidTr="00EE2570">
        <w:trPr>
          <w:trHeight w:val="300"/>
        </w:trPr>
        <w:tc>
          <w:tcPr>
            <w:tcW w:w="370" w:type="pct"/>
            <w:shd w:val="clear" w:color="auto" w:fill="auto"/>
            <w:noWrap/>
            <w:vAlign w:val="bottom"/>
          </w:tcPr>
          <w:p w:rsidR="00A44CA7" w:rsidRPr="00942C19" w:rsidRDefault="00785E17">
            <w:pPr>
              <w:spacing w:before="0"/>
              <w:jc w:val="center"/>
              <w:rPr>
                <w:rFonts w:asciiTheme="minorHAnsi" w:hAnsiTheme="minorHAnsi" w:cstheme="minorHAnsi"/>
                <w:color w:val="000000"/>
                <w:lang w:val="en-US"/>
              </w:rPr>
            </w:pPr>
            <w:r w:rsidRPr="00942C19">
              <w:rPr>
                <w:rFonts w:asciiTheme="minorHAnsi" w:hAnsiTheme="minorHAnsi" w:cstheme="minorHAnsi"/>
                <w:color w:val="000000"/>
                <w:lang w:val="en-US"/>
              </w:rPr>
              <w:t>41</w:t>
            </w:r>
          </w:p>
        </w:tc>
        <w:tc>
          <w:tcPr>
            <w:tcW w:w="1807"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D.C. Verma</w:t>
            </w:r>
          </w:p>
        </w:tc>
        <w:tc>
          <w:tcPr>
            <w:tcW w:w="2823" w:type="pct"/>
            <w:shd w:val="clear" w:color="auto" w:fill="auto"/>
            <w:noWrap/>
            <w:vAlign w:val="bottom"/>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UPPCL</w:t>
            </w:r>
          </w:p>
        </w:tc>
      </w:tr>
    </w:tbl>
    <w:p w:rsidR="00A44CA7" w:rsidRPr="00942C19" w:rsidRDefault="00331B21">
      <w:pPr>
        <w:spacing w:before="0" w:after="120" w:line="288" w:lineRule="auto"/>
        <w:ind w:left="720" w:hanging="360"/>
        <w:rPr>
          <w:rFonts w:asciiTheme="minorHAnsi" w:hAnsiTheme="minorHAnsi" w:cstheme="minorHAnsi"/>
          <w:sz w:val="22"/>
          <w:szCs w:val="22"/>
        </w:rPr>
      </w:pPr>
      <w:r w:rsidRPr="00942C19">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434"/>
        <w:gridCol w:w="4784"/>
      </w:tblGrid>
      <w:tr w:rsidR="00EE2570" w:rsidRPr="00942C19" w:rsidTr="00EE2570">
        <w:trPr>
          <w:trHeight w:val="300"/>
          <w:tblHeader/>
        </w:trPr>
        <w:tc>
          <w:tcPr>
            <w:tcW w:w="5000" w:type="pct"/>
            <w:gridSpan w:val="3"/>
            <w:shd w:val="clear" w:color="000000" w:fill="C5D9F1"/>
            <w:noWrap/>
            <w:vAlign w:val="bottom"/>
            <w:hideMark/>
          </w:tcPr>
          <w:p w:rsidR="00A44CA7" w:rsidRPr="00942C19" w:rsidRDefault="00785E17">
            <w:pPr>
              <w:spacing w:before="0"/>
              <w:jc w:val="center"/>
              <w:rPr>
                <w:rFonts w:asciiTheme="minorHAnsi" w:hAnsiTheme="minorHAnsi" w:cstheme="minorHAnsi"/>
                <w:b/>
                <w:bCs/>
                <w:color w:val="000000"/>
                <w:lang w:val="en-US"/>
              </w:rPr>
            </w:pPr>
            <w:r w:rsidRPr="00942C19">
              <w:rPr>
                <w:rFonts w:asciiTheme="minorHAnsi" w:hAnsiTheme="minorHAnsi" w:cstheme="minorHAnsi"/>
                <w:b/>
                <w:bCs/>
                <w:color w:val="000000"/>
                <w:lang w:val="en-US"/>
              </w:rPr>
              <w:t>List of Persons who attended Public Hearing in Noida on 22</w:t>
            </w:r>
            <w:r w:rsidRPr="00942C19">
              <w:rPr>
                <w:rFonts w:asciiTheme="minorHAnsi" w:hAnsiTheme="minorHAnsi" w:cstheme="minorHAnsi"/>
                <w:b/>
                <w:bCs/>
                <w:color w:val="000000"/>
                <w:vertAlign w:val="superscript"/>
                <w:lang w:val="en-US"/>
              </w:rPr>
              <w:t>nd</w:t>
            </w:r>
            <w:r w:rsidRPr="00942C19">
              <w:rPr>
                <w:rFonts w:asciiTheme="minorHAnsi" w:hAnsiTheme="minorHAnsi" w:cstheme="minorHAnsi"/>
                <w:b/>
                <w:bCs/>
                <w:color w:val="000000"/>
                <w:lang w:val="en-US"/>
              </w:rPr>
              <w:t xml:space="preserve"> April, 2013</w:t>
            </w:r>
          </w:p>
        </w:tc>
      </w:tr>
      <w:tr w:rsidR="00EE2570" w:rsidRPr="00942C19" w:rsidTr="00EE2570">
        <w:trPr>
          <w:trHeight w:val="300"/>
          <w:tblHeader/>
        </w:trPr>
        <w:tc>
          <w:tcPr>
            <w:tcW w:w="377"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S.N</w:t>
            </w:r>
          </w:p>
        </w:tc>
        <w:tc>
          <w:tcPr>
            <w:tcW w:w="1932"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Name</w:t>
            </w:r>
          </w:p>
        </w:tc>
        <w:tc>
          <w:tcPr>
            <w:tcW w:w="2691" w:type="pct"/>
            <w:shd w:val="clear" w:color="000000" w:fill="C5D9F1"/>
            <w:noWrap/>
            <w:vAlign w:val="bottom"/>
            <w:hideMark/>
          </w:tcPr>
          <w:p w:rsidR="00A44CA7" w:rsidRPr="00942C19" w:rsidRDefault="00785E17">
            <w:pPr>
              <w:spacing w:before="0"/>
              <w:jc w:val="left"/>
              <w:rPr>
                <w:rFonts w:asciiTheme="minorHAnsi" w:hAnsiTheme="minorHAnsi" w:cstheme="minorHAnsi"/>
                <w:b/>
                <w:bCs/>
                <w:color w:val="000000"/>
                <w:lang w:val="en-US"/>
              </w:rPr>
            </w:pPr>
            <w:r w:rsidRPr="00942C19">
              <w:rPr>
                <w:rFonts w:asciiTheme="minorHAnsi" w:hAnsiTheme="minorHAnsi" w:cstheme="minorHAnsi"/>
                <w:b/>
                <w:bCs/>
                <w:color w:val="000000"/>
                <w:lang w:val="en-US"/>
              </w:rPr>
              <w:t>Organization</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Vinod Kumar</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J.L. Bajaj</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Former Chairman, UPERC</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3</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Vipin Melhan</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Noida Entrepreneurs Association (NEA)</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4</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Harish Joneja</w:t>
            </w:r>
          </w:p>
        </w:tc>
        <w:tc>
          <w:tcPr>
            <w:tcW w:w="2691" w:type="pct"/>
            <w:shd w:val="clear" w:color="auto" w:fill="auto"/>
            <w:noWrap/>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Noida Entrepreneurs Association (NEA)</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5</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Sharad Jain</w:t>
            </w:r>
          </w:p>
        </w:tc>
        <w:tc>
          <w:tcPr>
            <w:tcW w:w="2691" w:type="pct"/>
            <w:shd w:val="clear" w:color="auto" w:fill="auto"/>
            <w:noWrap/>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Noida Entrepreneurs Association (NEA)</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6</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Sushil Kumar Agarwal</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7</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R.K. Singh</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PVVNL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8</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R.P. Singh</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SE, PVVNL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9</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Mohan Singh</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CE, PVVNL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10</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Mahkas Singh</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Consumer</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11</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Krishan Singh</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UPPTCL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12</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Mohd Ismail</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UPPTCL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13</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Arun P. Singh</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SE, UPPTCL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14</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J.S. Yadav</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EE, PVVNL </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15</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Raghvendra</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EE, PVVNL </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16</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Salil Yadav</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SDO, PVVNL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17</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Durgesh Jha</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DLA-News</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18</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Anant Kumar Das</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News Bench</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19</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Jyoti Kumar</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News Bench</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20</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Vishal</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EUDD, Noida, PVVNL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21</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Saadal</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EUDD, Noida, PVVNL </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22</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Sumesh Singh</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DPS Autocad</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23</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Mukesh Gorgel</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Shakti Enterprises</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24</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A.K. Chaudhary</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PVVNL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25</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D.C. Verma</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26</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Ms. Sukriti Mishra</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Viom Networks Ltd</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27</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Sakesh Sharma</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Noida Small Ind. Association</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28</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M.K. Sharma</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Noida Small Ind. Association</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29</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Atul Mittal</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Noida Entrepreneurs Association (NEA)</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30</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 xml:space="preserve">Mr. S.A. </w:t>
            </w:r>
            <w:r w:rsidR="00EE2570" w:rsidRPr="00942C19">
              <w:rPr>
                <w:rFonts w:asciiTheme="minorHAnsi" w:hAnsiTheme="minorHAnsi" w:cstheme="minorHAnsi"/>
                <w:color w:val="000000"/>
                <w:lang w:val="en-US"/>
              </w:rPr>
              <w:t>Rizvi</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EE (RAU), UPPCL</w:t>
            </w:r>
          </w:p>
        </w:tc>
      </w:tr>
      <w:tr w:rsidR="00EE2570" w:rsidRPr="00942C19" w:rsidTr="00EE2570">
        <w:trPr>
          <w:trHeight w:val="300"/>
        </w:trPr>
        <w:tc>
          <w:tcPr>
            <w:tcW w:w="377"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31</w:t>
            </w:r>
          </w:p>
        </w:tc>
        <w:tc>
          <w:tcPr>
            <w:tcW w:w="1932"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Mr. Mohd Ghufran</w:t>
            </w:r>
          </w:p>
        </w:tc>
        <w:tc>
          <w:tcPr>
            <w:tcW w:w="2691" w:type="pct"/>
            <w:shd w:val="clear" w:color="auto" w:fill="auto"/>
            <w:noWrap/>
            <w:vAlign w:val="bottom"/>
            <w:hideMark/>
          </w:tcPr>
          <w:p w:rsidR="00A44CA7" w:rsidRPr="00942C19" w:rsidRDefault="00785E17">
            <w:pPr>
              <w:spacing w:before="0"/>
              <w:jc w:val="left"/>
              <w:rPr>
                <w:rFonts w:asciiTheme="minorHAnsi" w:hAnsiTheme="minorHAnsi" w:cstheme="minorHAnsi"/>
                <w:color w:val="000000"/>
                <w:lang w:val="en-US"/>
              </w:rPr>
            </w:pPr>
            <w:r w:rsidRPr="00942C19">
              <w:rPr>
                <w:rFonts w:asciiTheme="minorHAnsi" w:hAnsiTheme="minorHAnsi" w:cstheme="minorHAnsi"/>
                <w:color w:val="000000"/>
                <w:lang w:val="en-US"/>
              </w:rPr>
              <w:t>CE (RAU), UPPCL</w:t>
            </w:r>
          </w:p>
        </w:tc>
      </w:tr>
    </w:tbl>
    <w:p w:rsidR="00A44CA7" w:rsidRPr="00942C19" w:rsidRDefault="00A44CA7">
      <w:pPr>
        <w:pStyle w:val="Heading2"/>
        <w:numPr>
          <w:ilvl w:val="0"/>
          <w:numId w:val="0"/>
        </w:numPr>
        <w:spacing w:before="0"/>
        <w:ind w:left="780" w:hanging="780"/>
        <w:rPr>
          <w:iCs/>
          <w:lang w:val="en-US"/>
        </w:rPr>
      </w:pPr>
    </w:p>
    <w:p w:rsidR="00067EB2" w:rsidRPr="00942C19" w:rsidRDefault="00067EB2">
      <w:pPr>
        <w:spacing w:before="0" w:line="240" w:lineRule="auto"/>
        <w:jc w:val="left"/>
        <w:rPr>
          <w:iCs/>
          <w:lang w:val="en-US"/>
        </w:rPr>
      </w:pPr>
      <w:r w:rsidRPr="00942C19">
        <w:rPr>
          <w:iCs/>
          <w:lang w:val="en-US"/>
        </w:rPr>
        <w:br w:type="page"/>
      </w:r>
    </w:p>
    <w:p w:rsidR="00C83FC3" w:rsidRPr="00942C19" w:rsidRDefault="00C83FC3" w:rsidP="00067EB2">
      <w:pPr>
        <w:pStyle w:val="Heading1"/>
        <w:numPr>
          <w:ilvl w:val="1"/>
          <w:numId w:val="1"/>
        </w:numPr>
        <w:spacing w:line="276" w:lineRule="auto"/>
        <w:rPr>
          <w:iCs/>
          <w:color w:val="auto"/>
        </w:rPr>
        <w:sectPr w:rsidR="00C83FC3" w:rsidRPr="00942C19" w:rsidSect="00F0647B">
          <w:footerReference w:type="default" r:id="rId44"/>
          <w:pgSz w:w="11909" w:h="16834" w:code="9"/>
          <w:pgMar w:top="992" w:right="1440" w:bottom="1440" w:left="1729" w:header="1009" w:footer="1009" w:gutter="0"/>
          <w:cols w:space="720"/>
        </w:sectPr>
      </w:pPr>
    </w:p>
    <w:p w:rsidR="00067EB2" w:rsidRPr="00942C19" w:rsidRDefault="00067EB2" w:rsidP="00067EB2">
      <w:pPr>
        <w:pStyle w:val="Heading1"/>
        <w:numPr>
          <w:ilvl w:val="1"/>
          <w:numId w:val="1"/>
        </w:numPr>
        <w:spacing w:line="276" w:lineRule="auto"/>
        <w:rPr>
          <w:iCs/>
          <w:color w:val="auto"/>
        </w:rPr>
      </w:pPr>
      <w:bookmarkStart w:id="890" w:name="_Toc357714438"/>
      <w:r w:rsidRPr="00942C19">
        <w:rPr>
          <w:iCs/>
          <w:color w:val="auto"/>
        </w:rPr>
        <w:t>FUEL AND POWER PURCHASE COST ADJUSTMENT SURCHARGE</w:t>
      </w:r>
      <w:bookmarkEnd w:id="890"/>
    </w:p>
    <w:p w:rsidR="009D42F3" w:rsidRPr="00942C19" w:rsidRDefault="00785E17" w:rsidP="00710ADC">
      <w:pPr>
        <w:pStyle w:val="Heading3"/>
        <w:numPr>
          <w:ilvl w:val="0"/>
          <w:numId w:val="0"/>
        </w:numPr>
        <w:ind w:left="936"/>
        <w:jc w:val="center"/>
        <w:rPr>
          <w:b/>
        </w:rPr>
      </w:pPr>
      <w:bookmarkStart w:id="891" w:name="_Toc357719763"/>
      <w:r w:rsidRPr="00942C19">
        <w:rPr>
          <w:b/>
        </w:rPr>
        <w:t xml:space="preserve">TABLE </w:t>
      </w:r>
      <w:r w:rsidR="000C642E" w:rsidRPr="00942C19">
        <w:rPr>
          <w:b/>
        </w:rPr>
        <w:fldChar w:fldCharType="begin"/>
      </w:r>
      <w:r w:rsidRPr="00942C19">
        <w:rPr>
          <w:b/>
        </w:rPr>
        <w:instrText xml:space="preserve"> STYLEREF 1 \s </w:instrText>
      </w:r>
      <w:r w:rsidR="000C642E" w:rsidRPr="00942C19">
        <w:rPr>
          <w:b/>
        </w:rPr>
        <w:fldChar w:fldCharType="separate"/>
      </w:r>
      <w:r w:rsidR="00984AA4" w:rsidRPr="00942C19">
        <w:rPr>
          <w:b/>
          <w:noProof/>
        </w:rPr>
        <w:t>10.6</w:t>
      </w:r>
      <w:r w:rsidR="000C642E" w:rsidRPr="00942C19">
        <w:rPr>
          <w:b/>
        </w:rPr>
        <w:fldChar w:fldCharType="end"/>
      </w:r>
      <w:r w:rsidRPr="00942C19">
        <w:rPr>
          <w:b/>
        </w:rPr>
        <w:noBreakHyphen/>
      </w:r>
      <w:r w:rsidR="000C642E" w:rsidRPr="00942C19">
        <w:rPr>
          <w:b/>
        </w:rPr>
        <w:fldChar w:fldCharType="begin"/>
      </w:r>
      <w:r w:rsidRPr="00942C19">
        <w:rPr>
          <w:b/>
        </w:rPr>
        <w:instrText xml:space="preserve"> SEQ Table \* ARABIC \s 1 </w:instrText>
      </w:r>
      <w:r w:rsidR="000C642E" w:rsidRPr="00942C19">
        <w:rPr>
          <w:b/>
        </w:rPr>
        <w:fldChar w:fldCharType="separate"/>
      </w:r>
      <w:r w:rsidR="00984AA4" w:rsidRPr="00942C19">
        <w:rPr>
          <w:b/>
          <w:noProof/>
        </w:rPr>
        <w:t>1</w:t>
      </w:r>
      <w:r w:rsidR="000C642E" w:rsidRPr="00942C19">
        <w:rPr>
          <w:b/>
        </w:rPr>
        <w:fldChar w:fldCharType="end"/>
      </w:r>
      <w:r w:rsidRPr="00942C19">
        <w:rPr>
          <w:b/>
        </w:rPr>
        <w:t>: APPROPRIATION OF APPROVED POWER PURCHASE FOR FY 2013-14: FPPCA</w:t>
      </w:r>
      <w:bookmarkEnd w:id="891"/>
    </w:p>
    <w:p w:rsidR="00623D32" w:rsidRPr="00942C19" w:rsidRDefault="00623D32" w:rsidP="00222C32">
      <w:pPr>
        <w:spacing w:before="0" w:line="240" w:lineRule="auto"/>
        <w:jc w:val="left"/>
        <w:rPr>
          <w:iCs/>
          <w:lang w:val="en-US"/>
        </w:rPr>
      </w:pPr>
    </w:p>
    <w:tbl>
      <w:tblPr>
        <w:tblW w:w="503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347"/>
        <w:gridCol w:w="717"/>
        <w:gridCol w:w="70"/>
        <w:gridCol w:w="15"/>
        <w:gridCol w:w="147"/>
        <w:gridCol w:w="800"/>
        <w:gridCol w:w="15"/>
        <w:gridCol w:w="18"/>
        <w:gridCol w:w="118"/>
        <w:gridCol w:w="806"/>
        <w:gridCol w:w="24"/>
        <w:gridCol w:w="121"/>
        <w:gridCol w:w="812"/>
        <w:gridCol w:w="32"/>
        <w:gridCol w:w="24"/>
        <w:gridCol w:w="82"/>
        <w:gridCol w:w="847"/>
        <w:gridCol w:w="7"/>
        <w:gridCol w:w="32"/>
        <w:gridCol w:w="65"/>
        <w:gridCol w:w="874"/>
        <w:gridCol w:w="41"/>
        <w:gridCol w:w="35"/>
        <w:gridCol w:w="938"/>
        <w:gridCol w:w="12"/>
        <w:gridCol w:w="950"/>
        <w:gridCol w:w="15"/>
        <w:gridCol w:w="935"/>
        <w:gridCol w:w="41"/>
        <w:gridCol w:w="909"/>
        <w:gridCol w:w="68"/>
        <w:gridCol w:w="883"/>
        <w:gridCol w:w="94"/>
        <w:gridCol w:w="856"/>
        <w:gridCol w:w="121"/>
        <w:gridCol w:w="838"/>
      </w:tblGrid>
      <w:tr w:rsidR="00D85259" w:rsidRPr="00942C19" w:rsidTr="006114D1">
        <w:trPr>
          <w:trHeight w:val="431"/>
        </w:trPr>
        <w:tc>
          <w:tcPr>
            <w:tcW w:w="5000" w:type="pct"/>
            <w:gridSpan w:val="36"/>
            <w:shd w:val="clear" w:color="auto" w:fill="B8CCE4" w:themeFill="accent1" w:themeFillTint="66"/>
            <w:noWrap/>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FY 2013-14</w:t>
            </w:r>
          </w:p>
        </w:tc>
      </w:tr>
      <w:tr w:rsidR="00D85259" w:rsidRPr="00942C19" w:rsidTr="006114D1">
        <w:trPr>
          <w:trHeight w:val="411"/>
        </w:trPr>
        <w:tc>
          <w:tcPr>
            <w:tcW w:w="798" w:type="pct"/>
            <w:shd w:val="clear" w:color="auto" w:fill="B8CCE4" w:themeFill="accent1" w:themeFillTint="66"/>
            <w:vAlign w:val="center"/>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DVVNL</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Apr</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May</w:t>
            </w:r>
          </w:p>
        </w:tc>
        <w:tc>
          <w:tcPr>
            <w:tcW w:w="32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Jun</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Jul</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Aug</w:t>
            </w:r>
          </w:p>
        </w:tc>
        <w:tc>
          <w:tcPr>
            <w:tcW w:w="32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Sep</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Oct</w:t>
            </w:r>
          </w:p>
        </w:tc>
        <w:tc>
          <w:tcPr>
            <w:tcW w:w="323"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Nov</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Dec</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Jan</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Feb</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Mar</w:t>
            </w:r>
          </w:p>
        </w:tc>
        <w:tc>
          <w:tcPr>
            <w:tcW w:w="325"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Total</w:t>
            </w:r>
          </w:p>
        </w:tc>
      </w:tr>
      <w:tr w:rsidR="00D85259" w:rsidRPr="00942C19" w:rsidTr="00942C19">
        <w:trPr>
          <w:trHeight w:val="845"/>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Allocation of Approved Power Purchase (MU)</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1,669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1,835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1,829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1,831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1,848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1,548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1,540 </w:t>
            </w:r>
          </w:p>
        </w:tc>
        <w:tc>
          <w:tcPr>
            <w:tcW w:w="323"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1,375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1,430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1,460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1,284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1,495 </w:t>
            </w:r>
          </w:p>
        </w:tc>
        <w:tc>
          <w:tcPr>
            <w:tcW w:w="325"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19,144 </w:t>
            </w:r>
          </w:p>
        </w:tc>
      </w:tr>
      <w:tr w:rsidR="00D85259" w:rsidRPr="00942C19" w:rsidTr="006114D1">
        <w:trPr>
          <w:trHeight w:val="765"/>
        </w:trPr>
        <w:tc>
          <w:tcPr>
            <w:tcW w:w="798" w:type="pct"/>
            <w:shd w:val="clear" w:color="auto" w:fill="auto"/>
            <w:vAlign w:val="center"/>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Approved average power (Rs/kWh)</w:t>
            </w: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5"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840"/>
        </w:trPr>
        <w:tc>
          <w:tcPr>
            <w:tcW w:w="798" w:type="pct"/>
            <w:shd w:val="clear" w:color="auto" w:fill="auto"/>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Allocated Approved Power Purchase Cost (Rs. Crores)</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595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654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652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653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659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552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549 </w:t>
            </w:r>
          </w:p>
        </w:tc>
        <w:tc>
          <w:tcPr>
            <w:tcW w:w="323"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490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510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521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458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533 </w:t>
            </w:r>
          </w:p>
        </w:tc>
        <w:tc>
          <w:tcPr>
            <w:tcW w:w="325"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6,824 </w:t>
            </w:r>
          </w:p>
        </w:tc>
      </w:tr>
      <w:tr w:rsidR="00D85259" w:rsidRPr="00942C19" w:rsidTr="006114D1">
        <w:trPr>
          <w:trHeight w:val="393"/>
        </w:trPr>
        <w:tc>
          <w:tcPr>
            <w:tcW w:w="5000" w:type="pct"/>
            <w:gridSpan w:val="36"/>
            <w:shd w:val="clear" w:color="auto" w:fill="B8CCE4" w:themeFill="accent1" w:themeFillTint="66"/>
            <w:noWrap/>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FY 2013-14</w:t>
            </w:r>
          </w:p>
        </w:tc>
      </w:tr>
      <w:tr w:rsidR="00D85259" w:rsidRPr="00942C19" w:rsidTr="006114D1">
        <w:trPr>
          <w:trHeight w:val="397"/>
        </w:trPr>
        <w:tc>
          <w:tcPr>
            <w:tcW w:w="798" w:type="pct"/>
            <w:shd w:val="clear" w:color="auto" w:fill="B8CCE4" w:themeFill="accent1" w:themeFillTint="66"/>
            <w:vAlign w:val="center"/>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MVVNL</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Apr</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May</w:t>
            </w:r>
          </w:p>
        </w:tc>
        <w:tc>
          <w:tcPr>
            <w:tcW w:w="32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Jun</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Jul</w:t>
            </w:r>
          </w:p>
        </w:tc>
        <w:tc>
          <w:tcPr>
            <w:tcW w:w="323"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Aug</w:t>
            </w:r>
          </w:p>
        </w:tc>
        <w:tc>
          <w:tcPr>
            <w:tcW w:w="32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Sep</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Oct</w:t>
            </w:r>
          </w:p>
        </w:tc>
        <w:tc>
          <w:tcPr>
            <w:tcW w:w="323"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Nov</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Dec</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Jan</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Feb</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Mar</w:t>
            </w:r>
          </w:p>
        </w:tc>
        <w:tc>
          <w:tcPr>
            <w:tcW w:w="323"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Total</w:t>
            </w:r>
          </w:p>
        </w:tc>
      </w:tr>
      <w:tr w:rsidR="00D85259" w:rsidRPr="00942C19" w:rsidTr="00D85259">
        <w:trPr>
          <w:trHeight w:val="507"/>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Allocation of Purchases  Energy (MU)</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1,368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1,504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1,499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1,501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1,514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1,269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1,262 </w:t>
            </w:r>
          </w:p>
        </w:tc>
        <w:tc>
          <w:tcPr>
            <w:tcW w:w="323"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1,127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1,172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1,197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1,052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1,225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15,688 </w:t>
            </w:r>
          </w:p>
        </w:tc>
      </w:tr>
      <w:tr w:rsidR="00D85259" w:rsidRPr="00942C19" w:rsidTr="00D85259">
        <w:trPr>
          <w:trHeight w:val="685"/>
        </w:trPr>
        <w:tc>
          <w:tcPr>
            <w:tcW w:w="798" w:type="pct"/>
            <w:shd w:val="clear" w:color="auto" w:fill="auto"/>
            <w:vAlign w:val="center"/>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Approved average power (Rs/kWh)</w:t>
            </w: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974"/>
        </w:trPr>
        <w:tc>
          <w:tcPr>
            <w:tcW w:w="798" w:type="pct"/>
            <w:shd w:val="clear" w:color="auto" w:fill="auto"/>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Allocated Approved Power Purchase Cost (Rs. Crores)</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488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536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534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535 </w:t>
            </w:r>
          </w:p>
        </w:tc>
        <w:tc>
          <w:tcPr>
            <w:tcW w:w="323"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540 </w:t>
            </w:r>
          </w:p>
        </w:tc>
        <w:tc>
          <w:tcPr>
            <w:tcW w:w="32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452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450 </w:t>
            </w:r>
          </w:p>
        </w:tc>
        <w:tc>
          <w:tcPr>
            <w:tcW w:w="323"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402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418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427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375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437 </w:t>
            </w:r>
          </w:p>
        </w:tc>
        <w:tc>
          <w:tcPr>
            <w:tcW w:w="323"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5,592 </w:t>
            </w:r>
          </w:p>
        </w:tc>
      </w:tr>
      <w:tr w:rsidR="00D85259" w:rsidRPr="00942C19" w:rsidTr="006114D1">
        <w:trPr>
          <w:trHeight w:val="255"/>
        </w:trPr>
        <w:tc>
          <w:tcPr>
            <w:tcW w:w="5000" w:type="pct"/>
            <w:gridSpan w:val="36"/>
            <w:shd w:val="clear" w:color="auto" w:fill="B8CCE4" w:themeFill="accent1" w:themeFillTint="66"/>
            <w:noWrap/>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FY 2013-14</w:t>
            </w:r>
          </w:p>
        </w:tc>
      </w:tr>
      <w:tr w:rsidR="00D85259" w:rsidRPr="00942C19" w:rsidTr="006114D1">
        <w:trPr>
          <w:trHeight w:val="255"/>
        </w:trPr>
        <w:tc>
          <w:tcPr>
            <w:tcW w:w="798" w:type="pct"/>
            <w:shd w:val="clear" w:color="auto" w:fill="B8CCE4" w:themeFill="accent1" w:themeFillTint="66"/>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PuVVNL</w:t>
            </w:r>
          </w:p>
        </w:tc>
        <w:tc>
          <w:tcPr>
            <w:tcW w:w="244"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Apr</w:t>
            </w:r>
          </w:p>
        </w:tc>
        <w:tc>
          <w:tcPr>
            <w:tcW w:w="362" w:type="pct"/>
            <w:gridSpan w:val="6"/>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May</w:t>
            </w:r>
          </w:p>
        </w:tc>
        <w:tc>
          <w:tcPr>
            <w:tcW w:w="322"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Jun</w:t>
            </w:r>
          </w:p>
        </w:tc>
        <w:tc>
          <w:tcPr>
            <w:tcW w:w="336"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Jul</w:t>
            </w:r>
          </w:p>
        </w:tc>
        <w:tc>
          <w:tcPr>
            <w:tcW w:w="329"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Aug</w:t>
            </w:r>
          </w:p>
        </w:tc>
        <w:tc>
          <w:tcPr>
            <w:tcW w:w="33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Sep</w:t>
            </w:r>
          </w:p>
        </w:tc>
        <w:tc>
          <w:tcPr>
            <w:tcW w:w="331"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Oct</w:t>
            </w:r>
          </w:p>
        </w:tc>
        <w:tc>
          <w:tcPr>
            <w:tcW w:w="332"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Nov</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Dec</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Jan</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Feb</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Mar</w:t>
            </w:r>
          </w:p>
        </w:tc>
        <w:tc>
          <w:tcPr>
            <w:tcW w:w="285"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Total</w:t>
            </w:r>
          </w:p>
        </w:tc>
      </w:tr>
      <w:tr w:rsidR="00D85259" w:rsidRPr="00942C19" w:rsidTr="006114D1">
        <w:trPr>
          <w:trHeight w:val="313"/>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Allocation of Purchases  Energy (MU)</w:t>
            </w:r>
          </w:p>
        </w:tc>
        <w:tc>
          <w:tcPr>
            <w:tcW w:w="244"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1,618 </w:t>
            </w:r>
          </w:p>
        </w:tc>
        <w:tc>
          <w:tcPr>
            <w:tcW w:w="362" w:type="pct"/>
            <w:gridSpan w:val="6"/>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1,778 </w:t>
            </w:r>
          </w:p>
        </w:tc>
        <w:tc>
          <w:tcPr>
            <w:tcW w:w="322"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1,772 </w:t>
            </w:r>
          </w:p>
        </w:tc>
        <w:tc>
          <w:tcPr>
            <w:tcW w:w="336"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1,775 </w:t>
            </w:r>
          </w:p>
        </w:tc>
        <w:tc>
          <w:tcPr>
            <w:tcW w:w="329"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1,791 </w:t>
            </w:r>
          </w:p>
        </w:tc>
        <w:tc>
          <w:tcPr>
            <w:tcW w:w="33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1,500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1,492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1,332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1,385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1,415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1,244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1,449 </w:t>
            </w: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18,551 </w:t>
            </w:r>
          </w:p>
        </w:tc>
      </w:tr>
      <w:tr w:rsidR="00D85259" w:rsidRPr="00942C19" w:rsidTr="006114D1">
        <w:trPr>
          <w:trHeight w:val="481"/>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Approved average power (Rs/kWh)</w:t>
            </w:r>
          </w:p>
        </w:tc>
        <w:tc>
          <w:tcPr>
            <w:tcW w:w="244" w:type="pct"/>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62" w:type="pct"/>
            <w:gridSpan w:val="6"/>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2"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765"/>
        </w:trPr>
        <w:tc>
          <w:tcPr>
            <w:tcW w:w="798" w:type="pct"/>
            <w:shd w:val="clear" w:color="auto" w:fill="auto"/>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Allocated Approved Power Purchase Cost (Rs. Crores)</w:t>
            </w:r>
          </w:p>
        </w:tc>
        <w:tc>
          <w:tcPr>
            <w:tcW w:w="244"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577 </w:t>
            </w:r>
          </w:p>
        </w:tc>
        <w:tc>
          <w:tcPr>
            <w:tcW w:w="362" w:type="pct"/>
            <w:gridSpan w:val="6"/>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634 </w:t>
            </w:r>
          </w:p>
        </w:tc>
        <w:tc>
          <w:tcPr>
            <w:tcW w:w="322"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632 </w:t>
            </w:r>
          </w:p>
        </w:tc>
        <w:tc>
          <w:tcPr>
            <w:tcW w:w="336"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633 </w:t>
            </w:r>
          </w:p>
        </w:tc>
        <w:tc>
          <w:tcPr>
            <w:tcW w:w="329"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638 </w:t>
            </w:r>
          </w:p>
        </w:tc>
        <w:tc>
          <w:tcPr>
            <w:tcW w:w="33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535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532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475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494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504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443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517 </w:t>
            </w:r>
          </w:p>
        </w:tc>
        <w:tc>
          <w:tcPr>
            <w:tcW w:w="285"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6,613 </w:t>
            </w:r>
          </w:p>
        </w:tc>
      </w:tr>
      <w:tr w:rsidR="00D85259" w:rsidRPr="00942C19" w:rsidTr="006114D1">
        <w:trPr>
          <w:trHeight w:val="255"/>
        </w:trPr>
        <w:tc>
          <w:tcPr>
            <w:tcW w:w="5000" w:type="pct"/>
            <w:gridSpan w:val="36"/>
            <w:shd w:val="clear" w:color="auto" w:fill="B8CCE4" w:themeFill="accent1" w:themeFillTint="66"/>
            <w:noWrap/>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FY 2013-14</w:t>
            </w:r>
          </w:p>
        </w:tc>
      </w:tr>
      <w:tr w:rsidR="00D85259" w:rsidRPr="00942C19" w:rsidTr="006114D1">
        <w:trPr>
          <w:trHeight w:val="255"/>
        </w:trPr>
        <w:tc>
          <w:tcPr>
            <w:tcW w:w="798" w:type="pct"/>
            <w:shd w:val="clear" w:color="auto" w:fill="B8CCE4" w:themeFill="accent1" w:themeFillTint="66"/>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PaVVNL</w:t>
            </w:r>
          </w:p>
        </w:tc>
        <w:tc>
          <w:tcPr>
            <w:tcW w:w="268"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Apr</w:t>
            </w:r>
          </w:p>
        </w:tc>
        <w:tc>
          <w:tcPr>
            <w:tcW w:w="327"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May</w:t>
            </w:r>
          </w:p>
        </w:tc>
        <w:tc>
          <w:tcPr>
            <w:tcW w:w="325"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Jun</w:t>
            </w:r>
          </w:p>
        </w:tc>
        <w:tc>
          <w:tcPr>
            <w:tcW w:w="325"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Jul</w:t>
            </w:r>
          </w:p>
        </w:tc>
        <w:tc>
          <w:tcPr>
            <w:tcW w:w="347" w:type="pct"/>
            <w:gridSpan w:val="6"/>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Aug</w:t>
            </w:r>
          </w:p>
        </w:tc>
        <w:tc>
          <w:tcPr>
            <w:tcW w:w="33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Sep</w:t>
            </w:r>
          </w:p>
        </w:tc>
        <w:tc>
          <w:tcPr>
            <w:tcW w:w="331"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Oct</w:t>
            </w:r>
          </w:p>
        </w:tc>
        <w:tc>
          <w:tcPr>
            <w:tcW w:w="332"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Nov</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Dec</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Jan</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Feb</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Mar</w:t>
            </w:r>
          </w:p>
        </w:tc>
        <w:tc>
          <w:tcPr>
            <w:tcW w:w="285"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Total</w:t>
            </w:r>
          </w:p>
        </w:tc>
      </w:tr>
      <w:tr w:rsidR="00D85259" w:rsidRPr="00942C19" w:rsidTr="006114D1">
        <w:trPr>
          <w:trHeight w:val="448"/>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Allocation of Purchases  Energy (MU)</w:t>
            </w:r>
          </w:p>
        </w:tc>
        <w:tc>
          <w:tcPr>
            <w:tcW w:w="268"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2,372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2,607 </w:t>
            </w:r>
          </w:p>
        </w:tc>
        <w:tc>
          <w:tcPr>
            <w:tcW w:w="325"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2,599 </w:t>
            </w:r>
          </w:p>
        </w:tc>
        <w:tc>
          <w:tcPr>
            <w:tcW w:w="325"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2,603 </w:t>
            </w:r>
          </w:p>
        </w:tc>
        <w:tc>
          <w:tcPr>
            <w:tcW w:w="347" w:type="pct"/>
            <w:gridSpan w:val="6"/>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2,626 </w:t>
            </w:r>
          </w:p>
        </w:tc>
        <w:tc>
          <w:tcPr>
            <w:tcW w:w="33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2,200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2,188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1,954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2,032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2,075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1,824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2,125 </w:t>
            </w: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27,205 </w:t>
            </w:r>
          </w:p>
        </w:tc>
      </w:tr>
      <w:tr w:rsidR="00D85259" w:rsidRPr="00942C19" w:rsidTr="006114D1">
        <w:trPr>
          <w:trHeight w:val="555"/>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Approved average power (Rs/kWh)</w:t>
            </w:r>
          </w:p>
        </w:tc>
        <w:tc>
          <w:tcPr>
            <w:tcW w:w="268"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5"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5"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47" w:type="pct"/>
            <w:gridSpan w:val="6"/>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765"/>
        </w:trPr>
        <w:tc>
          <w:tcPr>
            <w:tcW w:w="798" w:type="pct"/>
            <w:shd w:val="clear" w:color="auto" w:fill="auto"/>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Allocated Approved Power Purchase Cost (Rs. Crores)</w:t>
            </w:r>
          </w:p>
        </w:tc>
        <w:tc>
          <w:tcPr>
            <w:tcW w:w="268"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846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929 </w:t>
            </w:r>
          </w:p>
        </w:tc>
        <w:tc>
          <w:tcPr>
            <w:tcW w:w="325"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927 </w:t>
            </w:r>
          </w:p>
        </w:tc>
        <w:tc>
          <w:tcPr>
            <w:tcW w:w="325"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928 </w:t>
            </w:r>
          </w:p>
        </w:tc>
        <w:tc>
          <w:tcPr>
            <w:tcW w:w="347" w:type="pct"/>
            <w:gridSpan w:val="6"/>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936 </w:t>
            </w:r>
          </w:p>
        </w:tc>
        <w:tc>
          <w:tcPr>
            <w:tcW w:w="33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784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780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697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724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740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650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757 </w:t>
            </w:r>
          </w:p>
        </w:tc>
        <w:tc>
          <w:tcPr>
            <w:tcW w:w="285"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9,698 </w:t>
            </w:r>
          </w:p>
        </w:tc>
      </w:tr>
      <w:tr w:rsidR="00D85259" w:rsidRPr="00942C19" w:rsidTr="006114D1">
        <w:trPr>
          <w:trHeight w:val="255"/>
        </w:trPr>
        <w:tc>
          <w:tcPr>
            <w:tcW w:w="5000" w:type="pct"/>
            <w:gridSpan w:val="36"/>
            <w:shd w:val="clear" w:color="auto" w:fill="B8CCE4" w:themeFill="accent1" w:themeFillTint="66"/>
            <w:noWrap/>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FY 2013-14</w:t>
            </w:r>
          </w:p>
        </w:tc>
      </w:tr>
      <w:tr w:rsidR="00D85259" w:rsidRPr="00942C19" w:rsidTr="006114D1">
        <w:trPr>
          <w:trHeight w:val="255"/>
        </w:trPr>
        <w:tc>
          <w:tcPr>
            <w:tcW w:w="798" w:type="pct"/>
            <w:shd w:val="clear" w:color="auto" w:fill="B8CCE4" w:themeFill="accent1" w:themeFillTint="66"/>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KESCO</w:t>
            </w:r>
          </w:p>
        </w:tc>
        <w:tc>
          <w:tcPr>
            <w:tcW w:w="27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Apr</w:t>
            </w:r>
          </w:p>
        </w:tc>
        <w:tc>
          <w:tcPr>
            <w:tcW w:w="327"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May</w:t>
            </w:r>
          </w:p>
        </w:tc>
        <w:tc>
          <w:tcPr>
            <w:tcW w:w="327"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Jun</w:t>
            </w:r>
          </w:p>
        </w:tc>
        <w:tc>
          <w:tcPr>
            <w:tcW w:w="336"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Jul</w:t>
            </w:r>
          </w:p>
        </w:tc>
        <w:tc>
          <w:tcPr>
            <w:tcW w:w="329"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Aug</w:t>
            </w:r>
          </w:p>
        </w:tc>
        <w:tc>
          <w:tcPr>
            <w:tcW w:w="33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Sep</w:t>
            </w:r>
          </w:p>
        </w:tc>
        <w:tc>
          <w:tcPr>
            <w:tcW w:w="331"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Oct</w:t>
            </w:r>
          </w:p>
        </w:tc>
        <w:tc>
          <w:tcPr>
            <w:tcW w:w="332"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Nov</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Dec</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Jan</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Feb</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Mar</w:t>
            </w:r>
          </w:p>
        </w:tc>
        <w:tc>
          <w:tcPr>
            <w:tcW w:w="285"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Total</w:t>
            </w:r>
          </w:p>
        </w:tc>
      </w:tr>
      <w:tr w:rsidR="00D85259" w:rsidRPr="00942C19" w:rsidTr="006114D1">
        <w:trPr>
          <w:trHeight w:val="313"/>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Allocation of Purchases  Energy (MU)</w:t>
            </w:r>
          </w:p>
        </w:tc>
        <w:tc>
          <w:tcPr>
            <w:tcW w:w="27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322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354 </w:t>
            </w:r>
          </w:p>
        </w:tc>
        <w:tc>
          <w:tcPr>
            <w:tcW w:w="327"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352 </w:t>
            </w:r>
          </w:p>
        </w:tc>
        <w:tc>
          <w:tcPr>
            <w:tcW w:w="336"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353 </w:t>
            </w:r>
          </w:p>
        </w:tc>
        <w:tc>
          <w:tcPr>
            <w:tcW w:w="329"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c>
          <w:tcPr>
            <w:tcW w:w="33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298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297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265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275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281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247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288 </w:t>
            </w: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3,688 </w:t>
            </w:r>
          </w:p>
        </w:tc>
      </w:tr>
      <w:tr w:rsidR="00D85259" w:rsidRPr="00942C19" w:rsidTr="006114D1">
        <w:trPr>
          <w:trHeight w:val="435"/>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Approved average power (Rs/kWh)</w:t>
            </w:r>
          </w:p>
        </w:tc>
        <w:tc>
          <w:tcPr>
            <w:tcW w:w="27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765"/>
        </w:trPr>
        <w:tc>
          <w:tcPr>
            <w:tcW w:w="798" w:type="pct"/>
            <w:shd w:val="clear" w:color="auto" w:fill="auto"/>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115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126 </w:t>
            </w:r>
          </w:p>
        </w:tc>
        <w:tc>
          <w:tcPr>
            <w:tcW w:w="327"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126 </w:t>
            </w:r>
          </w:p>
        </w:tc>
        <w:tc>
          <w:tcPr>
            <w:tcW w:w="336"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126 </w:t>
            </w:r>
          </w:p>
        </w:tc>
        <w:tc>
          <w:tcPr>
            <w:tcW w:w="329"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127 </w:t>
            </w:r>
          </w:p>
        </w:tc>
        <w:tc>
          <w:tcPr>
            <w:tcW w:w="33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106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106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98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100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88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103 </w:t>
            </w:r>
          </w:p>
        </w:tc>
        <w:tc>
          <w:tcPr>
            <w:tcW w:w="285"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1,315 </w:t>
            </w:r>
          </w:p>
        </w:tc>
      </w:tr>
      <w:tr w:rsidR="00D85259" w:rsidRPr="00942C19" w:rsidTr="006114D1">
        <w:trPr>
          <w:trHeight w:val="255"/>
        </w:trPr>
        <w:tc>
          <w:tcPr>
            <w:tcW w:w="5000" w:type="pct"/>
            <w:gridSpan w:val="36"/>
            <w:shd w:val="clear" w:color="auto" w:fill="B8CCE4" w:themeFill="accent1" w:themeFillTint="66"/>
            <w:noWrap/>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FY 2013-14</w:t>
            </w:r>
          </w:p>
        </w:tc>
      </w:tr>
      <w:tr w:rsidR="00D85259" w:rsidRPr="00942C19" w:rsidTr="006114D1">
        <w:trPr>
          <w:trHeight w:val="453"/>
        </w:trPr>
        <w:tc>
          <w:tcPr>
            <w:tcW w:w="798" w:type="pct"/>
            <w:shd w:val="clear" w:color="auto" w:fill="B8CCE4" w:themeFill="accent1" w:themeFillTint="66"/>
            <w:vAlign w:val="center"/>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NPCL</w:t>
            </w:r>
          </w:p>
        </w:tc>
        <w:tc>
          <w:tcPr>
            <w:tcW w:w="244"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Apr</w:t>
            </w:r>
          </w:p>
        </w:tc>
        <w:tc>
          <w:tcPr>
            <w:tcW w:w="362" w:type="pct"/>
            <w:gridSpan w:val="6"/>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May</w:t>
            </w:r>
          </w:p>
        </w:tc>
        <w:tc>
          <w:tcPr>
            <w:tcW w:w="322"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Jun</w:t>
            </w:r>
          </w:p>
        </w:tc>
        <w:tc>
          <w:tcPr>
            <w:tcW w:w="336"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Jul</w:t>
            </w:r>
          </w:p>
        </w:tc>
        <w:tc>
          <w:tcPr>
            <w:tcW w:w="329"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Aug</w:t>
            </w:r>
          </w:p>
        </w:tc>
        <w:tc>
          <w:tcPr>
            <w:tcW w:w="33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Sep</w:t>
            </w:r>
          </w:p>
        </w:tc>
        <w:tc>
          <w:tcPr>
            <w:tcW w:w="331"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Oct</w:t>
            </w:r>
          </w:p>
        </w:tc>
        <w:tc>
          <w:tcPr>
            <w:tcW w:w="332"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Nov</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Dec</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Jan</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Feb</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Mar</w:t>
            </w:r>
          </w:p>
        </w:tc>
        <w:tc>
          <w:tcPr>
            <w:tcW w:w="285"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Total</w:t>
            </w:r>
          </w:p>
        </w:tc>
      </w:tr>
      <w:tr w:rsidR="00D85259" w:rsidRPr="00942C19" w:rsidTr="006114D1">
        <w:trPr>
          <w:trHeight w:val="196"/>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Allocation of Purchases  Energy (MU)</w:t>
            </w:r>
          </w:p>
        </w:tc>
        <w:tc>
          <w:tcPr>
            <w:tcW w:w="27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31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34 </w:t>
            </w:r>
          </w:p>
        </w:tc>
        <w:tc>
          <w:tcPr>
            <w:tcW w:w="327"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34 </w:t>
            </w:r>
          </w:p>
        </w:tc>
        <w:tc>
          <w:tcPr>
            <w:tcW w:w="328"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34 </w:t>
            </w:r>
          </w:p>
        </w:tc>
        <w:tc>
          <w:tcPr>
            <w:tcW w:w="324"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34 </w:t>
            </w:r>
          </w:p>
        </w:tc>
        <w:tc>
          <w:tcPr>
            <w:tcW w:w="346" w:type="pct"/>
            <w:gridSpan w:val="5"/>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29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29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26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27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27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24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28 </w:t>
            </w: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765"/>
        </w:trPr>
        <w:tc>
          <w:tcPr>
            <w:tcW w:w="798" w:type="pct"/>
            <w:shd w:val="clear" w:color="auto" w:fill="auto"/>
            <w:vAlign w:val="center"/>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Approved average power (Rs/kWh)</w:t>
            </w:r>
          </w:p>
        </w:tc>
        <w:tc>
          <w:tcPr>
            <w:tcW w:w="27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4"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46" w:type="pct"/>
            <w:gridSpan w:val="5"/>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765"/>
        </w:trPr>
        <w:tc>
          <w:tcPr>
            <w:tcW w:w="798" w:type="pct"/>
            <w:shd w:val="clear" w:color="auto" w:fill="auto"/>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11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 </w:t>
            </w:r>
          </w:p>
        </w:tc>
        <w:tc>
          <w:tcPr>
            <w:tcW w:w="327"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 </w:t>
            </w:r>
          </w:p>
        </w:tc>
        <w:tc>
          <w:tcPr>
            <w:tcW w:w="328"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 </w:t>
            </w:r>
          </w:p>
        </w:tc>
        <w:tc>
          <w:tcPr>
            <w:tcW w:w="324"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 </w:t>
            </w:r>
          </w:p>
        </w:tc>
        <w:tc>
          <w:tcPr>
            <w:tcW w:w="346" w:type="pct"/>
            <w:gridSpan w:val="5"/>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 </w:t>
            </w:r>
          </w:p>
        </w:tc>
        <w:tc>
          <w:tcPr>
            <w:tcW w:w="331"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9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10 </w:t>
            </w:r>
          </w:p>
        </w:tc>
        <w:tc>
          <w:tcPr>
            <w:tcW w:w="285"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127 </w:t>
            </w:r>
          </w:p>
        </w:tc>
      </w:tr>
      <w:tr w:rsidR="00D85259" w:rsidRPr="00942C19" w:rsidTr="006114D1">
        <w:trPr>
          <w:trHeight w:val="255"/>
        </w:trPr>
        <w:tc>
          <w:tcPr>
            <w:tcW w:w="5000" w:type="pct"/>
            <w:gridSpan w:val="36"/>
            <w:shd w:val="clear" w:color="auto" w:fill="B8CCE4" w:themeFill="accent1" w:themeFillTint="66"/>
            <w:noWrap/>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FY 2013-14</w:t>
            </w:r>
          </w:p>
        </w:tc>
      </w:tr>
      <w:tr w:rsidR="00D85259" w:rsidRPr="00942C19" w:rsidTr="006114D1">
        <w:trPr>
          <w:trHeight w:val="431"/>
        </w:trPr>
        <w:tc>
          <w:tcPr>
            <w:tcW w:w="798" w:type="pct"/>
            <w:shd w:val="clear" w:color="auto" w:fill="B8CCE4" w:themeFill="accent1" w:themeFillTint="66"/>
            <w:vAlign w:val="center"/>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Total - UPPCL</w:t>
            </w:r>
          </w:p>
        </w:tc>
        <w:tc>
          <w:tcPr>
            <w:tcW w:w="273"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Apr</w:t>
            </w:r>
          </w:p>
        </w:tc>
        <w:tc>
          <w:tcPr>
            <w:tcW w:w="327"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May</w:t>
            </w:r>
          </w:p>
        </w:tc>
        <w:tc>
          <w:tcPr>
            <w:tcW w:w="327"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Jun</w:t>
            </w:r>
          </w:p>
        </w:tc>
        <w:tc>
          <w:tcPr>
            <w:tcW w:w="328"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Jul</w:t>
            </w:r>
          </w:p>
        </w:tc>
        <w:tc>
          <w:tcPr>
            <w:tcW w:w="326" w:type="pct"/>
            <w:gridSpan w:val="4"/>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Aug</w:t>
            </w:r>
          </w:p>
        </w:tc>
        <w:tc>
          <w:tcPr>
            <w:tcW w:w="330"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Sep</w:t>
            </w:r>
          </w:p>
        </w:tc>
        <w:tc>
          <w:tcPr>
            <w:tcW w:w="345"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Oct</w:t>
            </w:r>
          </w:p>
        </w:tc>
        <w:tc>
          <w:tcPr>
            <w:tcW w:w="332" w:type="pct"/>
            <w:gridSpan w:val="3"/>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Nov</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Dec</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Jan</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Feb</w:t>
            </w:r>
          </w:p>
        </w:tc>
        <w:tc>
          <w:tcPr>
            <w:tcW w:w="332" w:type="pct"/>
            <w:gridSpan w:val="2"/>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Mar</w:t>
            </w:r>
          </w:p>
        </w:tc>
        <w:tc>
          <w:tcPr>
            <w:tcW w:w="285" w:type="pct"/>
            <w:shd w:val="clear" w:color="auto" w:fill="B8CCE4" w:themeFill="accent1" w:themeFillTint="66"/>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Calibri"/>
                <w:b/>
                <w:bCs/>
                <w:sz w:val="22"/>
                <w:szCs w:val="22"/>
                <w:lang w:val="en-IN" w:eastAsia="en-IN"/>
              </w:rPr>
              <w:t>Total</w:t>
            </w:r>
          </w:p>
        </w:tc>
      </w:tr>
      <w:tr w:rsidR="00D85259" w:rsidRPr="00942C19" w:rsidTr="006114D1">
        <w:trPr>
          <w:trHeight w:val="765"/>
        </w:trPr>
        <w:tc>
          <w:tcPr>
            <w:tcW w:w="798" w:type="pct"/>
            <w:shd w:val="clear" w:color="auto" w:fill="auto"/>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Allocation of Purchases  Energy (MU)</w:t>
            </w:r>
          </w:p>
        </w:tc>
        <w:tc>
          <w:tcPr>
            <w:tcW w:w="273"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7,380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8,111 </w:t>
            </w:r>
          </w:p>
        </w:tc>
        <w:tc>
          <w:tcPr>
            <w:tcW w:w="327"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8,086 </w:t>
            </w:r>
          </w:p>
        </w:tc>
        <w:tc>
          <w:tcPr>
            <w:tcW w:w="328"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8,097 </w:t>
            </w:r>
          </w:p>
        </w:tc>
        <w:tc>
          <w:tcPr>
            <w:tcW w:w="326" w:type="pct"/>
            <w:gridSpan w:val="4"/>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8,169 </w:t>
            </w:r>
          </w:p>
        </w:tc>
        <w:tc>
          <w:tcPr>
            <w:tcW w:w="330"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6,844 </w:t>
            </w:r>
          </w:p>
        </w:tc>
        <w:tc>
          <w:tcPr>
            <w:tcW w:w="345"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6,807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6,078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6,320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6,455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5,675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6,610 </w:t>
            </w: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84,632 </w:t>
            </w:r>
          </w:p>
        </w:tc>
      </w:tr>
      <w:tr w:rsidR="00D85259" w:rsidRPr="00942C19" w:rsidTr="006114D1">
        <w:trPr>
          <w:trHeight w:val="765"/>
        </w:trPr>
        <w:tc>
          <w:tcPr>
            <w:tcW w:w="798" w:type="pct"/>
            <w:shd w:val="clear" w:color="auto" w:fill="auto"/>
            <w:vAlign w:val="center"/>
            <w:hideMark/>
          </w:tcPr>
          <w:p w:rsidR="00D85259" w:rsidRPr="00942C19" w:rsidRDefault="00D85259" w:rsidP="006114D1">
            <w:pPr>
              <w:spacing w:before="0" w:line="240" w:lineRule="auto"/>
              <w:jc w:val="left"/>
              <w:rPr>
                <w:rFonts w:cs="Calibri"/>
                <w:sz w:val="22"/>
                <w:szCs w:val="22"/>
                <w:lang w:val="en-IN" w:eastAsia="en-IN"/>
              </w:rPr>
            </w:pPr>
            <w:r w:rsidRPr="00942C19">
              <w:rPr>
                <w:rFonts w:cs="Calibri"/>
                <w:sz w:val="22"/>
                <w:szCs w:val="22"/>
                <w:lang w:val="en-IN" w:eastAsia="en-IN"/>
              </w:rPr>
              <w:t>Approved average power (Rs/kWh)</w:t>
            </w:r>
          </w:p>
        </w:tc>
        <w:tc>
          <w:tcPr>
            <w:tcW w:w="273"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26" w:type="pct"/>
            <w:gridSpan w:val="4"/>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0"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45"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85259" w:rsidRPr="00942C19" w:rsidRDefault="00D85259" w:rsidP="006114D1">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85259" w:rsidRPr="00942C19" w:rsidRDefault="00D85259" w:rsidP="006114D1">
            <w:pPr>
              <w:spacing w:before="0" w:line="240" w:lineRule="auto"/>
              <w:jc w:val="center"/>
              <w:rPr>
                <w:rFonts w:cs="Calibri"/>
                <w:sz w:val="22"/>
                <w:szCs w:val="22"/>
                <w:lang w:val="en-IN" w:eastAsia="en-IN"/>
              </w:rPr>
            </w:pPr>
            <w:r w:rsidRPr="00942C19">
              <w:rPr>
                <w:rFonts w:cs="Arial"/>
                <w:sz w:val="22"/>
                <w:szCs w:val="22"/>
              </w:rPr>
              <w:t xml:space="preserve">3.56 </w:t>
            </w:r>
          </w:p>
        </w:tc>
      </w:tr>
      <w:tr w:rsidR="00D85259" w:rsidRPr="00942C19" w:rsidTr="006114D1">
        <w:trPr>
          <w:trHeight w:val="765"/>
        </w:trPr>
        <w:tc>
          <w:tcPr>
            <w:tcW w:w="798" w:type="pct"/>
            <w:shd w:val="clear" w:color="auto" w:fill="auto"/>
            <w:hideMark/>
          </w:tcPr>
          <w:p w:rsidR="00D85259" w:rsidRPr="00942C19" w:rsidRDefault="00D85259" w:rsidP="006114D1">
            <w:pPr>
              <w:spacing w:before="0" w:line="240" w:lineRule="auto"/>
              <w:jc w:val="left"/>
              <w:rPr>
                <w:rFonts w:cs="Calibri"/>
                <w:b/>
                <w:bCs/>
                <w:sz w:val="22"/>
                <w:szCs w:val="22"/>
                <w:lang w:val="en-IN" w:eastAsia="en-IN"/>
              </w:rPr>
            </w:pPr>
            <w:r w:rsidRPr="00942C19">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2,631 </w:t>
            </w:r>
          </w:p>
        </w:tc>
        <w:tc>
          <w:tcPr>
            <w:tcW w:w="327"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2,892 </w:t>
            </w:r>
          </w:p>
        </w:tc>
        <w:tc>
          <w:tcPr>
            <w:tcW w:w="327"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2,883 </w:t>
            </w:r>
          </w:p>
        </w:tc>
        <w:tc>
          <w:tcPr>
            <w:tcW w:w="328"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2,886 </w:t>
            </w:r>
          </w:p>
        </w:tc>
        <w:tc>
          <w:tcPr>
            <w:tcW w:w="326" w:type="pct"/>
            <w:gridSpan w:val="4"/>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2,912 </w:t>
            </w:r>
          </w:p>
        </w:tc>
        <w:tc>
          <w:tcPr>
            <w:tcW w:w="330"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2,440 </w:t>
            </w:r>
          </w:p>
        </w:tc>
        <w:tc>
          <w:tcPr>
            <w:tcW w:w="345"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2,426 </w:t>
            </w:r>
          </w:p>
        </w:tc>
        <w:tc>
          <w:tcPr>
            <w:tcW w:w="332" w:type="pct"/>
            <w:gridSpan w:val="3"/>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2,167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2,253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2,301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2,023 </w:t>
            </w:r>
          </w:p>
        </w:tc>
        <w:tc>
          <w:tcPr>
            <w:tcW w:w="332" w:type="pct"/>
            <w:gridSpan w:val="2"/>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2,356 </w:t>
            </w:r>
          </w:p>
        </w:tc>
        <w:tc>
          <w:tcPr>
            <w:tcW w:w="285" w:type="pct"/>
            <w:shd w:val="clear" w:color="auto" w:fill="auto"/>
            <w:vAlign w:val="center"/>
            <w:hideMark/>
          </w:tcPr>
          <w:p w:rsidR="00D85259" w:rsidRPr="00942C19" w:rsidRDefault="00D85259" w:rsidP="006114D1">
            <w:pPr>
              <w:spacing w:before="0" w:line="240" w:lineRule="auto"/>
              <w:jc w:val="center"/>
              <w:rPr>
                <w:rFonts w:cs="Calibri"/>
                <w:b/>
                <w:bCs/>
                <w:sz w:val="22"/>
                <w:szCs w:val="22"/>
                <w:lang w:val="en-IN" w:eastAsia="en-IN"/>
              </w:rPr>
            </w:pPr>
            <w:r w:rsidRPr="00942C19">
              <w:rPr>
                <w:rFonts w:cs="Arial"/>
                <w:b/>
                <w:bCs/>
                <w:sz w:val="22"/>
                <w:szCs w:val="22"/>
              </w:rPr>
              <w:t xml:space="preserve">30,170 </w:t>
            </w:r>
          </w:p>
        </w:tc>
      </w:tr>
    </w:tbl>
    <w:p w:rsidR="00623D32" w:rsidRPr="00942C19" w:rsidRDefault="00623D32">
      <w:pPr>
        <w:spacing w:before="0" w:line="240" w:lineRule="auto"/>
        <w:jc w:val="left"/>
        <w:rPr>
          <w:iCs/>
          <w:lang w:val="en-US"/>
        </w:rPr>
      </w:pPr>
      <w:r w:rsidRPr="00942C19">
        <w:rPr>
          <w:iCs/>
          <w:lang w:val="en-US"/>
        </w:rPr>
        <w:br w:type="page"/>
      </w:r>
    </w:p>
    <w:p w:rsidR="00ED1F79" w:rsidRPr="00942C19" w:rsidRDefault="00623D32" w:rsidP="00623D32">
      <w:pPr>
        <w:pStyle w:val="Heading1"/>
        <w:numPr>
          <w:ilvl w:val="1"/>
          <w:numId w:val="1"/>
        </w:numPr>
        <w:spacing w:line="276" w:lineRule="auto"/>
        <w:rPr>
          <w:iCs/>
          <w:color w:val="auto"/>
        </w:rPr>
      </w:pPr>
      <w:bookmarkStart w:id="892" w:name="_Toc357714439"/>
      <w:r w:rsidRPr="00942C19">
        <w:rPr>
          <w:iCs/>
          <w:color w:val="auto"/>
        </w:rPr>
        <w:t>ACTION TAKEN REPORT ON THE DIRECTIONS ISSUED BY THE COMMISSION IN THE ARR / TARIFF ORDER FOR FY 2013-14</w:t>
      </w:r>
      <w:bookmarkEnd w:id="892"/>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6"/>
        <w:gridCol w:w="7230"/>
        <w:gridCol w:w="2552"/>
        <w:gridCol w:w="4020"/>
      </w:tblGrid>
      <w:tr w:rsidR="007E5E07" w:rsidRPr="00942C19" w:rsidTr="007E5E07">
        <w:trPr>
          <w:trHeight w:val="1340"/>
          <w:tblHeader/>
          <w:jc w:val="center"/>
        </w:trPr>
        <w:tc>
          <w:tcPr>
            <w:tcW w:w="279" w:type="pct"/>
            <w:shd w:val="clear" w:color="000000" w:fill="C5D9F1"/>
            <w:hideMark/>
          </w:tcPr>
          <w:p w:rsidR="007E5E07" w:rsidRPr="00942C19" w:rsidRDefault="007E5E07" w:rsidP="007E5E07">
            <w:pPr>
              <w:spacing w:before="60" w:after="60" w:line="240" w:lineRule="auto"/>
              <w:jc w:val="center"/>
              <w:rPr>
                <w:rFonts w:asciiTheme="minorHAnsi" w:hAnsiTheme="minorHAnsi" w:cstheme="minorHAnsi"/>
                <w:b/>
                <w:bCs/>
                <w:color w:val="000000"/>
                <w:lang w:val="en-US"/>
              </w:rPr>
            </w:pPr>
            <w:r w:rsidRPr="00942C19">
              <w:rPr>
                <w:rFonts w:asciiTheme="minorHAnsi" w:hAnsiTheme="minorHAnsi" w:cstheme="minorHAnsi"/>
                <w:b/>
                <w:bCs/>
                <w:color w:val="000000"/>
              </w:rPr>
              <w:t>S. No</w:t>
            </w:r>
          </w:p>
        </w:tc>
        <w:tc>
          <w:tcPr>
            <w:tcW w:w="2473" w:type="pct"/>
            <w:shd w:val="clear" w:color="000000" w:fill="C5D9F1"/>
            <w:hideMark/>
          </w:tcPr>
          <w:p w:rsidR="007E5E07" w:rsidRPr="00942C19" w:rsidRDefault="007E5E07" w:rsidP="007E5E07">
            <w:pPr>
              <w:spacing w:before="60" w:after="60" w:line="240" w:lineRule="auto"/>
              <w:rPr>
                <w:rFonts w:asciiTheme="minorHAnsi" w:hAnsiTheme="minorHAnsi" w:cstheme="minorHAnsi"/>
                <w:b/>
                <w:bCs/>
                <w:color w:val="000000"/>
                <w:lang w:val="en-US"/>
              </w:rPr>
            </w:pPr>
            <w:r w:rsidRPr="00942C19">
              <w:rPr>
                <w:rFonts w:asciiTheme="minorHAnsi" w:hAnsiTheme="minorHAnsi" w:cstheme="minorHAnsi"/>
                <w:b/>
                <w:bCs/>
                <w:color w:val="000000"/>
              </w:rPr>
              <w:t>Description of Directive</w:t>
            </w:r>
          </w:p>
        </w:tc>
        <w:tc>
          <w:tcPr>
            <w:tcW w:w="873" w:type="pct"/>
            <w:shd w:val="clear" w:color="000000" w:fill="C5D9F1"/>
            <w:hideMark/>
          </w:tcPr>
          <w:p w:rsidR="007E5E07" w:rsidRPr="00942C19" w:rsidRDefault="007E5E07" w:rsidP="007E5E07">
            <w:pPr>
              <w:spacing w:before="60" w:after="60" w:line="240" w:lineRule="auto"/>
              <w:rPr>
                <w:rFonts w:asciiTheme="minorHAnsi" w:hAnsiTheme="minorHAnsi" w:cstheme="minorHAnsi"/>
                <w:b/>
                <w:bCs/>
                <w:color w:val="000000"/>
                <w:lang w:val="en-US"/>
              </w:rPr>
            </w:pPr>
            <w:r w:rsidRPr="00942C19">
              <w:rPr>
                <w:rFonts w:asciiTheme="minorHAnsi" w:hAnsiTheme="minorHAnsi" w:cstheme="minorHAnsi"/>
                <w:b/>
                <w:bCs/>
                <w:color w:val="000000"/>
              </w:rPr>
              <w:t>Time Period for compliance from the date of issue of the Tariff Order</w:t>
            </w:r>
          </w:p>
        </w:tc>
        <w:tc>
          <w:tcPr>
            <w:tcW w:w="1375" w:type="pct"/>
            <w:shd w:val="clear" w:color="000000" w:fill="C5D9F1"/>
          </w:tcPr>
          <w:p w:rsidR="00A44CA7" w:rsidRPr="00942C19" w:rsidRDefault="007E5E07">
            <w:pPr>
              <w:spacing w:before="60" w:after="60" w:line="240" w:lineRule="auto"/>
              <w:jc w:val="center"/>
              <w:rPr>
                <w:rFonts w:asciiTheme="minorHAnsi" w:hAnsiTheme="minorHAnsi" w:cstheme="minorHAnsi"/>
                <w:b/>
                <w:bCs/>
                <w:color w:val="000000"/>
              </w:rPr>
            </w:pPr>
            <w:r w:rsidRPr="00942C19">
              <w:rPr>
                <w:rFonts w:asciiTheme="minorHAnsi" w:hAnsiTheme="minorHAnsi" w:cstheme="minorHAnsi"/>
                <w:b/>
                <w:bCs/>
                <w:color w:val="000000"/>
              </w:rPr>
              <w:t>Status of Compliance</w:t>
            </w:r>
          </w:p>
        </w:tc>
      </w:tr>
      <w:tr w:rsidR="007E5E07" w:rsidRPr="00942C19" w:rsidTr="007E5E07">
        <w:trPr>
          <w:trHeight w:val="557"/>
          <w:jc w:val="center"/>
        </w:trPr>
        <w:tc>
          <w:tcPr>
            <w:tcW w:w="279" w:type="pct"/>
            <w:shd w:val="clear" w:color="auto" w:fill="auto"/>
            <w:noWrap/>
            <w:hideMark/>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w:t>
            </w:r>
          </w:p>
        </w:tc>
        <w:tc>
          <w:tcPr>
            <w:tcW w:w="2473" w:type="pct"/>
            <w:shd w:val="clear" w:color="auto" w:fill="auto"/>
            <w:noWrap/>
            <w:hideMark/>
          </w:tcPr>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873" w:type="pct"/>
            <w:shd w:val="clear" w:color="auto" w:fill="auto"/>
            <w:noWrap/>
            <w:hideMark/>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Immediate</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7E5E07">
        <w:trPr>
          <w:trHeight w:val="55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rPr>
            </w:pPr>
            <w:r w:rsidRPr="00942C19">
              <w:rPr>
                <w:rFonts w:asciiTheme="minorHAnsi" w:hAnsiTheme="minorHAnsi" w:cstheme="minorHAnsi"/>
                <w:color w:val="000000"/>
              </w:rPr>
              <w:t>2</w:t>
            </w:r>
          </w:p>
        </w:tc>
        <w:tc>
          <w:tcPr>
            <w:tcW w:w="2473" w:type="pct"/>
            <w:shd w:val="clear" w:color="auto" w:fill="auto"/>
            <w:noWrap/>
          </w:tcPr>
          <w:p w:rsidR="007E5E07" w:rsidRPr="00942C19" w:rsidRDefault="007E5E07" w:rsidP="007E5E07">
            <w:pPr>
              <w:spacing w:before="60" w:after="60"/>
              <w:rPr>
                <w:rFonts w:asciiTheme="minorHAnsi" w:hAnsiTheme="minorHAnsi" w:cstheme="minorHAnsi"/>
                <w:color w:val="000000"/>
              </w:rPr>
            </w:pPr>
            <w:r w:rsidRPr="00942C19">
              <w:rPr>
                <w:rFonts w:asciiTheme="minorHAnsi" w:hAnsiTheme="minorHAnsi" w:cstheme="minorHAnsi"/>
              </w:rPr>
              <w:t xml:space="preserve">The Commission directs the Licensee to file its ARR / Tariff Petition for FY 2014-15 along with True up Petition for FY 2011-12 based on audited accounts. </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color w:val="000000"/>
              </w:rPr>
            </w:pPr>
            <w:r w:rsidRPr="00942C19">
              <w:rPr>
                <w:rFonts w:asciiTheme="minorHAnsi" w:hAnsiTheme="minorHAnsi"/>
                <w:lang w:val="en-US"/>
              </w:rPr>
              <w:t>By 30</w:t>
            </w:r>
            <w:r w:rsidRPr="00942C19">
              <w:rPr>
                <w:rFonts w:asciiTheme="minorHAnsi" w:hAnsiTheme="minorHAnsi"/>
                <w:vertAlign w:val="superscript"/>
                <w:lang w:val="en-US"/>
              </w:rPr>
              <w:t>th</w:t>
            </w:r>
            <w:r w:rsidRPr="00942C19">
              <w:rPr>
                <w:rFonts w:asciiTheme="minorHAnsi" w:hAnsiTheme="minorHAnsi"/>
                <w:lang w:val="en-US"/>
              </w:rPr>
              <w:t xml:space="preserve"> November, 2013</w:t>
            </w:r>
          </w:p>
        </w:tc>
        <w:tc>
          <w:tcPr>
            <w:tcW w:w="1375" w:type="pct"/>
          </w:tcPr>
          <w:p w:rsidR="007E5E07" w:rsidRPr="00942C19" w:rsidRDefault="007E5E07" w:rsidP="007E5E07">
            <w:pPr>
              <w:spacing w:before="60" w:after="60"/>
              <w:jc w:val="center"/>
              <w:rPr>
                <w:rFonts w:asciiTheme="minorHAnsi" w:hAnsiTheme="minorHAnsi"/>
                <w:lang w:val="en-US"/>
              </w:rPr>
            </w:pPr>
          </w:p>
        </w:tc>
      </w:tr>
      <w:tr w:rsidR="007E5E07" w:rsidRPr="00942C19" w:rsidTr="007E5E07">
        <w:trPr>
          <w:trHeight w:val="55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rPr>
            </w:pPr>
            <w:r w:rsidRPr="00942C19">
              <w:rPr>
                <w:rFonts w:asciiTheme="minorHAnsi" w:hAnsiTheme="minorHAnsi" w:cstheme="minorHAnsi"/>
                <w:color w:val="000000"/>
              </w:rPr>
              <w:t>3</w:t>
            </w:r>
          </w:p>
        </w:tc>
        <w:tc>
          <w:tcPr>
            <w:tcW w:w="2473" w:type="pct"/>
            <w:shd w:val="clear" w:color="auto" w:fill="auto"/>
            <w:noWrap/>
          </w:tcPr>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The Commission directs UPPTCL to submit the supplementary audit report of the AGUP for FY 2009-10 and 2010-11.</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Within 7 days of the date of its finalization by the AGUP</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A24A40">
        <w:trPr>
          <w:trHeight w:val="793"/>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lang w:val="en-US"/>
              </w:rPr>
              <w:t>4</w:t>
            </w:r>
          </w:p>
        </w:tc>
        <w:tc>
          <w:tcPr>
            <w:tcW w:w="2473" w:type="pct"/>
            <w:shd w:val="clear" w:color="auto" w:fill="auto"/>
            <w:noWrap/>
          </w:tcPr>
          <w:p w:rsidR="007E5E07" w:rsidRPr="00942C19" w:rsidRDefault="007E5E07" w:rsidP="007E5E07">
            <w:pPr>
              <w:spacing w:before="60" w:after="60"/>
              <w:rPr>
                <w:rFonts w:asciiTheme="minorHAnsi" w:hAnsiTheme="minorHAnsi" w:cstheme="minorHAnsi"/>
                <w:color w:val="000000"/>
              </w:rPr>
            </w:pPr>
            <w:r w:rsidRPr="00942C19">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color w:val="000000"/>
              </w:rPr>
            </w:pPr>
            <w:r w:rsidRPr="00942C19">
              <w:rPr>
                <w:rFonts w:asciiTheme="minorHAnsi" w:hAnsiTheme="minorHAnsi" w:cstheme="minorHAnsi"/>
                <w:color w:val="000000"/>
              </w:rPr>
              <w:t>Along with the petition for FY 2014-15</w:t>
            </w:r>
          </w:p>
        </w:tc>
        <w:tc>
          <w:tcPr>
            <w:tcW w:w="1375" w:type="pct"/>
          </w:tcPr>
          <w:p w:rsidR="007E5E07" w:rsidRPr="00942C19" w:rsidRDefault="007E5E07" w:rsidP="007E5E07">
            <w:pPr>
              <w:spacing w:before="60" w:after="60"/>
              <w:jc w:val="center"/>
              <w:rPr>
                <w:rFonts w:asciiTheme="minorHAnsi" w:hAnsiTheme="minorHAnsi" w:cstheme="minorHAnsi"/>
                <w:color w:val="000000"/>
              </w:rPr>
            </w:pPr>
          </w:p>
        </w:tc>
      </w:tr>
      <w:tr w:rsidR="007E5E07" w:rsidRPr="00942C19" w:rsidTr="007E5E07">
        <w:trPr>
          <w:trHeight w:val="55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lang w:val="en-US"/>
              </w:rPr>
              <w:t>5</w:t>
            </w:r>
          </w:p>
        </w:tc>
        <w:tc>
          <w:tcPr>
            <w:tcW w:w="2473" w:type="pct"/>
            <w:shd w:val="clear" w:color="auto" w:fill="auto"/>
            <w:noWrap/>
          </w:tcPr>
          <w:p w:rsidR="007E5E07" w:rsidRPr="00942C19" w:rsidRDefault="007E5E07" w:rsidP="007E5E07">
            <w:pPr>
              <w:spacing w:before="60" w:after="60"/>
              <w:rPr>
                <w:rFonts w:asciiTheme="minorHAnsi" w:hAnsiTheme="minorHAnsi" w:cstheme="minorHAnsi"/>
                <w:color w:val="000000"/>
              </w:rPr>
            </w:pPr>
            <w:r w:rsidRPr="00942C19">
              <w:rPr>
                <w:rFonts w:asciiTheme="minorHAnsi" w:hAnsiTheme="minorHAnsi" w:cstheme="minorHAnsi"/>
                <w:color w:val="000000"/>
              </w:rPr>
              <w:t xml:space="preserve">The Commission directs the Licensee to pressingly pursue the GoUP for finalisation of the </w:t>
            </w:r>
            <w:r w:rsidR="00A24A40" w:rsidRPr="00942C19">
              <w:rPr>
                <w:rFonts w:asciiTheme="minorHAnsi" w:hAnsiTheme="minorHAnsi" w:cstheme="minorHAnsi"/>
                <w:color w:val="000000"/>
              </w:rPr>
              <w:t>Transfer Scheme</w:t>
            </w:r>
            <w:r w:rsidRPr="00942C19">
              <w:rPr>
                <w:rFonts w:asciiTheme="minorHAnsi" w:hAnsiTheme="minorHAnsi" w:cstheme="minorHAnsi"/>
                <w:color w:val="000000"/>
              </w:rPr>
              <w:t xml:space="preserve"> and submit a copy of the same.</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lang w:val="en-US"/>
              </w:rPr>
            </w:pPr>
            <w:r w:rsidRPr="00942C19">
              <w:rPr>
                <w:rFonts w:asciiTheme="minorHAnsi" w:hAnsiTheme="minorHAnsi" w:cstheme="minorHAnsi"/>
                <w:color w:val="000000"/>
              </w:rPr>
              <w:t>Within 3 months</w:t>
            </w:r>
          </w:p>
        </w:tc>
        <w:tc>
          <w:tcPr>
            <w:tcW w:w="1375" w:type="pct"/>
          </w:tcPr>
          <w:p w:rsidR="007E5E07" w:rsidRPr="00942C19" w:rsidRDefault="007E5E07" w:rsidP="007E5E07">
            <w:pPr>
              <w:spacing w:before="60" w:after="60"/>
              <w:jc w:val="center"/>
              <w:rPr>
                <w:rFonts w:asciiTheme="minorHAnsi" w:hAnsiTheme="minorHAnsi" w:cstheme="minorHAnsi"/>
                <w:color w:val="000000"/>
              </w:rPr>
            </w:pPr>
          </w:p>
        </w:tc>
      </w:tr>
      <w:tr w:rsidR="007E5E07" w:rsidRPr="00942C19" w:rsidTr="007E5E07">
        <w:trPr>
          <w:trHeight w:val="55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rPr>
            </w:pPr>
            <w:r w:rsidRPr="00942C19">
              <w:rPr>
                <w:rFonts w:asciiTheme="minorHAnsi" w:hAnsiTheme="minorHAnsi" w:cstheme="minorHAnsi"/>
                <w:color w:val="000000"/>
              </w:rPr>
              <w:t>6</w:t>
            </w:r>
          </w:p>
        </w:tc>
        <w:tc>
          <w:tcPr>
            <w:tcW w:w="2473" w:type="pct"/>
            <w:shd w:val="clear" w:color="auto" w:fill="auto"/>
            <w:noWrap/>
          </w:tcPr>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 xml:space="preserve">The Commission reiterates its direction to the Licensee to ensure proper maintenance of detailed fixed assets registers as specified in the Distribution Tariff Regulations.  </w:t>
            </w:r>
          </w:p>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 xml:space="preserve">As the fixed asset registers are pending since the creation of Discom, the Commission directs the Licensee to submit a status report and provide the proposed timelines / milestones for clearing the backlog. </w:t>
            </w:r>
          </w:p>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 xml:space="preserve">The Commission understands that clearing the backlog would take substantive time. In order to ensure that fixed asset registers are timely and regularly prepared going forward, the Commission directs the Licensee to prepare the fixed asset registers duly accounting for the yearly capitalisations from FY 2012-13 onwards. The capitalisation for the period before that may be shown on gross level basis. This dispensation is merely to ensure that the proper asset registers capturing all necessary details of the asset, including the costs incurred, date of commissioning, location of asset, and all other technical details are maintained for the ensuing years. However, the Licensee would also be required to clear the backlog in a time bound manner. Upon finalisation of the </w:t>
            </w:r>
            <w:r w:rsidR="00A24A40" w:rsidRPr="00942C19">
              <w:rPr>
                <w:rFonts w:asciiTheme="minorHAnsi" w:hAnsiTheme="minorHAnsi" w:cstheme="minorHAnsi"/>
              </w:rPr>
              <w:t>Transfer Scheme</w:t>
            </w:r>
            <w:r w:rsidRPr="00942C19">
              <w:rPr>
                <w:rFonts w:asciiTheme="minorHAnsi" w:hAnsiTheme="minorHAnsi" w:cstheme="minorHAnsi"/>
              </w:rPr>
              <w:t xml:space="preserve"> and clearing of backlog, the Licensee may update the fixed asset registers appropriately by passing necessary adjustments. </w:t>
            </w:r>
          </w:p>
        </w:tc>
        <w:tc>
          <w:tcPr>
            <w:tcW w:w="873" w:type="pct"/>
            <w:shd w:val="clear" w:color="auto" w:fill="auto"/>
            <w:noWrap/>
          </w:tcPr>
          <w:p w:rsidR="007E5E07" w:rsidRPr="00942C19" w:rsidRDefault="007E5E07" w:rsidP="007E5E07">
            <w:pPr>
              <w:spacing w:before="60" w:after="60"/>
              <w:jc w:val="center"/>
              <w:rPr>
                <w:rFonts w:asciiTheme="minorHAnsi" w:hAnsiTheme="minorHAnsi"/>
                <w:lang w:val="en-US"/>
              </w:rPr>
            </w:pPr>
            <w:r w:rsidRPr="00942C19">
              <w:rPr>
                <w:rFonts w:asciiTheme="minorHAnsi" w:hAnsiTheme="minorHAnsi"/>
                <w:lang w:val="en-US"/>
              </w:rPr>
              <w:t>Immediate</w:t>
            </w:r>
          </w:p>
        </w:tc>
        <w:tc>
          <w:tcPr>
            <w:tcW w:w="1375" w:type="pct"/>
          </w:tcPr>
          <w:p w:rsidR="007E5E07" w:rsidRPr="00942C19" w:rsidRDefault="007E5E07" w:rsidP="007E5E07">
            <w:pPr>
              <w:spacing w:before="60" w:after="60"/>
              <w:jc w:val="center"/>
              <w:rPr>
                <w:rFonts w:asciiTheme="minorHAnsi" w:hAnsiTheme="minorHAnsi"/>
                <w:lang w:val="en-US"/>
              </w:rPr>
            </w:pPr>
          </w:p>
        </w:tc>
      </w:tr>
      <w:tr w:rsidR="007E5E07" w:rsidRPr="00942C19" w:rsidTr="007E5E07">
        <w:trPr>
          <w:trHeight w:val="55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rPr>
              <w:t>7</w:t>
            </w:r>
          </w:p>
        </w:tc>
        <w:tc>
          <w:tcPr>
            <w:tcW w:w="2473" w:type="pct"/>
            <w:shd w:val="clear" w:color="auto" w:fill="auto"/>
            <w:noWrap/>
          </w:tcPr>
          <w:p w:rsidR="007E5E07" w:rsidRPr="00942C19" w:rsidRDefault="007E5E07" w:rsidP="007E5E0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873" w:type="pct"/>
            <w:shd w:val="clear" w:color="auto" w:fill="auto"/>
            <w:noWrap/>
          </w:tcPr>
          <w:p w:rsidR="007E5E07" w:rsidRPr="00942C19" w:rsidRDefault="007E5E07" w:rsidP="007E5E07">
            <w:pPr>
              <w:spacing w:before="60" w:after="60"/>
              <w:jc w:val="center"/>
              <w:rPr>
                <w:rFonts w:asciiTheme="minorHAnsi" w:eastAsia="Arial Unicode MS" w:hAnsiTheme="minorHAnsi" w:cstheme="minorHAnsi"/>
                <w:b/>
                <w:bCs/>
                <w:color w:val="000000"/>
              </w:rPr>
            </w:pPr>
            <w:r w:rsidRPr="00942C19">
              <w:rPr>
                <w:rFonts w:asciiTheme="minorHAnsi" w:hAnsiTheme="minorHAnsi" w:cstheme="minorHAnsi"/>
                <w:color w:val="000000"/>
              </w:rPr>
              <w:t xml:space="preserve">Within 1 month </w:t>
            </w:r>
          </w:p>
        </w:tc>
        <w:tc>
          <w:tcPr>
            <w:tcW w:w="1375" w:type="pct"/>
          </w:tcPr>
          <w:p w:rsidR="007E5E07" w:rsidRPr="00942C19" w:rsidRDefault="007E5E07" w:rsidP="007E5E07">
            <w:pPr>
              <w:spacing w:before="60" w:after="60"/>
              <w:jc w:val="center"/>
              <w:rPr>
                <w:rFonts w:asciiTheme="minorHAnsi" w:hAnsiTheme="minorHAnsi" w:cstheme="minorHAnsi"/>
                <w:color w:val="000000"/>
              </w:rPr>
            </w:pPr>
          </w:p>
        </w:tc>
      </w:tr>
      <w:tr w:rsidR="007E5E07" w:rsidRPr="00942C19" w:rsidTr="007E5E07">
        <w:trPr>
          <w:trHeight w:val="593"/>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rPr>
              <w:t>8</w:t>
            </w:r>
          </w:p>
        </w:tc>
        <w:tc>
          <w:tcPr>
            <w:tcW w:w="2473" w:type="pct"/>
            <w:shd w:val="clear" w:color="auto" w:fill="auto"/>
            <w:noWrap/>
          </w:tcPr>
          <w:p w:rsidR="007E5E07" w:rsidRPr="00942C19" w:rsidRDefault="007E5E07" w:rsidP="007E5E0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frame an appropriate policy on capitalization of (i) employee costs, and (ii) A&amp;G expenses.</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lang w:val="en-US"/>
              </w:rPr>
            </w:pPr>
            <w:r w:rsidRPr="00942C19">
              <w:rPr>
                <w:rFonts w:asciiTheme="minorHAnsi" w:hAnsiTheme="minorHAnsi" w:cstheme="minorHAnsi"/>
              </w:rPr>
              <w:t>Along with the petition for FY 2014-15</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7E5E07">
        <w:trPr>
          <w:trHeight w:val="593"/>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lang w:val="en-US"/>
              </w:rPr>
            </w:pPr>
            <w:r w:rsidRPr="00942C19">
              <w:rPr>
                <w:rFonts w:asciiTheme="minorHAnsi" w:hAnsiTheme="minorHAnsi" w:cstheme="minorHAnsi"/>
                <w:color w:val="000000"/>
                <w:lang w:val="en-US"/>
              </w:rPr>
              <w:t>9</w:t>
            </w:r>
          </w:p>
        </w:tc>
        <w:tc>
          <w:tcPr>
            <w:tcW w:w="2473" w:type="pct"/>
            <w:shd w:val="clear" w:color="auto" w:fill="auto"/>
            <w:noWrap/>
          </w:tcPr>
          <w:p w:rsidR="007E5E07" w:rsidRPr="00942C19" w:rsidRDefault="007E5E07" w:rsidP="007E5E0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submit Fresh Actuarial Valuation Study Report in respect to employee expenses.</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lang w:val="en-US"/>
              </w:rPr>
            </w:pPr>
            <w:r w:rsidRPr="00942C19">
              <w:rPr>
                <w:rFonts w:asciiTheme="minorHAnsi" w:hAnsiTheme="minorHAnsi" w:cstheme="minorHAnsi"/>
              </w:rPr>
              <w:t>Along with the petition for FY 2014-15</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color w:val="000000"/>
              </w:rPr>
            </w:pPr>
            <w:r w:rsidRPr="00942C19">
              <w:rPr>
                <w:rFonts w:asciiTheme="minorHAnsi" w:hAnsiTheme="minorHAnsi" w:cstheme="minorHAnsi"/>
                <w:color w:val="000000"/>
              </w:rPr>
              <w:t>10</w:t>
            </w:r>
          </w:p>
        </w:tc>
        <w:tc>
          <w:tcPr>
            <w:tcW w:w="2473" w:type="pct"/>
            <w:shd w:val="clear" w:color="auto" w:fill="auto"/>
            <w:noWrap/>
          </w:tcPr>
          <w:p w:rsidR="007E5E07" w:rsidRPr="00942C19" w:rsidRDefault="007E5E07" w:rsidP="007E5E07">
            <w:pPr>
              <w:spacing w:before="60" w:after="60"/>
              <w:rPr>
                <w:rFonts w:asciiTheme="minorHAnsi" w:hAnsiTheme="minorHAnsi" w:cstheme="minorHAnsi"/>
                <w:color w:val="000000"/>
              </w:rPr>
            </w:pPr>
            <w:r w:rsidRPr="00942C19">
              <w:rPr>
                <w:rFonts w:asciiTheme="minorHAnsi" w:hAnsiTheme="minorHAnsi" w:cstheme="minorHAnsi"/>
                <w:color w:val="000000"/>
              </w:rPr>
              <w:t>The Commission directs the Licensee to submit statutory auditor certificate towards pay revision impacts which are uncontrollable in nature in FY 2008-09, 2009-10, 2010-11 and 2011-12.</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lang w:val="en-US"/>
              </w:rPr>
            </w:pPr>
            <w:r w:rsidRPr="00942C19">
              <w:rPr>
                <w:rFonts w:asciiTheme="minorHAnsi" w:hAnsiTheme="minorHAnsi" w:cstheme="minorHAnsi"/>
              </w:rPr>
              <w:t xml:space="preserve">Within 1 month </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7E5E07">
        <w:trPr>
          <w:trHeight w:val="28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11</w:t>
            </w:r>
          </w:p>
        </w:tc>
        <w:tc>
          <w:tcPr>
            <w:tcW w:w="2473" w:type="pct"/>
            <w:shd w:val="clear" w:color="auto" w:fill="auto"/>
            <w:noWrap/>
            <w:hideMark/>
          </w:tcPr>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 xml:space="preserve">As lack of approved transparent policy on identifying and writing off bad debts is hindering allowance of bad debts as an ARR component; the Commission directs the Licensee to submit ten sample cases of LT &amp; HT consumers where orders have been issued for writing off bad debts, clearly depicting the procedure adopted for writing off bad debts along with policy framework for managing bad debts for the Commission’s perusal. </w:t>
            </w:r>
          </w:p>
        </w:tc>
        <w:tc>
          <w:tcPr>
            <w:tcW w:w="873" w:type="pct"/>
            <w:shd w:val="clear" w:color="auto" w:fill="auto"/>
            <w:noWrap/>
            <w:hideMark/>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Within 1 month</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12</w:t>
            </w:r>
          </w:p>
        </w:tc>
        <w:tc>
          <w:tcPr>
            <w:tcW w:w="2473" w:type="pct"/>
            <w:shd w:val="clear" w:color="auto" w:fill="auto"/>
            <w:noWrap/>
            <w:hideMark/>
          </w:tcPr>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The Commission directs the Licensee to evolve principles for prudent segregation of ARR towards wheeling function and retail supply function embedded in the distribution function in accordance with Clause 2.1.2 of the Distribution Tariff Regulations.</w:t>
            </w:r>
          </w:p>
        </w:tc>
        <w:tc>
          <w:tcPr>
            <w:tcW w:w="873" w:type="pct"/>
            <w:shd w:val="clear" w:color="auto" w:fill="auto"/>
            <w:noWrap/>
            <w:hideMark/>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Within 4 months</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7E5E07">
        <w:trPr>
          <w:trHeight w:val="1583"/>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13</w:t>
            </w:r>
          </w:p>
        </w:tc>
        <w:tc>
          <w:tcPr>
            <w:tcW w:w="2473" w:type="pct"/>
            <w:shd w:val="clear" w:color="auto" w:fill="auto"/>
            <w:noWrap/>
          </w:tcPr>
          <w:p w:rsidR="007E5E07" w:rsidRPr="00942C19" w:rsidRDefault="007E5E07" w:rsidP="007E5E0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The Commission directs the Licensee to submit a long term business plan in accordance with Clause 2.1.7 of the Distribution Tariff Regulations.</w:t>
            </w:r>
          </w:p>
          <w:p w:rsidR="007E5E07" w:rsidRPr="00942C19" w:rsidRDefault="007E5E07" w:rsidP="007E5E07">
            <w:pPr>
              <w:autoSpaceDE w:val="0"/>
              <w:autoSpaceDN w:val="0"/>
              <w:adjustRightInd w:val="0"/>
              <w:spacing w:before="60" w:after="60"/>
              <w:rPr>
                <w:rFonts w:asciiTheme="minorHAnsi" w:hAnsiTheme="minorHAnsi" w:cstheme="minorHAnsi"/>
              </w:rPr>
            </w:pPr>
            <w:r w:rsidRPr="00942C19">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873" w:type="pct"/>
            <w:shd w:val="clear" w:color="auto" w:fill="auto"/>
            <w:noWrap/>
          </w:tcPr>
          <w:p w:rsidR="007E5E07" w:rsidRPr="00942C19" w:rsidRDefault="007E5E07" w:rsidP="007E5E07">
            <w:pPr>
              <w:spacing w:before="60" w:after="60"/>
              <w:jc w:val="center"/>
              <w:rPr>
                <w:rFonts w:asciiTheme="minorHAnsi" w:hAnsiTheme="minorHAnsi"/>
                <w:lang w:val="en-US"/>
              </w:rPr>
            </w:pPr>
            <w:r w:rsidRPr="00942C19">
              <w:rPr>
                <w:rFonts w:asciiTheme="minorHAnsi" w:hAnsiTheme="minorHAnsi"/>
                <w:lang w:val="en-US"/>
              </w:rPr>
              <w:t>Within 3 months</w:t>
            </w:r>
          </w:p>
        </w:tc>
        <w:tc>
          <w:tcPr>
            <w:tcW w:w="1375" w:type="pct"/>
          </w:tcPr>
          <w:p w:rsidR="007E5E07" w:rsidRPr="00942C19" w:rsidRDefault="007E5E07" w:rsidP="007E5E07">
            <w:pPr>
              <w:spacing w:before="60" w:after="60"/>
              <w:jc w:val="center"/>
              <w:rPr>
                <w:rFonts w:asciiTheme="minorHAnsi" w:hAnsiTheme="minorHAnsi"/>
                <w:lang w:val="en-US"/>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14</w:t>
            </w:r>
          </w:p>
        </w:tc>
        <w:tc>
          <w:tcPr>
            <w:tcW w:w="2473" w:type="pct"/>
            <w:shd w:val="clear" w:color="auto" w:fill="auto"/>
            <w:noWrap/>
          </w:tcPr>
          <w:p w:rsidR="007E5E07" w:rsidRPr="00942C19" w:rsidRDefault="007E5E07" w:rsidP="007E5E0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The Commission directs the Licensee to conduct benchmarking studies to determine the desired performance standards in accordance with Clause 2.1.8 of the Distribution Tariff Regulations.</w:t>
            </w:r>
          </w:p>
        </w:tc>
        <w:tc>
          <w:tcPr>
            <w:tcW w:w="873" w:type="pct"/>
            <w:shd w:val="clear" w:color="auto" w:fill="auto"/>
            <w:noWrap/>
          </w:tcPr>
          <w:p w:rsidR="007E5E07" w:rsidRPr="00942C19" w:rsidRDefault="007E5E07" w:rsidP="007E5E07">
            <w:pPr>
              <w:spacing w:before="60" w:after="60"/>
              <w:jc w:val="center"/>
              <w:rPr>
                <w:rFonts w:asciiTheme="minorHAnsi" w:hAnsiTheme="minorHAnsi"/>
                <w:lang w:val="en-US"/>
              </w:rPr>
            </w:pPr>
            <w:r w:rsidRPr="00942C19">
              <w:rPr>
                <w:rFonts w:asciiTheme="minorHAnsi" w:hAnsiTheme="minorHAnsi"/>
                <w:lang w:val="en-US"/>
              </w:rPr>
              <w:t>Within 3 months</w:t>
            </w:r>
          </w:p>
        </w:tc>
        <w:tc>
          <w:tcPr>
            <w:tcW w:w="1375" w:type="pct"/>
          </w:tcPr>
          <w:p w:rsidR="007E5E07" w:rsidRPr="00942C19" w:rsidRDefault="007E5E07" w:rsidP="007E5E07">
            <w:pPr>
              <w:spacing w:before="60" w:after="60"/>
              <w:jc w:val="center"/>
              <w:rPr>
                <w:rFonts w:asciiTheme="minorHAnsi" w:hAnsiTheme="minorHAnsi"/>
                <w:lang w:val="en-US"/>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15</w:t>
            </w:r>
          </w:p>
        </w:tc>
        <w:tc>
          <w:tcPr>
            <w:tcW w:w="2473" w:type="pct"/>
            <w:shd w:val="clear" w:color="auto" w:fill="auto"/>
            <w:noWrap/>
          </w:tcPr>
          <w:p w:rsidR="007E5E07" w:rsidRPr="00942C19" w:rsidRDefault="007E5E07" w:rsidP="007E5E0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 xml:space="preserve">The Commission directs the Licensee to conduct proper loss estimate studies for </w:t>
            </w:r>
            <w:r w:rsidRPr="00942C19">
              <w:rPr>
                <w:rFonts w:asciiTheme="minorHAnsi" w:hAnsiTheme="minorHAnsi" w:cs="Tahoma"/>
              </w:rPr>
              <w:t>assessment of technical and commercial losses</w:t>
            </w:r>
            <w:r w:rsidRPr="00942C19">
              <w:rPr>
                <w:rFonts w:asciiTheme="minorHAnsi" w:eastAsiaTheme="minorHAnsi" w:hAnsiTheme="minorHAnsi" w:cs="Tahoma"/>
                <w:lang w:val="en-IN"/>
              </w:rPr>
              <w:t xml:space="preserve"> under its supervision so that the Commission may set the base line losses in accordance with Clause 3.2.3 and Clause 3.2.4 of the Distribution Tariff Regulations and submit the report to the Commission.</w:t>
            </w:r>
          </w:p>
          <w:p w:rsidR="007E5E07" w:rsidRPr="00942C19" w:rsidRDefault="007E5E07" w:rsidP="007E5E07">
            <w:pPr>
              <w:autoSpaceDE w:val="0"/>
              <w:autoSpaceDN w:val="0"/>
              <w:adjustRightInd w:val="0"/>
              <w:spacing w:before="60" w:after="60"/>
              <w:rPr>
                <w:rFonts w:asciiTheme="minorHAnsi" w:eastAsiaTheme="minorHAnsi" w:hAnsiTheme="minorHAnsi" w:cs="Tahoma"/>
                <w:lang w:val="en-IN"/>
              </w:rPr>
            </w:pPr>
            <w:r w:rsidRPr="00942C19">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873" w:type="pct"/>
            <w:shd w:val="clear" w:color="auto" w:fill="auto"/>
            <w:noWrap/>
          </w:tcPr>
          <w:p w:rsidR="007E5E07" w:rsidRPr="00942C19" w:rsidRDefault="007E5E07" w:rsidP="007E5E07">
            <w:pPr>
              <w:spacing w:before="60" w:after="60"/>
              <w:jc w:val="center"/>
              <w:rPr>
                <w:rFonts w:asciiTheme="minorHAnsi" w:hAnsiTheme="minorHAnsi"/>
                <w:lang w:val="en-US"/>
              </w:rPr>
            </w:pPr>
            <w:r w:rsidRPr="00942C19">
              <w:rPr>
                <w:rFonts w:asciiTheme="minorHAnsi" w:hAnsiTheme="minorHAnsi"/>
                <w:lang w:val="en-US"/>
              </w:rPr>
              <w:t>Within 3 months</w:t>
            </w:r>
          </w:p>
        </w:tc>
        <w:tc>
          <w:tcPr>
            <w:tcW w:w="1375" w:type="pct"/>
          </w:tcPr>
          <w:p w:rsidR="007E5E07" w:rsidRPr="00942C19" w:rsidRDefault="007E5E07" w:rsidP="007E5E07">
            <w:pPr>
              <w:spacing w:before="60" w:after="60"/>
              <w:jc w:val="center"/>
              <w:rPr>
                <w:rFonts w:asciiTheme="minorHAnsi" w:hAnsiTheme="minorHAnsi"/>
                <w:lang w:val="en-US"/>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16</w:t>
            </w:r>
          </w:p>
        </w:tc>
        <w:tc>
          <w:tcPr>
            <w:tcW w:w="2473" w:type="pct"/>
            <w:shd w:val="clear" w:color="auto" w:fill="auto"/>
            <w:noWrap/>
          </w:tcPr>
          <w:p w:rsidR="007E5E07" w:rsidRPr="00942C19" w:rsidRDefault="007E5E07" w:rsidP="007E5E07">
            <w:pPr>
              <w:autoSpaceDE w:val="0"/>
              <w:autoSpaceDN w:val="0"/>
              <w:adjustRightInd w:val="0"/>
              <w:spacing w:before="60" w:after="60"/>
              <w:rPr>
                <w:rFonts w:asciiTheme="minorHAnsi" w:eastAsiaTheme="minorHAnsi" w:hAnsiTheme="minorHAnsi" w:cs="Tahoma"/>
                <w:lang w:val="en-IN"/>
              </w:rPr>
            </w:pPr>
            <w:r w:rsidRPr="00942C19">
              <w:rPr>
                <w:rFonts w:asciiTheme="minorHAnsi" w:eastAsiaTheme="minorHAnsi" w:hAnsiTheme="minorHAnsi" w:cs="Tahoma"/>
                <w:lang w:val="en-IN"/>
              </w:rPr>
              <w:t>The Commission directs the Licensee to submit completion report in respect of all capital projects which have achieved the Commercial Operation Date during FY 2011-12 in accordance with Clause 4.5.7 of the Distribution Tariff Regulations.</w:t>
            </w:r>
          </w:p>
        </w:tc>
        <w:tc>
          <w:tcPr>
            <w:tcW w:w="873" w:type="pct"/>
            <w:shd w:val="clear" w:color="auto" w:fill="auto"/>
            <w:noWrap/>
          </w:tcPr>
          <w:p w:rsidR="007E5E07" w:rsidRPr="00942C19" w:rsidRDefault="007E5E07" w:rsidP="007E5E07">
            <w:pPr>
              <w:spacing w:before="60" w:after="60"/>
              <w:jc w:val="center"/>
              <w:rPr>
                <w:rFonts w:asciiTheme="minorHAnsi" w:hAnsiTheme="minorHAnsi"/>
                <w:lang w:val="en-US"/>
              </w:rPr>
            </w:pPr>
            <w:r w:rsidRPr="00942C19">
              <w:rPr>
                <w:rFonts w:asciiTheme="minorHAnsi" w:hAnsiTheme="minorHAnsi"/>
                <w:lang w:val="en-US"/>
              </w:rPr>
              <w:t>Along with the true up petition for FY 2011-12</w:t>
            </w:r>
          </w:p>
        </w:tc>
        <w:tc>
          <w:tcPr>
            <w:tcW w:w="1375" w:type="pct"/>
          </w:tcPr>
          <w:p w:rsidR="007E5E07" w:rsidRPr="00942C19" w:rsidRDefault="007E5E07" w:rsidP="007E5E07">
            <w:pPr>
              <w:spacing w:before="60" w:after="60"/>
              <w:jc w:val="center"/>
              <w:rPr>
                <w:rFonts w:asciiTheme="minorHAnsi" w:hAnsiTheme="minorHAnsi"/>
                <w:lang w:val="en-US"/>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17</w:t>
            </w:r>
          </w:p>
        </w:tc>
        <w:tc>
          <w:tcPr>
            <w:tcW w:w="2473" w:type="pct"/>
            <w:shd w:val="clear" w:color="auto" w:fill="auto"/>
            <w:noWrap/>
          </w:tcPr>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The Commission directs the Licensee to conduct Cost of Service studies which would serve as a tool for alignment of costs and charges and submit details regarding the cost of service studies for each category or voltage level.</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Within 6 months</w:t>
            </w:r>
          </w:p>
        </w:tc>
        <w:tc>
          <w:tcPr>
            <w:tcW w:w="1375" w:type="pct"/>
          </w:tcPr>
          <w:p w:rsidR="007E5E07" w:rsidRPr="00942C19" w:rsidRDefault="007E5E07" w:rsidP="007E5E07">
            <w:pPr>
              <w:spacing w:before="60" w:after="60"/>
              <w:jc w:val="center"/>
              <w:rPr>
                <w:rFonts w:asciiTheme="minorHAnsi" w:hAnsiTheme="minorHAnsi" w:cstheme="minorHAnsi"/>
              </w:rPr>
            </w:pPr>
          </w:p>
        </w:tc>
      </w:tr>
      <w:tr w:rsidR="00974DC9" w:rsidRPr="00942C19" w:rsidTr="00974DC9">
        <w:trPr>
          <w:trHeight w:val="496"/>
          <w:jc w:val="center"/>
        </w:trPr>
        <w:tc>
          <w:tcPr>
            <w:tcW w:w="279" w:type="pct"/>
            <w:shd w:val="clear" w:color="auto" w:fill="auto"/>
            <w:noWrap/>
          </w:tcPr>
          <w:p w:rsidR="00974DC9" w:rsidRPr="00942C19" w:rsidRDefault="00974DC9" w:rsidP="007E5E07">
            <w:pPr>
              <w:spacing w:before="60" w:after="60"/>
              <w:jc w:val="center"/>
              <w:rPr>
                <w:rFonts w:asciiTheme="minorHAnsi" w:hAnsiTheme="minorHAnsi" w:cstheme="minorHAnsi"/>
              </w:rPr>
            </w:pPr>
            <w:r w:rsidRPr="00942C19">
              <w:rPr>
                <w:rFonts w:asciiTheme="minorHAnsi" w:hAnsiTheme="minorHAnsi" w:cstheme="minorHAnsi"/>
              </w:rPr>
              <w:t>18</w:t>
            </w:r>
          </w:p>
        </w:tc>
        <w:tc>
          <w:tcPr>
            <w:tcW w:w="2473" w:type="pct"/>
            <w:shd w:val="clear" w:color="auto" w:fill="auto"/>
            <w:noWrap/>
          </w:tcPr>
          <w:p w:rsidR="00974DC9" w:rsidRPr="00204E8C" w:rsidRDefault="00974DC9" w:rsidP="00974DC9">
            <w:pPr>
              <w:spacing w:before="60" w:after="60"/>
              <w:rPr>
                <w:rFonts w:asciiTheme="minorHAnsi" w:hAnsiTheme="minorHAnsi" w:cstheme="minorHAnsi"/>
              </w:rPr>
            </w:pPr>
            <w:r w:rsidRPr="00204E8C">
              <w:rPr>
                <w:rFonts w:asciiTheme="minorHAnsi" w:hAnsiTheme="minorHAnsi" w:cstheme="minorHAnsi"/>
              </w:rPr>
              <w:t xml:space="preserve">Commission directs the Licensee to submit a road map for 100% metering in its licensed area. However, based on the ground realities, </w:t>
            </w:r>
            <w:r w:rsidRPr="00204E8C">
              <w:rPr>
                <w:rFonts w:asciiTheme="minorHAnsi" w:hAnsiTheme="minorHAnsi" w:cs="Tahoma"/>
              </w:rPr>
              <w:t xml:space="preserve">if the Distribution Licensee seeks exemption towards its metering obligation for any particular category of consumers, it must provide the Commission revised norms specific for </w:t>
            </w:r>
            <w:r>
              <w:rPr>
                <w:rFonts w:asciiTheme="minorHAnsi" w:hAnsiTheme="minorHAnsi" w:cs="Tahoma"/>
              </w:rPr>
              <w:t>its supply area</w:t>
            </w:r>
            <w:r w:rsidRPr="00204E8C">
              <w:rPr>
                <w:rFonts w:asciiTheme="minorHAnsi" w:hAnsiTheme="minorHAnsi" w:cs="Tahoma"/>
              </w:rPr>
              <w:t>, based on fresh studies, for assessment of consumption for these categories. Sales forecast for un-metered categories shall be validated with norms approved by the Commission on the basis of above study carried out by the Licensee.</w:t>
            </w:r>
          </w:p>
        </w:tc>
        <w:tc>
          <w:tcPr>
            <w:tcW w:w="873" w:type="pct"/>
            <w:shd w:val="clear" w:color="auto" w:fill="auto"/>
            <w:noWrap/>
          </w:tcPr>
          <w:p w:rsidR="00974DC9" w:rsidRPr="00942C19" w:rsidRDefault="00974DC9" w:rsidP="007E5E07">
            <w:pPr>
              <w:spacing w:before="60" w:after="60"/>
              <w:jc w:val="center"/>
              <w:rPr>
                <w:rFonts w:asciiTheme="minorHAnsi" w:hAnsiTheme="minorHAnsi" w:cstheme="minorHAnsi"/>
              </w:rPr>
            </w:pPr>
            <w:r w:rsidRPr="00942C19">
              <w:rPr>
                <w:rFonts w:asciiTheme="minorHAnsi" w:hAnsiTheme="minorHAnsi" w:cstheme="minorHAnsi"/>
              </w:rPr>
              <w:t>Within 2 months</w:t>
            </w:r>
          </w:p>
        </w:tc>
        <w:tc>
          <w:tcPr>
            <w:tcW w:w="1375" w:type="pct"/>
          </w:tcPr>
          <w:p w:rsidR="00974DC9" w:rsidRPr="00942C19" w:rsidRDefault="00974DC9" w:rsidP="007E5E07">
            <w:pPr>
              <w:spacing w:before="60" w:after="60"/>
              <w:jc w:val="center"/>
              <w:rPr>
                <w:rFonts w:asciiTheme="minorHAnsi" w:hAnsiTheme="minorHAnsi" w:cstheme="minorHAnsi"/>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19</w:t>
            </w:r>
          </w:p>
        </w:tc>
        <w:tc>
          <w:tcPr>
            <w:tcW w:w="2473" w:type="pct"/>
            <w:shd w:val="clear" w:color="auto" w:fill="auto"/>
            <w:noWrap/>
          </w:tcPr>
          <w:p w:rsidR="007E5E07" w:rsidRPr="00942C19" w:rsidRDefault="007E5E07" w:rsidP="007E5E07">
            <w:pPr>
              <w:spacing w:before="60" w:after="60"/>
              <w:rPr>
                <w:rFonts w:asciiTheme="minorHAnsi" w:hAnsiTheme="minorHAnsi" w:cstheme="minorHAnsi"/>
              </w:rPr>
            </w:pPr>
            <w:r w:rsidRPr="00942C19">
              <w:rPr>
                <w:rFonts w:asciiTheme="minorHAnsi" w:hAnsiTheme="minorHAnsi" w:cstheme="minorHAnsi"/>
              </w:rPr>
              <w:t>The Commission directs the Licensee to install electronic meters in the residential consumers under LMV-10 category and submit a progress report every month.</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 xml:space="preserve">Within one month </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E5E07" w:rsidRPr="00942C19" w:rsidTr="007E5E07">
        <w:trPr>
          <w:trHeight w:val="647"/>
          <w:jc w:val="center"/>
        </w:trPr>
        <w:tc>
          <w:tcPr>
            <w:tcW w:w="279"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20</w:t>
            </w:r>
          </w:p>
        </w:tc>
        <w:tc>
          <w:tcPr>
            <w:tcW w:w="2473" w:type="pct"/>
            <w:shd w:val="clear" w:color="auto" w:fill="auto"/>
            <w:noWrap/>
          </w:tcPr>
          <w:p w:rsidR="007E5E07" w:rsidRPr="00942C19" w:rsidRDefault="007E5E07" w:rsidP="007E5E07">
            <w:pPr>
              <w:autoSpaceDE w:val="0"/>
              <w:autoSpaceDN w:val="0"/>
              <w:adjustRightInd w:val="0"/>
              <w:spacing w:before="60" w:after="60"/>
              <w:rPr>
                <w:rFonts w:asciiTheme="minorHAnsi" w:hAnsiTheme="minorHAnsi" w:cstheme="minorHAnsi"/>
              </w:rPr>
            </w:pPr>
            <w:r w:rsidRPr="00942C19">
              <w:rPr>
                <w:rFonts w:asciiTheme="minorHAnsi" w:hAnsiTheme="minorHAnsi" w:cs="Tahoma"/>
                <w:lang w:val="en-IN"/>
              </w:rPr>
              <w:t xml:space="preserve">The Commission directs the Licensee to submit data related to its peak demand and off peak demand in MW along with its sales projections in accordance with </w:t>
            </w:r>
            <w:r w:rsidR="00A24A40" w:rsidRPr="00942C19">
              <w:rPr>
                <w:rFonts w:asciiTheme="minorHAnsi" w:hAnsiTheme="minorHAnsi" w:cs="Tahoma"/>
                <w:lang w:val="en-IN"/>
              </w:rPr>
              <w:t xml:space="preserve">Clause </w:t>
            </w:r>
            <w:r w:rsidRPr="00942C19">
              <w:rPr>
                <w:rFonts w:asciiTheme="minorHAnsi" w:hAnsiTheme="minorHAnsi" w:cs="Tahoma"/>
                <w:lang w:val="en-IN"/>
              </w:rPr>
              <w:t>3.1.4 of the Distribution Tariff Regulations.</w:t>
            </w:r>
          </w:p>
        </w:tc>
        <w:tc>
          <w:tcPr>
            <w:tcW w:w="873" w:type="pct"/>
            <w:shd w:val="clear" w:color="auto" w:fill="auto"/>
            <w:noWrap/>
          </w:tcPr>
          <w:p w:rsidR="007E5E07" w:rsidRPr="00942C19" w:rsidRDefault="007E5E07" w:rsidP="007E5E07">
            <w:pPr>
              <w:spacing w:before="60" w:after="60"/>
              <w:jc w:val="center"/>
              <w:rPr>
                <w:rFonts w:asciiTheme="minorHAnsi" w:hAnsiTheme="minorHAnsi" w:cstheme="minorHAnsi"/>
              </w:rPr>
            </w:pPr>
            <w:r w:rsidRPr="00942C19">
              <w:rPr>
                <w:rFonts w:asciiTheme="minorHAnsi" w:hAnsiTheme="minorHAnsi" w:cstheme="minorHAnsi"/>
              </w:rPr>
              <w:t>Along with the petition for FY 2014-15</w:t>
            </w:r>
          </w:p>
        </w:tc>
        <w:tc>
          <w:tcPr>
            <w:tcW w:w="1375" w:type="pct"/>
          </w:tcPr>
          <w:p w:rsidR="007E5E07" w:rsidRPr="00942C19" w:rsidRDefault="007E5E07" w:rsidP="007E5E07">
            <w:pPr>
              <w:spacing w:before="60" w:after="60"/>
              <w:jc w:val="center"/>
              <w:rPr>
                <w:rFonts w:asciiTheme="minorHAnsi" w:hAnsiTheme="minorHAnsi" w:cstheme="minorHAnsi"/>
              </w:rPr>
            </w:pPr>
          </w:p>
        </w:tc>
      </w:tr>
      <w:tr w:rsidR="007662D2" w:rsidRPr="00942C19" w:rsidTr="007E5E07">
        <w:trPr>
          <w:trHeight w:val="647"/>
          <w:jc w:val="center"/>
        </w:trPr>
        <w:tc>
          <w:tcPr>
            <w:tcW w:w="279" w:type="pct"/>
            <w:shd w:val="clear" w:color="auto" w:fill="auto"/>
            <w:noWrap/>
          </w:tcPr>
          <w:p w:rsidR="007662D2" w:rsidRPr="00942C19" w:rsidRDefault="007662D2" w:rsidP="007E5E07">
            <w:pPr>
              <w:spacing w:before="60" w:after="60"/>
              <w:jc w:val="center"/>
              <w:rPr>
                <w:rFonts w:asciiTheme="minorHAnsi" w:hAnsiTheme="minorHAnsi" w:cstheme="minorHAnsi"/>
              </w:rPr>
            </w:pPr>
            <w:r w:rsidRPr="00942C19">
              <w:rPr>
                <w:rFonts w:asciiTheme="minorHAnsi" w:hAnsiTheme="minorHAnsi" w:cstheme="minorHAnsi"/>
              </w:rPr>
              <w:t>21</w:t>
            </w:r>
          </w:p>
        </w:tc>
        <w:tc>
          <w:tcPr>
            <w:tcW w:w="2473" w:type="pct"/>
            <w:shd w:val="clear" w:color="auto" w:fill="auto"/>
            <w:noWrap/>
          </w:tcPr>
          <w:p w:rsidR="00B13F1A" w:rsidRPr="00942C19" w:rsidRDefault="007662D2">
            <w:pPr>
              <w:autoSpaceDE w:val="0"/>
              <w:autoSpaceDN w:val="0"/>
              <w:adjustRightInd w:val="0"/>
              <w:spacing w:before="60" w:after="60"/>
              <w:rPr>
                <w:rFonts w:asciiTheme="minorHAnsi" w:hAnsiTheme="minorHAnsi" w:cs="Tahoma"/>
                <w:lang w:val="en-IN"/>
              </w:rPr>
            </w:pPr>
            <w:r w:rsidRPr="00942C19">
              <w:rPr>
                <w:rFonts w:asciiTheme="minorHAnsi" w:hAnsiTheme="minorHAnsi" w:cs="Tahoma"/>
                <w:lang w:val="en-IN"/>
              </w:rPr>
              <w:t xml:space="preserve">The Commission directs the Licensee to </w:t>
            </w:r>
            <w:r w:rsidR="00A24A40" w:rsidRPr="00942C19">
              <w:rPr>
                <w:rFonts w:asciiTheme="minorHAnsi" w:hAnsiTheme="minorHAnsi" w:cs="Tahoma"/>
                <w:lang w:val="en-IN"/>
              </w:rPr>
              <w:t xml:space="preserve">reconcile the inter-unit balances lying un-reconciled </w:t>
            </w:r>
            <w:r w:rsidRPr="00942C19">
              <w:rPr>
                <w:rFonts w:asciiTheme="minorHAnsi" w:hAnsiTheme="minorHAnsi" w:cs="Tahoma"/>
                <w:lang w:val="en-IN"/>
              </w:rPr>
              <w:t>either itself or through independent chartered accountant firms.</w:t>
            </w:r>
          </w:p>
        </w:tc>
        <w:tc>
          <w:tcPr>
            <w:tcW w:w="873" w:type="pct"/>
            <w:shd w:val="clear" w:color="auto" w:fill="auto"/>
            <w:noWrap/>
          </w:tcPr>
          <w:p w:rsidR="007662D2" w:rsidRPr="00942C19" w:rsidRDefault="00785E17" w:rsidP="007E5E07">
            <w:pPr>
              <w:spacing w:before="60" w:after="60"/>
              <w:jc w:val="center"/>
              <w:rPr>
                <w:rFonts w:asciiTheme="minorHAnsi" w:hAnsiTheme="minorHAnsi" w:cs="Tahoma"/>
                <w:lang w:val="en-IN"/>
              </w:rPr>
            </w:pPr>
            <w:r w:rsidRPr="00942C19">
              <w:rPr>
                <w:rFonts w:asciiTheme="minorHAnsi" w:hAnsiTheme="minorHAnsi" w:cs="Tahoma"/>
                <w:lang w:val="en-IN"/>
              </w:rPr>
              <w:t>Along with the petition for FY 2014-15</w:t>
            </w:r>
          </w:p>
        </w:tc>
        <w:tc>
          <w:tcPr>
            <w:tcW w:w="1375" w:type="pct"/>
          </w:tcPr>
          <w:p w:rsidR="007662D2" w:rsidRPr="00942C19" w:rsidRDefault="007662D2" w:rsidP="007E5E07">
            <w:pPr>
              <w:spacing w:before="60" w:after="60"/>
              <w:jc w:val="center"/>
              <w:rPr>
                <w:rFonts w:asciiTheme="minorHAnsi" w:hAnsiTheme="minorHAnsi" w:cstheme="minorHAnsi"/>
              </w:rPr>
            </w:pPr>
          </w:p>
        </w:tc>
      </w:tr>
      <w:tr w:rsidR="00A730F2" w:rsidRPr="00942C19" w:rsidTr="007E5E07">
        <w:trPr>
          <w:trHeight w:val="647"/>
          <w:jc w:val="center"/>
        </w:trPr>
        <w:tc>
          <w:tcPr>
            <w:tcW w:w="279" w:type="pct"/>
            <w:shd w:val="clear" w:color="auto" w:fill="auto"/>
            <w:noWrap/>
          </w:tcPr>
          <w:p w:rsidR="00A730F2" w:rsidRPr="00942C19" w:rsidRDefault="00A730F2" w:rsidP="007E5E07">
            <w:pPr>
              <w:spacing w:before="60" w:after="60"/>
              <w:jc w:val="center"/>
              <w:rPr>
                <w:rFonts w:asciiTheme="minorHAnsi" w:hAnsiTheme="minorHAnsi" w:cstheme="minorHAnsi"/>
              </w:rPr>
            </w:pPr>
            <w:r w:rsidRPr="00942C19">
              <w:rPr>
                <w:rFonts w:asciiTheme="minorHAnsi" w:hAnsiTheme="minorHAnsi" w:cstheme="minorHAnsi"/>
              </w:rPr>
              <w:t>22</w:t>
            </w:r>
          </w:p>
        </w:tc>
        <w:tc>
          <w:tcPr>
            <w:tcW w:w="2473" w:type="pct"/>
            <w:shd w:val="clear" w:color="auto" w:fill="auto"/>
            <w:noWrap/>
          </w:tcPr>
          <w:p w:rsidR="00A730F2" w:rsidRPr="00942C19" w:rsidRDefault="00A730F2">
            <w:pPr>
              <w:autoSpaceDE w:val="0"/>
              <w:autoSpaceDN w:val="0"/>
              <w:adjustRightInd w:val="0"/>
              <w:spacing w:before="60" w:after="60"/>
              <w:rPr>
                <w:rFonts w:asciiTheme="minorHAnsi" w:hAnsiTheme="minorHAnsi" w:cs="Tahoma"/>
                <w:lang w:val="en-IN"/>
              </w:rPr>
            </w:pPr>
            <w:r w:rsidRPr="00942C19">
              <w:rPr>
                <w:rFonts w:asciiTheme="minorHAnsi" w:hAnsiTheme="minorHAnsi" w:cs="Tahoma"/>
                <w:lang w:val="en-IN"/>
              </w:rPr>
              <w:t>The Commission directs the Licensee to file submissions in respect of FPPCA in a timely and regular manner.</w:t>
            </w:r>
          </w:p>
        </w:tc>
        <w:tc>
          <w:tcPr>
            <w:tcW w:w="873" w:type="pct"/>
            <w:shd w:val="clear" w:color="auto" w:fill="auto"/>
            <w:noWrap/>
          </w:tcPr>
          <w:p w:rsidR="00A730F2" w:rsidRPr="00942C19" w:rsidRDefault="00A730F2" w:rsidP="007E5E07">
            <w:pPr>
              <w:spacing w:before="60" w:after="60"/>
              <w:jc w:val="center"/>
              <w:rPr>
                <w:rFonts w:asciiTheme="minorHAnsi" w:hAnsiTheme="minorHAnsi" w:cs="Tahoma"/>
                <w:lang w:val="en-IN"/>
              </w:rPr>
            </w:pPr>
            <w:r w:rsidRPr="00942C19">
              <w:rPr>
                <w:rFonts w:asciiTheme="minorHAnsi" w:hAnsiTheme="minorHAnsi" w:cs="Tahoma"/>
                <w:lang w:val="en-IN"/>
              </w:rPr>
              <w:t>Every quarter as per the time frame prescribed in the Regulations</w:t>
            </w:r>
          </w:p>
        </w:tc>
        <w:tc>
          <w:tcPr>
            <w:tcW w:w="1375" w:type="pct"/>
          </w:tcPr>
          <w:p w:rsidR="00A730F2" w:rsidRPr="00942C19" w:rsidRDefault="00A730F2" w:rsidP="007E5E07">
            <w:pPr>
              <w:spacing w:before="60" w:after="60"/>
              <w:jc w:val="center"/>
              <w:rPr>
                <w:rFonts w:asciiTheme="minorHAnsi" w:hAnsiTheme="minorHAnsi" w:cstheme="minorHAnsi"/>
              </w:rPr>
            </w:pPr>
          </w:p>
        </w:tc>
      </w:tr>
      <w:tr w:rsidR="008D4661" w:rsidRPr="00942C19" w:rsidTr="007E5E07">
        <w:trPr>
          <w:trHeight w:val="647"/>
          <w:jc w:val="center"/>
        </w:trPr>
        <w:tc>
          <w:tcPr>
            <w:tcW w:w="279" w:type="pct"/>
            <w:shd w:val="clear" w:color="auto" w:fill="auto"/>
            <w:noWrap/>
          </w:tcPr>
          <w:p w:rsidR="008D4661" w:rsidRPr="00942C19" w:rsidRDefault="008D4661" w:rsidP="007E5E07">
            <w:pPr>
              <w:spacing w:before="60" w:after="60"/>
              <w:jc w:val="center"/>
              <w:rPr>
                <w:rFonts w:asciiTheme="minorHAnsi" w:hAnsiTheme="minorHAnsi" w:cstheme="minorHAnsi"/>
              </w:rPr>
            </w:pPr>
            <w:r w:rsidRPr="00942C19">
              <w:rPr>
                <w:rFonts w:asciiTheme="minorHAnsi" w:hAnsiTheme="minorHAnsi" w:cstheme="minorHAnsi"/>
              </w:rPr>
              <w:t>23</w:t>
            </w:r>
          </w:p>
        </w:tc>
        <w:tc>
          <w:tcPr>
            <w:tcW w:w="2473" w:type="pct"/>
            <w:shd w:val="clear" w:color="auto" w:fill="auto"/>
            <w:noWrap/>
          </w:tcPr>
          <w:p w:rsidR="008D4661" w:rsidRPr="00942C19" w:rsidRDefault="008D4661">
            <w:pPr>
              <w:autoSpaceDE w:val="0"/>
              <w:autoSpaceDN w:val="0"/>
              <w:adjustRightInd w:val="0"/>
              <w:spacing w:before="60" w:after="60"/>
              <w:rPr>
                <w:rFonts w:asciiTheme="minorHAnsi" w:hAnsiTheme="minorHAnsi" w:cs="Tahoma"/>
                <w:lang w:val="en-IN"/>
              </w:rPr>
            </w:pPr>
            <w:r w:rsidRPr="00942C19">
              <w:rPr>
                <w:rFonts w:asciiTheme="minorHAnsi" w:hAnsiTheme="minorHAnsi" w:cstheme="minorHAnsi"/>
              </w:rPr>
              <w:t>The Commission directs the Licensee to depict the regulatory surcharge distinctly in the electricity bills of the consumers and create separate accounting fields to capture the amounts collected as regulatory surcharge in both of its financial and commercial statements. The Commission directs the Licensee to provide the details of the regulatory surcharge so collected for FY 2013-14 duly certified by the statutory auditor.</w:t>
            </w:r>
          </w:p>
        </w:tc>
        <w:tc>
          <w:tcPr>
            <w:tcW w:w="873" w:type="pct"/>
            <w:shd w:val="clear" w:color="auto" w:fill="auto"/>
            <w:noWrap/>
          </w:tcPr>
          <w:p w:rsidR="008D4661" w:rsidRPr="00942C19" w:rsidRDefault="008D4661" w:rsidP="007E5E07">
            <w:pPr>
              <w:spacing w:before="60" w:after="60"/>
              <w:jc w:val="center"/>
              <w:rPr>
                <w:rFonts w:asciiTheme="minorHAnsi" w:hAnsiTheme="minorHAnsi" w:cs="Tahoma"/>
                <w:lang w:val="en-IN"/>
              </w:rPr>
            </w:pPr>
            <w:r w:rsidRPr="00942C19">
              <w:rPr>
                <w:rFonts w:asciiTheme="minorHAnsi" w:hAnsiTheme="minorHAnsi" w:cstheme="minorHAnsi"/>
              </w:rPr>
              <w:t>By 30</w:t>
            </w:r>
            <w:r w:rsidRPr="00942C19">
              <w:rPr>
                <w:rFonts w:asciiTheme="minorHAnsi" w:hAnsiTheme="minorHAnsi" w:cstheme="minorHAnsi"/>
                <w:vertAlign w:val="superscript"/>
              </w:rPr>
              <w:t>th</w:t>
            </w:r>
            <w:r w:rsidRPr="00942C19">
              <w:rPr>
                <w:rFonts w:asciiTheme="minorHAnsi" w:hAnsiTheme="minorHAnsi" w:cstheme="minorHAnsi"/>
              </w:rPr>
              <w:t xml:space="preserve"> September 2014</w:t>
            </w:r>
          </w:p>
        </w:tc>
        <w:tc>
          <w:tcPr>
            <w:tcW w:w="1375" w:type="pct"/>
          </w:tcPr>
          <w:p w:rsidR="008D4661" w:rsidRPr="00942C19" w:rsidRDefault="008D4661" w:rsidP="007E5E07">
            <w:pPr>
              <w:spacing w:before="60" w:after="60"/>
              <w:jc w:val="center"/>
              <w:rPr>
                <w:rFonts w:asciiTheme="minorHAnsi" w:hAnsiTheme="minorHAnsi" w:cstheme="minorHAnsi"/>
              </w:rPr>
            </w:pPr>
          </w:p>
        </w:tc>
      </w:tr>
      <w:tr w:rsidR="008D4661" w:rsidRPr="006626F3" w:rsidTr="007E5E07">
        <w:trPr>
          <w:trHeight w:val="647"/>
          <w:jc w:val="center"/>
        </w:trPr>
        <w:tc>
          <w:tcPr>
            <w:tcW w:w="279" w:type="pct"/>
            <w:shd w:val="clear" w:color="auto" w:fill="auto"/>
            <w:noWrap/>
          </w:tcPr>
          <w:p w:rsidR="008D4661" w:rsidRPr="00942C19" w:rsidRDefault="008D4661" w:rsidP="007E5E07">
            <w:pPr>
              <w:spacing w:before="60" w:after="60"/>
              <w:jc w:val="center"/>
              <w:rPr>
                <w:rFonts w:asciiTheme="minorHAnsi" w:hAnsiTheme="minorHAnsi" w:cstheme="minorHAnsi"/>
              </w:rPr>
            </w:pPr>
            <w:r w:rsidRPr="00942C19">
              <w:rPr>
                <w:rFonts w:asciiTheme="minorHAnsi" w:hAnsiTheme="minorHAnsi" w:cstheme="minorHAnsi"/>
              </w:rPr>
              <w:t>24</w:t>
            </w:r>
          </w:p>
        </w:tc>
        <w:tc>
          <w:tcPr>
            <w:tcW w:w="2473" w:type="pct"/>
            <w:shd w:val="clear" w:color="auto" w:fill="auto"/>
            <w:noWrap/>
          </w:tcPr>
          <w:p w:rsidR="008D4661" w:rsidRPr="00942C19" w:rsidRDefault="008D4661">
            <w:pPr>
              <w:autoSpaceDE w:val="0"/>
              <w:autoSpaceDN w:val="0"/>
              <w:adjustRightInd w:val="0"/>
              <w:spacing w:before="60" w:after="60"/>
              <w:rPr>
                <w:rFonts w:asciiTheme="minorHAnsi" w:hAnsiTheme="minorHAnsi" w:cstheme="minorHAnsi"/>
              </w:rPr>
            </w:pPr>
            <w:r w:rsidRPr="00942C19">
              <w:rPr>
                <w:rFonts w:asciiTheme="minorHAnsi" w:hAnsiTheme="minorHAnsi" w:cstheme="minorHAnsi"/>
              </w:rPr>
              <w:t xml:space="preserve">The Commission directs the Licensee to finalise the allocation of subsidy </w:t>
            </w:r>
            <w:r w:rsidR="00D85259" w:rsidRPr="00942C19">
              <w:t xml:space="preserve">after taking into consideration the regulatory surcharge </w:t>
            </w:r>
            <w:r w:rsidRPr="00942C19">
              <w:rPr>
                <w:rFonts w:asciiTheme="minorHAnsi" w:hAnsiTheme="minorHAnsi" w:cstheme="minorHAnsi"/>
              </w:rPr>
              <w:t>among all the four Discoms namely DVVNL, MVVNL, PVVNL and PuVVNL in concurrence with the State Government up to 30</w:t>
            </w:r>
            <w:r w:rsidRPr="00942C19">
              <w:rPr>
                <w:rFonts w:asciiTheme="minorHAnsi" w:hAnsiTheme="minorHAnsi" w:cstheme="minorHAnsi"/>
                <w:vertAlign w:val="superscript"/>
              </w:rPr>
              <w:t>th</w:t>
            </w:r>
            <w:r w:rsidRPr="00942C19">
              <w:rPr>
                <w:rFonts w:asciiTheme="minorHAnsi" w:hAnsiTheme="minorHAnsi" w:cstheme="minorHAnsi"/>
              </w:rPr>
              <w:t xml:space="preserve"> November, 2013 and submit a report on the same to the Commission.</w:t>
            </w:r>
          </w:p>
        </w:tc>
        <w:tc>
          <w:tcPr>
            <w:tcW w:w="873" w:type="pct"/>
            <w:shd w:val="clear" w:color="auto" w:fill="auto"/>
            <w:noWrap/>
          </w:tcPr>
          <w:p w:rsidR="008D4661" w:rsidRDefault="008D4661" w:rsidP="007E5E07">
            <w:pPr>
              <w:spacing w:before="60" w:after="60"/>
              <w:jc w:val="center"/>
              <w:rPr>
                <w:rFonts w:asciiTheme="minorHAnsi" w:hAnsiTheme="minorHAnsi" w:cstheme="minorHAnsi"/>
              </w:rPr>
            </w:pPr>
            <w:r w:rsidRPr="00942C19">
              <w:rPr>
                <w:rFonts w:asciiTheme="minorHAnsi" w:hAnsiTheme="minorHAnsi" w:cstheme="minorHAnsi"/>
              </w:rPr>
              <w:t>Along with the petition for FY 2014-15</w:t>
            </w:r>
          </w:p>
        </w:tc>
        <w:tc>
          <w:tcPr>
            <w:tcW w:w="1375" w:type="pct"/>
          </w:tcPr>
          <w:p w:rsidR="008D4661" w:rsidRPr="006626F3" w:rsidRDefault="008D4661" w:rsidP="007E5E07">
            <w:pPr>
              <w:spacing w:before="60" w:after="60"/>
              <w:jc w:val="center"/>
              <w:rPr>
                <w:rFonts w:asciiTheme="minorHAnsi" w:hAnsiTheme="minorHAnsi" w:cstheme="minorHAnsi"/>
              </w:rPr>
            </w:pPr>
          </w:p>
        </w:tc>
      </w:tr>
    </w:tbl>
    <w:p w:rsidR="00B6794F" w:rsidRPr="00B6794F" w:rsidRDefault="00B6794F" w:rsidP="00B6794F">
      <w:pPr>
        <w:pStyle w:val="Heading2"/>
        <w:numPr>
          <w:ilvl w:val="0"/>
          <w:numId w:val="0"/>
        </w:numPr>
        <w:ind w:left="780"/>
      </w:pPr>
    </w:p>
    <w:sectPr w:rsidR="00B6794F" w:rsidRPr="00B6794F" w:rsidSect="00C83FC3">
      <w:headerReference w:type="default" r:id="rId45"/>
      <w:footerReference w:type="default" r:id="rId46"/>
      <w:pgSz w:w="16834" w:h="11909" w:orient="landscape" w:code="9"/>
      <w:pgMar w:top="1729" w:right="992" w:bottom="1440" w:left="1440" w:header="1009"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1EC" w:rsidRDefault="008B21EC">
      <w:r>
        <w:separator/>
      </w:r>
    </w:p>
  </w:endnote>
  <w:endnote w:type="continuationSeparator" w:id="0">
    <w:p w:rsidR="008B21EC" w:rsidRDefault="008B21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Footer"/>
      <w:rPr>
        <w:rFonts w:cs="Tahoma"/>
        <w:b/>
        <w:bCs/>
        <w:i/>
        <w:iCs/>
        <w:sz w:val="8"/>
        <w:lang w:val="en-US"/>
      </w:rPr>
    </w:pPr>
  </w:p>
  <w:p w:rsidR="00974DC9" w:rsidRDefault="00974DC9">
    <w:pPr>
      <w:pStyle w:val="Footer"/>
      <w:rPr>
        <w:rFonts w:cs="Tahoma"/>
        <w:b/>
        <w:bCs/>
        <w:i/>
        <w:iCs/>
        <w:sz w:val="8"/>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pPr>
      <w:pStyle w:val="Footer"/>
      <w:rPr>
        <w:rFonts w:cs="Tahoma"/>
        <w:b/>
        <w:bCs/>
        <w:i/>
        <w:iCs/>
        <w:sz w:val="8"/>
        <w:lang w:val="en-US"/>
      </w:rPr>
    </w:pPr>
    <w:r w:rsidRPr="000C642E">
      <w:rPr>
        <w:rFonts w:cs="Tahoma"/>
        <w:noProof/>
        <w:sz w:val="8"/>
        <w:lang w:val="en-US"/>
      </w:rPr>
      <w:pict>
        <v:line id="Straight Connector 17" o:spid="_x0000_s2062" style="position:absolute;left:0;text-align:left;z-index:251654656;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974DC9" w:rsidRPr="007E05F1" w:rsidRDefault="00974DC9" w:rsidP="0033097E">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0C642E" w:rsidRPr="007E05F1">
      <w:rPr>
        <w:rFonts w:cs="Tahoma"/>
        <w:sz w:val="20"/>
        <w:szCs w:val="20"/>
        <w:lang w:val="en-US"/>
      </w:rPr>
      <w:fldChar w:fldCharType="begin"/>
    </w:r>
    <w:r w:rsidRPr="007E05F1">
      <w:rPr>
        <w:rFonts w:cs="Tahoma"/>
        <w:sz w:val="20"/>
        <w:szCs w:val="20"/>
        <w:lang w:val="en-US"/>
      </w:rPr>
      <w:instrText xml:space="preserve"> PAGE </w:instrText>
    </w:r>
    <w:r w:rsidR="000C642E" w:rsidRPr="007E05F1">
      <w:rPr>
        <w:rFonts w:cs="Tahoma"/>
        <w:sz w:val="20"/>
        <w:szCs w:val="20"/>
        <w:lang w:val="en-US"/>
      </w:rPr>
      <w:fldChar w:fldCharType="separate"/>
    </w:r>
    <w:r w:rsidR="008E7C6A">
      <w:rPr>
        <w:rFonts w:cs="Tahoma"/>
        <w:noProof/>
        <w:sz w:val="20"/>
        <w:szCs w:val="20"/>
        <w:lang w:val="en-US"/>
      </w:rPr>
      <w:t>127</w:t>
    </w:r>
    <w:r w:rsidR="000C642E" w:rsidRPr="007E05F1">
      <w:rPr>
        <w:rFonts w:cs="Tahoma"/>
        <w:sz w:val="20"/>
        <w:szCs w:val="20"/>
        <w:lang w:val="en-US"/>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pPr>
      <w:pStyle w:val="Footer"/>
      <w:rPr>
        <w:rFonts w:cs="Tahoma"/>
        <w:b/>
        <w:bCs/>
        <w:i/>
        <w:iCs/>
        <w:sz w:val="8"/>
        <w:lang w:val="en-US"/>
      </w:rPr>
    </w:pPr>
    <w:r w:rsidRPr="000C642E">
      <w:rPr>
        <w:rFonts w:cs="Tahoma"/>
        <w:noProof/>
        <w:sz w:val="8"/>
        <w:lang w:val="en-US"/>
      </w:rPr>
      <w:pict>
        <v:line id="_x0000_s2130" style="position:absolute;left:0;text-align:left;z-index:251753472;visibility:visible" from="0,9.9pt" to="660.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974DC9" w:rsidRPr="007E05F1" w:rsidRDefault="00974DC9" w:rsidP="0033097E">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0C642E" w:rsidRPr="007E05F1">
      <w:rPr>
        <w:rFonts w:cs="Tahoma"/>
        <w:sz w:val="20"/>
        <w:szCs w:val="20"/>
        <w:lang w:val="en-US"/>
      </w:rPr>
      <w:fldChar w:fldCharType="begin"/>
    </w:r>
    <w:r w:rsidRPr="007E05F1">
      <w:rPr>
        <w:rFonts w:cs="Tahoma"/>
        <w:sz w:val="20"/>
        <w:szCs w:val="20"/>
        <w:lang w:val="en-US"/>
      </w:rPr>
      <w:instrText xml:space="preserve"> PAGE </w:instrText>
    </w:r>
    <w:r w:rsidR="000C642E" w:rsidRPr="007E05F1">
      <w:rPr>
        <w:rFonts w:cs="Tahoma"/>
        <w:sz w:val="20"/>
        <w:szCs w:val="20"/>
        <w:lang w:val="en-US"/>
      </w:rPr>
      <w:fldChar w:fldCharType="separate"/>
    </w:r>
    <w:r w:rsidR="008E7C6A">
      <w:rPr>
        <w:rFonts w:cs="Tahoma"/>
        <w:noProof/>
        <w:sz w:val="20"/>
        <w:szCs w:val="20"/>
        <w:lang w:val="en-US"/>
      </w:rPr>
      <w:t>128</w:t>
    </w:r>
    <w:r w:rsidR="000C642E" w:rsidRPr="007E05F1">
      <w:rPr>
        <w:rFonts w:cs="Tahoma"/>
        <w:sz w:val="20"/>
        <w:szCs w:val="20"/>
        <w:lang w:val="en-US"/>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pPr>
      <w:pStyle w:val="Footer"/>
      <w:framePr w:wrap="around" w:vAnchor="text" w:hAnchor="margin" w:xAlign="center" w:y="1"/>
      <w:rPr>
        <w:rStyle w:val="PageNumber"/>
      </w:rPr>
    </w:pPr>
    <w:r>
      <w:rPr>
        <w:rStyle w:val="PageNumber"/>
      </w:rPr>
      <w:fldChar w:fldCharType="begin"/>
    </w:r>
    <w:r w:rsidR="00974DC9">
      <w:rPr>
        <w:rStyle w:val="PageNumber"/>
      </w:rPr>
      <w:instrText xml:space="preserve">PAGE  </w:instrText>
    </w:r>
    <w:r>
      <w:rPr>
        <w:rStyle w:val="PageNumber"/>
      </w:rPr>
      <w:fldChar w:fldCharType="separate"/>
    </w:r>
    <w:r w:rsidR="00974DC9">
      <w:rPr>
        <w:rStyle w:val="PageNumber"/>
        <w:noProof/>
      </w:rPr>
      <w:t>2</w:t>
    </w:r>
    <w:r>
      <w:rPr>
        <w:rStyle w:val="PageNumber"/>
      </w:rPr>
      <w:fldChar w:fldCharType="end"/>
    </w:r>
  </w:p>
  <w:p w:rsidR="00974DC9" w:rsidRDefault="00974DC9">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7E05F1" w:rsidRDefault="000C642E" w:rsidP="00942C19">
    <w:pPr>
      <w:pStyle w:val="Footer"/>
      <w:rPr>
        <w:rFonts w:cs="Tahoma"/>
        <w:sz w:val="20"/>
        <w:szCs w:val="20"/>
        <w:lang w:val="en-US"/>
      </w:rPr>
    </w:pPr>
    <w:r w:rsidRPr="000C642E">
      <w:rPr>
        <w:rFonts w:cs="Tahoma"/>
        <w:noProof/>
        <w:sz w:val="8"/>
        <w:lang w:val="en-US"/>
      </w:rPr>
      <w:pict>
        <v:line id="Straight Connector 19" o:spid="_x0000_s2113" style="position:absolute;left:0;text-align:left;z-index:251724800;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166</w:t>
    </w:r>
    <w:r w:rsidRPr="007E05F1">
      <w:rPr>
        <w:rFonts w:cs="Tahoma"/>
        <w:sz w:val="20"/>
        <w:szCs w:val="20"/>
        <w:lang w:val="en-US"/>
      </w:rPr>
      <w:fldChar w:fldCharType="end"/>
    </w:r>
    <w:r w:rsidR="00974DC9" w:rsidRPr="007E05F1">
      <w:rPr>
        <w:rFonts w:cs="Tahoma"/>
        <w:sz w:val="20"/>
        <w:szCs w:val="20"/>
        <w:lang w:val="en-US"/>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7E05F1" w:rsidRDefault="000C642E" w:rsidP="00942C19">
    <w:pPr>
      <w:pStyle w:val="Footer"/>
      <w:rPr>
        <w:rFonts w:cs="Tahoma"/>
        <w:sz w:val="20"/>
        <w:szCs w:val="20"/>
        <w:lang w:val="en-US"/>
      </w:rPr>
    </w:pPr>
    <w:r w:rsidRPr="000C642E">
      <w:rPr>
        <w:rFonts w:cs="Tahoma"/>
        <w:noProof/>
        <w:sz w:val="8"/>
        <w:lang w:val="en-US"/>
      </w:rPr>
      <w:pict>
        <v:line id="_x0000_s2119" style="position:absolute;left:0;text-align:left;z-index:251735040;visibility:visible" from="0,1.3pt" to="7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177</w:t>
    </w:r>
    <w:r w:rsidRPr="007E05F1">
      <w:rPr>
        <w:rFonts w:cs="Tahoma"/>
        <w:sz w:val="20"/>
        <w:szCs w:val="20"/>
        <w:lang w:val="en-US"/>
      </w:rPr>
      <w:fldChar w:fldCharType="end"/>
    </w:r>
    <w:r w:rsidR="00974DC9" w:rsidRPr="007E05F1">
      <w:rPr>
        <w:rFonts w:cs="Tahoma"/>
        <w:sz w:val="20"/>
        <w:szCs w:val="20"/>
        <w:lang w:val="en-US"/>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7E05F1" w:rsidRDefault="000C642E" w:rsidP="00942C19">
    <w:pPr>
      <w:pStyle w:val="Footer"/>
      <w:rPr>
        <w:rFonts w:cs="Tahoma"/>
        <w:sz w:val="20"/>
        <w:szCs w:val="20"/>
        <w:lang w:val="en-US"/>
      </w:rPr>
    </w:pPr>
    <w:r w:rsidRPr="000C642E">
      <w:rPr>
        <w:rFonts w:cs="Tahoma"/>
        <w:noProof/>
        <w:sz w:val="8"/>
        <w:lang w:val="en-US"/>
      </w:rPr>
      <w:pict>
        <v:line id="_x0000_s2117" style="position:absolute;left:0;text-align:left;z-index:25173094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189</w:t>
    </w:r>
    <w:r w:rsidRPr="007E05F1">
      <w:rPr>
        <w:rFonts w:cs="Tahoma"/>
        <w:sz w:val="20"/>
        <w:szCs w:val="20"/>
        <w:lang w:val="en-US"/>
      </w:rPr>
      <w:fldChar w:fldCharType="end"/>
    </w:r>
    <w:r w:rsidR="00974DC9" w:rsidRPr="007E05F1">
      <w:rPr>
        <w:rFonts w:cs="Tahoma"/>
        <w:sz w:val="20"/>
        <w:szCs w:val="20"/>
        <w:lang w:val="en-US"/>
      </w:rP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7E05F1" w:rsidRDefault="000C642E" w:rsidP="00942C19">
    <w:pPr>
      <w:pStyle w:val="Footer"/>
      <w:rPr>
        <w:rFonts w:cs="Tahoma"/>
        <w:sz w:val="20"/>
        <w:szCs w:val="20"/>
        <w:lang w:val="en-US"/>
      </w:rPr>
    </w:pPr>
    <w:r w:rsidRPr="000C642E">
      <w:rPr>
        <w:rFonts w:cs="Tahoma"/>
        <w:noProof/>
        <w:sz w:val="8"/>
        <w:lang w:val="en-US"/>
      </w:rPr>
      <w:pict>
        <v:line id="Straight Connector 18" o:spid="_x0000_s2114" style="position:absolute;left:0;text-align:left;z-index:25172582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Yw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CbVljAhAgAAOQQAAA4AAAAAAAAAAAAAAAAALgIAAGRycy9lMm9Eb2MueG1sUEsB&#10;Ai0AFAAGAAgAAAAhACQ92pXbAAAABAEAAA8AAAAAAAAAAAAAAAAAewQAAGRycy9kb3ducmV2Lnht&#10;bFBLBQYAAAAABAAEAPMAAACDBQAAAAA=&#10;" strokecolor="#1f497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225</w:t>
    </w:r>
    <w:r w:rsidRPr="007E05F1">
      <w:rPr>
        <w:rFonts w:cs="Tahoma"/>
        <w:sz w:val="20"/>
        <w:szCs w:val="20"/>
        <w:lang w:val="en-US"/>
      </w:rPr>
      <w:fldChar w:fldCharType="end"/>
    </w:r>
    <w:r w:rsidR="00974DC9" w:rsidRPr="007E05F1">
      <w:rPr>
        <w:rFonts w:cs="Tahoma"/>
        <w:sz w:val="20"/>
        <w:szCs w:val="20"/>
        <w:lang w:val="en-US"/>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pPr>
      <w:pStyle w:val="Footer"/>
      <w:rPr>
        <w:rFonts w:cs="Tahoma"/>
        <w:b/>
        <w:bCs/>
        <w:i/>
        <w:iCs/>
        <w:sz w:val="8"/>
        <w:lang w:val="en-US"/>
      </w:rPr>
    </w:pPr>
    <w:r w:rsidRPr="000C642E">
      <w:rPr>
        <w:rFonts w:cs="Tahoma"/>
        <w:noProof/>
        <w:sz w:val="8"/>
        <w:lang w:val="en-US"/>
      </w:rPr>
      <w:pict>
        <v:line id="_x0000_s2115" style="position:absolute;left:0;text-align:left;z-index:251726848;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974DC9" w:rsidRPr="007E05F1" w:rsidRDefault="00974DC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0C642E" w:rsidRPr="007E05F1">
      <w:rPr>
        <w:rFonts w:cs="Tahoma"/>
        <w:sz w:val="20"/>
        <w:szCs w:val="20"/>
        <w:lang w:val="en-US"/>
      </w:rPr>
      <w:fldChar w:fldCharType="begin"/>
    </w:r>
    <w:r w:rsidRPr="007E05F1">
      <w:rPr>
        <w:rFonts w:cs="Tahoma"/>
        <w:sz w:val="20"/>
        <w:szCs w:val="20"/>
        <w:lang w:val="en-US"/>
      </w:rPr>
      <w:instrText xml:space="preserve"> PAGE </w:instrText>
    </w:r>
    <w:r w:rsidR="000C642E" w:rsidRPr="007E05F1">
      <w:rPr>
        <w:rFonts w:cs="Tahoma"/>
        <w:sz w:val="20"/>
        <w:szCs w:val="20"/>
        <w:lang w:val="en-US"/>
      </w:rPr>
      <w:fldChar w:fldCharType="separate"/>
    </w:r>
    <w:r w:rsidR="008E7C6A">
      <w:rPr>
        <w:rFonts w:cs="Tahoma"/>
        <w:noProof/>
        <w:sz w:val="20"/>
        <w:szCs w:val="20"/>
        <w:lang w:val="en-US"/>
      </w:rPr>
      <w:t>227</w:t>
    </w:r>
    <w:r w:rsidR="000C642E" w:rsidRPr="007E05F1">
      <w:rPr>
        <w:rFonts w:cs="Tahoma"/>
        <w:sz w:val="20"/>
        <w:szCs w:val="20"/>
        <w:lang w:val="en-US"/>
      </w:rPr>
      <w:fldChar w:fldCharType="end"/>
    </w:r>
    <w:r w:rsidRPr="007E05F1">
      <w:rPr>
        <w:rFonts w:cs="Tahoma"/>
        <w:sz w:val="20"/>
        <w:szCs w:val="20"/>
        <w:lang w:val="en-US"/>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pPr>
      <w:pStyle w:val="Footer"/>
      <w:rPr>
        <w:rFonts w:cs="Tahoma"/>
        <w:b/>
        <w:bCs/>
        <w:i/>
        <w:iCs/>
        <w:sz w:val="8"/>
        <w:lang w:val="en-US"/>
      </w:rPr>
    </w:pPr>
    <w:r w:rsidRPr="000C642E">
      <w:rPr>
        <w:rFonts w:cs="Tahoma"/>
        <w:noProof/>
        <w:sz w:val="8"/>
        <w:lang w:val="en-US"/>
      </w:rPr>
      <w:pict>
        <v:line id="_x0000_s2112" style="position:absolute;left:0;text-align:left;z-index:251722752;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974DC9" w:rsidRPr="007E05F1" w:rsidRDefault="00974DC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0C642E" w:rsidRPr="007E05F1">
      <w:rPr>
        <w:rFonts w:cs="Tahoma"/>
        <w:sz w:val="20"/>
        <w:szCs w:val="20"/>
        <w:lang w:val="en-US"/>
      </w:rPr>
      <w:fldChar w:fldCharType="begin"/>
    </w:r>
    <w:r w:rsidRPr="007E05F1">
      <w:rPr>
        <w:rFonts w:cs="Tahoma"/>
        <w:sz w:val="20"/>
        <w:szCs w:val="20"/>
        <w:lang w:val="en-US"/>
      </w:rPr>
      <w:instrText xml:space="preserve"> PAGE </w:instrText>
    </w:r>
    <w:r w:rsidR="000C642E" w:rsidRPr="007E05F1">
      <w:rPr>
        <w:rFonts w:cs="Tahoma"/>
        <w:sz w:val="20"/>
        <w:szCs w:val="20"/>
        <w:lang w:val="en-US"/>
      </w:rPr>
      <w:fldChar w:fldCharType="separate"/>
    </w:r>
    <w:r w:rsidR="008E7C6A">
      <w:rPr>
        <w:rFonts w:cs="Tahoma"/>
        <w:noProof/>
        <w:sz w:val="20"/>
        <w:szCs w:val="20"/>
        <w:lang w:val="en-US"/>
      </w:rPr>
      <w:t>236</w:t>
    </w:r>
    <w:r w:rsidR="000C642E" w:rsidRPr="007E05F1">
      <w:rPr>
        <w:rFonts w:cs="Tahoma"/>
        <w:sz w:val="20"/>
        <w:szCs w:val="20"/>
        <w:lang w:val="en-US"/>
      </w:rPr>
      <w:fldChar w:fldCharType="end"/>
    </w:r>
    <w:r w:rsidRPr="007E05F1">
      <w:rPr>
        <w:rFonts w:cs="Tahoma"/>
        <w:sz w:val="20"/>
        <w:szCs w:val="20"/>
        <w:lang w:val="en-US"/>
      </w:rPr>
      <w:t xml:space="preserve">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7E05F1" w:rsidRDefault="000C642E" w:rsidP="00942C19">
    <w:pPr>
      <w:pStyle w:val="Footer"/>
      <w:rPr>
        <w:rFonts w:cs="Tahoma"/>
        <w:sz w:val="20"/>
        <w:szCs w:val="20"/>
        <w:lang w:val="en-US"/>
      </w:rPr>
    </w:pPr>
    <w:r w:rsidRPr="000C642E">
      <w:rPr>
        <w:rFonts w:cs="Tahoma"/>
        <w:noProof/>
        <w:sz w:val="8"/>
        <w:lang w:val="en-US"/>
      </w:rPr>
      <w:pict>
        <v:line id="_x0000_s2132" style="position:absolute;left:0;text-align:left;z-index:251757568;visibility:visible" from="0,1.3pt" to="66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247</w:t>
    </w:r>
    <w:r w:rsidRPr="007E05F1">
      <w:rPr>
        <w:rFonts w:cs="Tahoma"/>
        <w:sz w:val="20"/>
        <w:szCs w:val="20"/>
        <w:lang w:val="en-US"/>
      </w:rPr>
      <w:fldChar w:fldCharType="end"/>
    </w:r>
    <w:r w:rsidR="00974DC9" w:rsidRPr="007E05F1">
      <w:rPr>
        <w:rFonts w:cs="Tahoma"/>
        <w:sz w:val="20"/>
        <w:szCs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3F5C37">
    <w:pPr>
      <w:pStyle w:val="Footer"/>
      <w:rPr>
        <w:rFonts w:cs="Tahoma"/>
        <w:b/>
        <w:bCs/>
        <w:i/>
        <w:iCs/>
        <w:sz w:val="8"/>
        <w:lang w:val="en-US"/>
      </w:rPr>
    </w:pPr>
    <w:r>
      <w:rPr>
        <w:rFonts w:cs="Tahoma"/>
        <w:b/>
        <w:bCs/>
        <w:i/>
        <w:iCs/>
        <w:noProof/>
        <w:sz w:val="8"/>
        <w:lang w:val="en-US"/>
      </w:rPr>
      <w:pict>
        <v:line id="Straight Connector 23" o:spid="_x0000_s2066" style="position:absolute;left:0;text-align:left;z-index:25166438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Straight Connector 24" o:spid="_x0000_s2065" style="position:absolute;left:0;text-align:left;z-index:2516633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974DC9" w:rsidRPr="007E05F1" w:rsidRDefault="000C642E" w:rsidP="009E2740">
    <w:pPr>
      <w:pStyle w:val="Footer"/>
      <w:tabs>
        <w:tab w:val="clear" w:pos="4320"/>
        <w:tab w:val="clear" w:pos="8640"/>
      </w:tabs>
      <w:jc w:val="left"/>
      <w:rPr>
        <w:rFonts w:cs="Tahoma"/>
        <w:sz w:val="20"/>
        <w:szCs w:val="20"/>
        <w:lang w:val="en-US"/>
      </w:rPr>
    </w:pPr>
    <w:r w:rsidRPr="000C642E">
      <w:rPr>
        <w:rFonts w:cs="Tahoma"/>
        <w:b/>
        <w:bCs/>
        <w:i/>
        <w:iCs/>
        <w:noProof/>
        <w:sz w:val="8"/>
        <w:lang w:val="en-IN" w:eastAsia="en-IN"/>
      </w:rPr>
      <w:pict>
        <v:line id="_x0000_s2071" style="position:absolute;z-index:251667456;visibility:visible" from="-1.5pt,16.55pt" to="434.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t xml:space="preserve">              </w:t>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t xml:space="preserve">         </w: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3311FC">
      <w:rPr>
        <w:rFonts w:cs="Tahoma"/>
        <w:noProof/>
        <w:sz w:val="20"/>
        <w:szCs w:val="20"/>
        <w:lang w:val="en-US"/>
      </w:rPr>
      <w:t>38</w:t>
    </w:r>
    <w:r w:rsidRPr="007E05F1">
      <w:rPr>
        <w:rFonts w:cs="Tahoma"/>
        <w:sz w:val="20"/>
        <w:szCs w:val="20"/>
        <w:lang w:val="en-US"/>
      </w:rPr>
      <w:fldChar w:fldCharType="end"/>
    </w:r>
    <w:r w:rsidR="00974DC9" w:rsidRPr="007E05F1">
      <w:rPr>
        <w:rFonts w:cs="Tahoma"/>
        <w:sz w:val="20"/>
        <w:szCs w:val="20"/>
        <w:lang w:val="en-US"/>
      </w:rPr>
      <w:t xml:space="preserve"> </w:t>
    </w:r>
  </w:p>
  <w:p w:rsidR="00974DC9" w:rsidRDefault="00974D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3F5C37">
    <w:pPr>
      <w:pStyle w:val="Footer"/>
      <w:rPr>
        <w:rFonts w:cs="Tahoma"/>
        <w:b/>
        <w:bCs/>
        <w:i/>
        <w:iCs/>
        <w:sz w:val="8"/>
        <w:lang w:val="en-US"/>
      </w:rPr>
    </w:pPr>
    <w:r>
      <w:rPr>
        <w:rFonts w:cs="Tahoma"/>
        <w:b/>
        <w:bCs/>
        <w:i/>
        <w:iCs/>
        <w:noProof/>
        <w:sz w:val="8"/>
        <w:lang w:val="en-US"/>
      </w:rPr>
      <w:pict>
        <v:line id="_x0000_s2073" style="position:absolute;left:0;text-align:left;z-index:25167052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72" style="position:absolute;left:0;text-align:left;z-index:25166950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974DC9" w:rsidRPr="007E05F1" w:rsidRDefault="00974DC9" w:rsidP="009E2740">
    <w:pPr>
      <w:pStyle w:val="Footer"/>
      <w:tabs>
        <w:tab w:val="clear" w:pos="4320"/>
        <w:tab w:val="clear" w:pos="8640"/>
      </w:tabs>
      <w:jc w:val="left"/>
      <w:rPr>
        <w:rFonts w:cs="Tahoma"/>
        <w:sz w:val="20"/>
        <w:szCs w:val="20"/>
        <w:lang w:val="en-US"/>
      </w:rPr>
    </w:pPr>
    <w:r w:rsidRPr="007E05F1">
      <w:rPr>
        <w:rFonts w:cs="Tahoma"/>
        <w:sz w:val="20"/>
        <w:szCs w:val="20"/>
        <w:lang w:val="en-US"/>
      </w:rPr>
      <w:t xml:space="preserve">Page </w:t>
    </w:r>
    <w:r w:rsidR="000C642E" w:rsidRPr="007E05F1">
      <w:rPr>
        <w:rFonts w:cs="Tahoma"/>
        <w:sz w:val="20"/>
        <w:szCs w:val="20"/>
        <w:lang w:val="en-US"/>
      </w:rPr>
      <w:fldChar w:fldCharType="begin"/>
    </w:r>
    <w:r w:rsidRPr="007E05F1">
      <w:rPr>
        <w:rFonts w:cs="Tahoma"/>
        <w:sz w:val="20"/>
        <w:szCs w:val="20"/>
        <w:lang w:val="en-US"/>
      </w:rPr>
      <w:instrText xml:space="preserve"> PAGE </w:instrText>
    </w:r>
    <w:r w:rsidR="000C642E" w:rsidRPr="007E05F1">
      <w:rPr>
        <w:rFonts w:cs="Tahoma"/>
        <w:sz w:val="20"/>
        <w:szCs w:val="20"/>
        <w:lang w:val="en-US"/>
      </w:rPr>
      <w:fldChar w:fldCharType="separate"/>
    </w:r>
    <w:r w:rsidR="008E7C6A">
      <w:rPr>
        <w:rFonts w:cs="Tahoma"/>
        <w:noProof/>
        <w:sz w:val="20"/>
        <w:szCs w:val="20"/>
        <w:lang w:val="en-US"/>
      </w:rPr>
      <w:t>86</w:t>
    </w:r>
    <w:r w:rsidR="000C642E" w:rsidRPr="007E05F1">
      <w:rPr>
        <w:rFonts w:cs="Tahoma"/>
        <w:sz w:val="20"/>
        <w:szCs w:val="20"/>
        <w:lang w:val="en-US"/>
      </w:rPr>
      <w:fldChar w:fldCharType="end"/>
    </w:r>
  </w:p>
  <w:p w:rsidR="00974DC9" w:rsidRDefault="000C642E">
    <w:pPr>
      <w:pStyle w:val="Footer"/>
    </w:pPr>
    <w:r w:rsidRPr="000C642E">
      <w:rPr>
        <w:noProof/>
        <w:lang w:val="en-IN" w:eastAsia="en-IN"/>
      </w:rPr>
      <w:pict>
        <v:line id="_x0000_s2079" style="position:absolute;left:0;text-align:left;z-index:251678720;visibility:visible" from="-9.95pt,-17.5pt" to="68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0C642E">
      <w:rPr>
        <w:rFonts w:cs="Tahoma"/>
        <w:b/>
        <w:bCs/>
        <w:i/>
        <w:iCs/>
        <w:noProof/>
        <w:sz w:val="8"/>
        <w:lang w:val="en-IN" w:eastAsia="en-IN"/>
      </w:rPr>
      <w:pict>
        <v:line id="_x0000_s2074" style="position:absolute;left:0;text-align:left;z-index:25167155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3F5C37">
    <w:pPr>
      <w:pStyle w:val="Footer"/>
      <w:rPr>
        <w:rFonts w:cs="Tahoma"/>
        <w:b/>
        <w:bCs/>
        <w:i/>
        <w:iCs/>
        <w:sz w:val="8"/>
        <w:lang w:val="en-US"/>
      </w:rPr>
    </w:pPr>
    <w:r>
      <w:rPr>
        <w:rFonts w:cs="Tahoma"/>
        <w:b/>
        <w:bCs/>
        <w:i/>
        <w:iCs/>
        <w:noProof/>
        <w:sz w:val="8"/>
        <w:lang w:val="en-US"/>
      </w:rPr>
      <w:pict>
        <v:line id="_x0000_s2081" style="position:absolute;left:0;text-align:left;z-index:25168179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0" style="position:absolute;left:0;text-align:left;z-index:2516807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974DC9" w:rsidRPr="007E05F1" w:rsidRDefault="000C642E" w:rsidP="009E2740">
    <w:pPr>
      <w:pStyle w:val="Footer"/>
      <w:tabs>
        <w:tab w:val="clear" w:pos="4320"/>
        <w:tab w:val="clear" w:pos="8640"/>
      </w:tabs>
      <w:jc w:val="left"/>
      <w:rPr>
        <w:rFonts w:cs="Tahoma"/>
        <w:sz w:val="20"/>
        <w:szCs w:val="20"/>
        <w:lang w:val="en-US"/>
      </w:rPr>
    </w:pPr>
    <w:r w:rsidRPr="000C642E">
      <w:rPr>
        <w:noProof/>
        <w:lang w:val="en-IN" w:eastAsia="en-IN"/>
      </w:rPr>
      <w:pict>
        <v:line id="_x0000_s2083" style="position:absolute;z-index:251683840;visibility:visible" from="-9.95pt,16.55pt" to="429.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t xml:space="preserve">              </w:t>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t xml:space="preserve">        </w: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117</w:t>
    </w:r>
    <w:r w:rsidRPr="007E05F1">
      <w:rPr>
        <w:rFonts w:cs="Tahoma"/>
        <w:sz w:val="20"/>
        <w:szCs w:val="20"/>
        <w:lang w:val="en-US"/>
      </w:rPr>
      <w:fldChar w:fldCharType="end"/>
    </w:r>
    <w:r w:rsidR="00974DC9" w:rsidRPr="007E05F1">
      <w:rPr>
        <w:rFonts w:cs="Tahoma"/>
        <w:sz w:val="20"/>
        <w:szCs w:val="20"/>
        <w:lang w:val="en-US"/>
      </w:rPr>
      <w:t xml:space="preserve"> </w:t>
    </w:r>
  </w:p>
  <w:p w:rsidR="00974DC9" w:rsidRDefault="000C642E">
    <w:pPr>
      <w:pStyle w:val="Footer"/>
    </w:pPr>
    <w:r w:rsidRPr="000C642E">
      <w:rPr>
        <w:rFonts w:cs="Tahoma"/>
        <w:b/>
        <w:bCs/>
        <w:i/>
        <w:iCs/>
        <w:noProof/>
        <w:sz w:val="8"/>
        <w:lang w:val="en-IN" w:eastAsia="en-IN"/>
      </w:rPr>
      <w:pict>
        <v:line id="_x0000_s2082" style="position:absolute;left:0;text-align:left;z-index:251682816;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9E2740" w:rsidRDefault="000C642E" w:rsidP="009E2740">
    <w:pPr>
      <w:pStyle w:val="Footer"/>
      <w:rPr>
        <w:rFonts w:cs="Tahoma"/>
        <w:b/>
        <w:bCs/>
        <w:i/>
        <w:iCs/>
        <w:sz w:val="8"/>
        <w:lang w:val="en-US"/>
      </w:rPr>
    </w:pPr>
    <w:r>
      <w:rPr>
        <w:rFonts w:cs="Tahoma"/>
        <w:b/>
        <w:bCs/>
        <w:i/>
        <w:iCs/>
        <w:noProof/>
        <w:sz w:val="8"/>
        <w:lang w:val="en-US"/>
      </w:rPr>
      <w:pict>
        <v:line id="_x0000_s2086" style="position:absolute;left:0;text-align:left;z-index:2516889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5" style="position:absolute;left:0;text-align:left;z-index:25168793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r w:rsidRPr="000C642E">
      <w:rPr>
        <w:noProof/>
        <w:lang w:val="en-US"/>
      </w:rPr>
      <w:pict>
        <v:line id="_x0000_s2084" style="position:absolute;left:0;text-align:left;z-index:251685888;visibility:visible" from="-1.8pt,4.35pt" to="675.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118</w:t>
    </w:r>
    <w:r w:rsidRPr="007E05F1">
      <w:rPr>
        <w:rFonts w:cs="Tahoma"/>
        <w:sz w:val="20"/>
        <w:szCs w:val="20"/>
        <w:lang w:val="en-US"/>
      </w:rPr>
      <w:fldChar w:fldCharType="end"/>
    </w:r>
    <w:r w:rsidR="00974DC9" w:rsidRPr="007E05F1">
      <w:rPr>
        <w:rFonts w:cs="Tahoma"/>
        <w:sz w:val="20"/>
        <w:szCs w:val="20"/>
        <w:lang w:val="en-US"/>
      </w:rPr>
      <w:t xml:space="preserve"> </w:t>
    </w:r>
  </w:p>
  <w:p w:rsidR="00974DC9" w:rsidRDefault="000C642E">
    <w:pPr>
      <w:pStyle w:val="Footer"/>
    </w:pPr>
    <w:r w:rsidRPr="000C642E">
      <w:rPr>
        <w:noProof/>
        <w:lang w:val="en-IN" w:eastAsia="en-IN"/>
      </w:rPr>
      <w:pict>
        <v:line id="_x0000_s2088" style="position:absolute;left:0;text-align:left;z-index:25169100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0C642E">
      <w:rPr>
        <w:rFonts w:cs="Tahoma"/>
        <w:b/>
        <w:bCs/>
        <w:i/>
        <w:iCs/>
        <w:noProof/>
        <w:sz w:val="8"/>
        <w:lang w:val="en-IN" w:eastAsia="en-IN"/>
      </w:rPr>
      <w:pict>
        <v:line id="_x0000_s2087" style="position:absolute;left:0;text-align:left;z-index:25168998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3F5C37">
    <w:pPr>
      <w:pStyle w:val="Footer"/>
      <w:rPr>
        <w:rFonts w:cs="Tahoma"/>
        <w:b/>
        <w:bCs/>
        <w:i/>
        <w:iCs/>
        <w:sz w:val="8"/>
        <w:lang w:val="en-US"/>
      </w:rPr>
    </w:pPr>
    <w:r>
      <w:rPr>
        <w:rFonts w:cs="Tahoma"/>
        <w:b/>
        <w:bCs/>
        <w:i/>
        <w:iCs/>
        <w:noProof/>
        <w:sz w:val="8"/>
        <w:lang w:val="en-US"/>
      </w:rPr>
      <w:pict>
        <v:line id="_x0000_s2094" style="position:absolute;left:0;text-align:left;z-index:25169817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3" style="position:absolute;left:0;text-align:left;z-index:25169715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974DC9" w:rsidRPr="007E05F1" w:rsidRDefault="000C642E" w:rsidP="009E2740">
    <w:pPr>
      <w:pStyle w:val="Footer"/>
      <w:tabs>
        <w:tab w:val="clear" w:pos="4320"/>
        <w:tab w:val="clear" w:pos="8640"/>
      </w:tabs>
      <w:jc w:val="left"/>
      <w:rPr>
        <w:rFonts w:cs="Tahoma"/>
        <w:sz w:val="20"/>
        <w:szCs w:val="20"/>
        <w:lang w:val="en-US"/>
      </w:rPr>
    </w:pPr>
    <w:r w:rsidRPr="000C642E">
      <w:rPr>
        <w:noProof/>
        <w:lang w:val="en-US"/>
      </w:rPr>
      <w:pict>
        <v:line id="_x0000_s2092" style="position:absolute;z-index:251696128;visibility:visible" from="-12.8pt,17.6pt" to="426.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t xml:space="preserve">              </w:t>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r>
    <w:r w:rsidR="00974DC9">
      <w:rPr>
        <w:rFonts w:cs="Tahoma"/>
        <w:sz w:val="20"/>
        <w:szCs w:val="20"/>
        <w:lang w:val="en-US"/>
      </w:rPr>
      <w:tab/>
      <w:t xml:space="preserve"> </w: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123</w:t>
    </w:r>
    <w:r w:rsidRPr="007E05F1">
      <w:rPr>
        <w:rFonts w:cs="Tahoma"/>
        <w:sz w:val="20"/>
        <w:szCs w:val="20"/>
        <w:lang w:val="en-US"/>
      </w:rPr>
      <w:fldChar w:fldCharType="end"/>
    </w:r>
    <w:r w:rsidR="00974DC9" w:rsidRPr="007E05F1">
      <w:rPr>
        <w:rFonts w:cs="Tahoma"/>
        <w:sz w:val="20"/>
        <w:szCs w:val="20"/>
        <w:lang w:val="en-US"/>
      </w:rPr>
      <w:t xml:space="preserve"> </w:t>
    </w:r>
  </w:p>
  <w:p w:rsidR="00974DC9" w:rsidRDefault="000C642E">
    <w:pPr>
      <w:pStyle w:val="Footer"/>
    </w:pPr>
    <w:r w:rsidRPr="000C642E">
      <w:rPr>
        <w:noProof/>
        <w:lang w:val="en-IN" w:eastAsia="en-IN"/>
      </w:rPr>
      <w:pict>
        <v:line id="_x0000_s2096" style="position:absolute;left:0;text-align:left;z-index:251700224;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0C642E">
      <w:rPr>
        <w:rFonts w:cs="Tahoma"/>
        <w:b/>
        <w:bCs/>
        <w:i/>
        <w:iCs/>
        <w:noProof/>
        <w:sz w:val="8"/>
        <w:lang w:val="en-IN" w:eastAsia="en-IN"/>
      </w:rPr>
      <w:pict>
        <v:line id="_x0000_s2095" style="position:absolute;left:0;text-align:left;z-index:251699200;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3F5C37">
    <w:pPr>
      <w:pStyle w:val="Footer"/>
      <w:rPr>
        <w:rFonts w:cs="Tahoma"/>
        <w:b/>
        <w:bCs/>
        <w:i/>
        <w:iCs/>
        <w:sz w:val="8"/>
        <w:lang w:val="en-US"/>
      </w:rPr>
    </w:pPr>
    <w:r>
      <w:rPr>
        <w:rFonts w:cs="Tahoma"/>
        <w:b/>
        <w:bCs/>
        <w:i/>
        <w:iCs/>
        <w:noProof/>
        <w:sz w:val="8"/>
        <w:lang w:val="en-US"/>
      </w:rPr>
      <w:pict>
        <v:line id="_x0000_s2100" style="position:absolute;left:0;text-align:left;z-index:2517063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9" style="position:absolute;left:0;text-align:left;z-index:25170534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974DC9" w:rsidRPr="007E05F1" w:rsidRDefault="000C642E" w:rsidP="009E2740">
    <w:pPr>
      <w:pStyle w:val="Footer"/>
      <w:tabs>
        <w:tab w:val="clear" w:pos="4320"/>
        <w:tab w:val="clear" w:pos="8640"/>
      </w:tabs>
      <w:jc w:val="left"/>
      <w:rPr>
        <w:rFonts w:cs="Tahoma"/>
        <w:sz w:val="20"/>
        <w:szCs w:val="20"/>
        <w:lang w:val="en-US"/>
      </w:rPr>
    </w:pPr>
    <w:r w:rsidRPr="000C642E">
      <w:rPr>
        <w:noProof/>
        <w:lang w:val="en-US"/>
      </w:rPr>
      <w:pict>
        <v:line id="_x0000_s2098" style="position:absolute;z-index:251704320;visibility:visible" from="-2.75pt,.85pt" to="69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124</w:t>
    </w:r>
    <w:r w:rsidRPr="007E05F1">
      <w:rPr>
        <w:rFonts w:cs="Tahoma"/>
        <w:sz w:val="20"/>
        <w:szCs w:val="20"/>
        <w:lang w:val="en-US"/>
      </w:rPr>
      <w:fldChar w:fldCharType="end"/>
    </w:r>
  </w:p>
  <w:p w:rsidR="00974DC9" w:rsidRDefault="000C642E">
    <w:pPr>
      <w:pStyle w:val="Footer"/>
    </w:pPr>
    <w:r w:rsidRPr="000C642E">
      <w:rPr>
        <w:noProof/>
        <w:lang w:val="en-IN" w:eastAsia="en-IN"/>
      </w:rPr>
      <w:pict>
        <v:line id="_x0000_s2102" style="position:absolute;left:0;text-align:left;z-index:251708416;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0C642E">
      <w:rPr>
        <w:rFonts w:cs="Tahoma"/>
        <w:b/>
        <w:bCs/>
        <w:i/>
        <w:iCs/>
        <w:noProof/>
        <w:sz w:val="8"/>
        <w:lang w:val="en-IN" w:eastAsia="en-IN"/>
      </w:rPr>
      <w:pict>
        <v:line id="_x0000_s2101" style="position:absolute;left:0;text-align:left;z-index:25170739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3F5C37">
    <w:pPr>
      <w:pStyle w:val="Footer"/>
      <w:rPr>
        <w:rFonts w:cs="Tahoma"/>
        <w:b/>
        <w:bCs/>
        <w:i/>
        <w:iCs/>
        <w:sz w:val="8"/>
        <w:lang w:val="en-US"/>
      </w:rPr>
    </w:pPr>
    <w:r>
      <w:rPr>
        <w:rFonts w:cs="Tahoma"/>
        <w:b/>
        <w:bCs/>
        <w:i/>
        <w:iCs/>
        <w:noProof/>
        <w:sz w:val="8"/>
        <w:lang w:val="en-US"/>
      </w:rPr>
      <w:pict>
        <v:line id="_x0000_s2106" style="position:absolute;left:0;text-align:left;z-index:2517145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05" style="position:absolute;left:0;text-align:left;z-index:25171353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974DC9" w:rsidRPr="007E05F1" w:rsidRDefault="000C642E" w:rsidP="009E2740">
    <w:pPr>
      <w:pStyle w:val="Footer"/>
      <w:tabs>
        <w:tab w:val="clear" w:pos="4320"/>
        <w:tab w:val="clear" w:pos="8640"/>
      </w:tabs>
      <w:jc w:val="left"/>
      <w:rPr>
        <w:rFonts w:cs="Tahoma"/>
        <w:sz w:val="20"/>
        <w:szCs w:val="20"/>
        <w:lang w:val="en-US"/>
      </w:rPr>
    </w:pPr>
    <w:r w:rsidRPr="000C642E">
      <w:rPr>
        <w:noProof/>
        <w:lang w:val="en-US"/>
      </w:rPr>
      <w:pict>
        <v:line id="_x0000_s2104" style="position:absolute;z-index:251712512;visibility:visible" from="-14.3pt,2.4pt" to="430.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125</w:t>
    </w:r>
    <w:r w:rsidRPr="007E05F1">
      <w:rPr>
        <w:rFonts w:cs="Tahoma"/>
        <w:sz w:val="20"/>
        <w:szCs w:val="20"/>
        <w:lang w:val="en-US"/>
      </w:rPr>
      <w:fldChar w:fldCharType="end"/>
    </w:r>
  </w:p>
  <w:p w:rsidR="00974DC9" w:rsidRDefault="000C642E">
    <w:pPr>
      <w:pStyle w:val="Footer"/>
    </w:pPr>
    <w:r w:rsidRPr="000C642E">
      <w:rPr>
        <w:noProof/>
        <w:lang w:val="en-IN" w:eastAsia="en-IN"/>
      </w:rPr>
      <w:pict>
        <v:line id="_x0000_s2108" style="position:absolute;left:0;text-align:left;z-index:25171660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0C642E">
      <w:rPr>
        <w:rFonts w:cs="Tahoma"/>
        <w:b/>
        <w:bCs/>
        <w:i/>
        <w:iCs/>
        <w:noProof/>
        <w:sz w:val="8"/>
        <w:lang w:val="en-IN" w:eastAsia="en-IN"/>
      </w:rPr>
      <w:pict>
        <v:line id="_x0000_s2107" style="position:absolute;left:0;text-align:left;z-index:25171558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3F5C37">
    <w:pPr>
      <w:pStyle w:val="Footer"/>
      <w:rPr>
        <w:rFonts w:cs="Tahoma"/>
        <w:b/>
        <w:bCs/>
        <w:i/>
        <w:iCs/>
        <w:sz w:val="8"/>
        <w:lang w:val="en-US"/>
      </w:rPr>
    </w:pPr>
    <w:r>
      <w:rPr>
        <w:rFonts w:cs="Tahoma"/>
        <w:b/>
        <w:bCs/>
        <w:i/>
        <w:iCs/>
        <w:noProof/>
        <w:sz w:val="8"/>
        <w:lang w:val="en-US"/>
      </w:rPr>
      <w:pict>
        <v:line id="_x0000_s2125" style="position:absolute;left:0;text-align:left;z-index:25174528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24" style="position:absolute;left:0;text-align:left;z-index:25174425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974DC9" w:rsidRPr="007E05F1" w:rsidRDefault="000C642E" w:rsidP="009E2740">
    <w:pPr>
      <w:pStyle w:val="Footer"/>
      <w:tabs>
        <w:tab w:val="clear" w:pos="4320"/>
        <w:tab w:val="clear" w:pos="8640"/>
      </w:tabs>
      <w:jc w:val="left"/>
      <w:rPr>
        <w:rFonts w:cs="Tahoma"/>
        <w:sz w:val="20"/>
        <w:szCs w:val="20"/>
        <w:lang w:val="en-US"/>
      </w:rPr>
    </w:pPr>
    <w:r w:rsidRPr="000C642E">
      <w:rPr>
        <w:noProof/>
        <w:lang w:val="en-US"/>
      </w:rPr>
      <w:pict>
        <v:line id="_x0000_s2123" style="position:absolute;z-index:251743232;visibility:visible" from="-12.8pt,7pt" to="7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974DC9" w:rsidRPr="007E05F1">
      <w:rPr>
        <w:rFonts w:cs="Tahoma"/>
        <w:sz w:val="20"/>
        <w:szCs w:val="20"/>
        <w:lang w:val="en-US"/>
      </w:rPr>
      <w:t xml:space="preserve">Page </w:t>
    </w:r>
    <w:r w:rsidRPr="007E05F1">
      <w:rPr>
        <w:rFonts w:cs="Tahoma"/>
        <w:sz w:val="20"/>
        <w:szCs w:val="20"/>
        <w:lang w:val="en-US"/>
      </w:rPr>
      <w:fldChar w:fldCharType="begin"/>
    </w:r>
    <w:r w:rsidR="00974DC9" w:rsidRPr="007E05F1">
      <w:rPr>
        <w:rFonts w:cs="Tahoma"/>
        <w:sz w:val="20"/>
        <w:szCs w:val="20"/>
        <w:lang w:val="en-US"/>
      </w:rPr>
      <w:instrText xml:space="preserve"> PAGE </w:instrText>
    </w:r>
    <w:r w:rsidRPr="007E05F1">
      <w:rPr>
        <w:rFonts w:cs="Tahoma"/>
        <w:sz w:val="20"/>
        <w:szCs w:val="20"/>
        <w:lang w:val="en-US"/>
      </w:rPr>
      <w:fldChar w:fldCharType="separate"/>
    </w:r>
    <w:r w:rsidR="008E7C6A">
      <w:rPr>
        <w:rFonts w:cs="Tahoma"/>
        <w:noProof/>
        <w:sz w:val="20"/>
        <w:szCs w:val="20"/>
        <w:lang w:val="en-US"/>
      </w:rPr>
      <w:t>126</w:t>
    </w:r>
    <w:r w:rsidRPr="007E05F1">
      <w:rPr>
        <w:rFonts w:cs="Tahoma"/>
        <w:sz w:val="20"/>
        <w:szCs w:val="20"/>
        <w:lang w:val="en-US"/>
      </w:rPr>
      <w:fldChar w:fldCharType="end"/>
    </w:r>
  </w:p>
  <w:p w:rsidR="00974DC9" w:rsidRDefault="000C642E">
    <w:pPr>
      <w:pStyle w:val="Footer"/>
    </w:pPr>
    <w:r w:rsidRPr="000C642E">
      <w:rPr>
        <w:noProof/>
        <w:lang w:val="en-IN" w:eastAsia="en-IN"/>
      </w:rPr>
      <w:pict>
        <v:line id="_x0000_s2127" style="position:absolute;left:0;text-align:left;z-index:25174732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0C642E">
      <w:rPr>
        <w:rFonts w:cs="Tahoma"/>
        <w:b/>
        <w:bCs/>
        <w:i/>
        <w:iCs/>
        <w:noProof/>
        <w:sz w:val="8"/>
        <w:lang w:val="en-IN" w:eastAsia="en-IN"/>
      </w:rPr>
      <w:pict>
        <v:line id="_x0000_s2126" style="position:absolute;left:0;text-align:left;z-index:25174630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1EC" w:rsidRDefault="008B21EC">
      <w:r>
        <w:separator/>
      </w:r>
    </w:p>
  </w:footnote>
  <w:footnote w:type="continuationSeparator" w:id="0">
    <w:p w:rsidR="008B21EC" w:rsidRDefault="008B21EC">
      <w:r>
        <w:continuationSeparator/>
      </w:r>
    </w:p>
  </w:footnote>
  <w:footnote w:id="1">
    <w:p w:rsidR="00974DC9" w:rsidRPr="00461935" w:rsidRDefault="00974DC9" w:rsidP="00B33B51">
      <w:pPr>
        <w:pStyle w:val="FootnoteText"/>
        <w:rPr>
          <w:rFonts w:asciiTheme="minorHAnsi" w:hAnsiTheme="minorHAnsi"/>
          <w:i/>
          <w:lang w:val="en-US"/>
        </w:rPr>
      </w:pPr>
      <w:r w:rsidRPr="00461935">
        <w:rPr>
          <w:rStyle w:val="FootnoteReference"/>
          <w:rFonts w:asciiTheme="minorHAnsi" w:hAnsiTheme="minorHAnsi"/>
          <w:i/>
        </w:rPr>
        <w:footnoteRef/>
      </w:r>
      <w:r w:rsidRPr="00461935">
        <w:rPr>
          <w:rFonts w:asciiTheme="minorHAnsi" w:hAnsiTheme="minorHAnsi"/>
          <w:i/>
        </w:rPr>
        <w:t xml:space="preserve"> </w:t>
      </w:r>
      <w:r w:rsidRPr="00461935">
        <w:rPr>
          <w:rFonts w:asciiTheme="minorHAnsi" w:hAnsiTheme="minorHAnsi"/>
          <w:i/>
          <w:lang w:val="en-US"/>
        </w:rPr>
        <w:t>DVVNL, MVVNL, PVVNL and PuVVNL</w:t>
      </w:r>
    </w:p>
  </w:footnote>
  <w:footnote w:id="2">
    <w:p w:rsidR="00974DC9" w:rsidRPr="00037C69" w:rsidRDefault="00974DC9" w:rsidP="00B33B51">
      <w:pPr>
        <w:pStyle w:val="FootnoteText"/>
        <w:rPr>
          <w:rFonts w:asciiTheme="minorHAnsi" w:hAnsiTheme="minorHAnsi"/>
          <w:i/>
          <w:lang w:val="en-US"/>
        </w:rPr>
      </w:pPr>
      <w:r w:rsidRPr="00037C69">
        <w:rPr>
          <w:rStyle w:val="FootnoteReference"/>
          <w:rFonts w:asciiTheme="minorHAnsi" w:hAnsiTheme="minorHAnsi"/>
          <w:i/>
        </w:rPr>
        <w:footnoteRef/>
      </w:r>
      <w:r w:rsidRPr="00037C69">
        <w:rPr>
          <w:rFonts w:asciiTheme="minorHAnsi" w:hAnsiTheme="minorHAnsi"/>
          <w:i/>
        </w:rPr>
        <w:t xml:space="preserve"> </w:t>
      </w:r>
      <w:r w:rsidRPr="00037C69">
        <w:rPr>
          <w:rFonts w:asciiTheme="minorHAnsi" w:hAnsiTheme="minorHAnsi"/>
          <w:i/>
          <w:lang w:val="en-US"/>
        </w:rPr>
        <w:t xml:space="preserve">Taking into consideration the revenue gap of Rs. 1,166 </w:t>
      </w:r>
      <w:r>
        <w:rPr>
          <w:rFonts w:asciiTheme="minorHAnsi" w:hAnsiTheme="minorHAnsi"/>
          <w:i/>
          <w:lang w:val="en-US"/>
        </w:rPr>
        <w:t xml:space="preserve">crores </w:t>
      </w:r>
      <w:r w:rsidRPr="00037C69">
        <w:rPr>
          <w:rFonts w:asciiTheme="minorHAnsi" w:hAnsiTheme="minorHAnsi"/>
          <w:i/>
          <w:lang w:val="en-US"/>
        </w:rPr>
        <w:t xml:space="preserve">for FY 2013-14 and </w:t>
      </w:r>
      <w:r>
        <w:rPr>
          <w:rFonts w:asciiTheme="minorHAnsi" w:hAnsiTheme="minorHAnsi"/>
          <w:i/>
          <w:lang w:val="en-US"/>
        </w:rPr>
        <w:t>R</w:t>
      </w:r>
      <w:r w:rsidRPr="00037C69">
        <w:rPr>
          <w:rFonts w:asciiTheme="minorHAnsi" w:hAnsiTheme="minorHAnsi"/>
          <w:i/>
          <w:lang w:val="en-US"/>
        </w:rPr>
        <w:t xml:space="preserve">evenue gap </w:t>
      </w:r>
      <w:r>
        <w:rPr>
          <w:rFonts w:asciiTheme="minorHAnsi" w:hAnsiTheme="minorHAnsi"/>
          <w:i/>
          <w:lang w:val="en-US"/>
        </w:rPr>
        <w:t xml:space="preserve">of Rs. 2,487.93 crores </w:t>
      </w:r>
      <w:r w:rsidRPr="00037C69">
        <w:rPr>
          <w:rFonts w:asciiTheme="minorHAnsi" w:hAnsiTheme="minorHAnsi"/>
          <w:i/>
          <w:lang w:val="en-US"/>
        </w:rPr>
        <w:t>consequent to final truing up for FY 2000-01 to 2007-08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0C642E" w:rsidP="0066627E">
    <w:pPr>
      <w:pStyle w:val="Header"/>
      <w:jc w:val="right"/>
      <w:rPr>
        <w:i/>
        <w:sz w:val="20"/>
      </w:rPr>
    </w:pPr>
    <w:r w:rsidRPr="000C642E">
      <w:rPr>
        <w:noProof/>
        <w:lang w:val="en-US"/>
      </w:rPr>
      <w:pict>
        <v:line id="_x0000_s2063" style="position:absolute;left:0;text-align:left;z-index:251660288;visibility:visible" from="-1.5pt,62.6pt" to="434.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BYCU2MXAgAAKgQAAA4AAAAAAAAAAAAAAAAALgIAAGRycy9lMm9Eb2MueG1sUEsBAi0AFAAGAAgA&#10;AAAhAE6WyULcAAAACgEAAA8AAAAAAAAAAAAAAAAAcQQAAGRycy9kb3ducmV2LnhtbFBLBQYAAAAA&#10;BAAEAPMAAAB6BQAAAAA=&#10;" strokecolor="#1f497d" strokeweight="1.25pt"/>
      </w:pict>
    </w:r>
    <w:r w:rsidR="00974DC9" w:rsidRPr="0066627E">
      <w:rPr>
        <w:noProof/>
        <w:lang w:val="en-US"/>
      </w:rPr>
      <w:drawing>
        <wp:inline distT="0" distB="0" distL="0" distR="0">
          <wp:extent cx="647700" cy="647700"/>
          <wp:effectExtent l="0" t="0" r="0" b="0"/>
          <wp:docPr id="36" name="Picture 36"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rsidR="00974DC9" w:rsidRPr="0066627E">
      <w:t xml:space="preserve">                                                                     </w:t>
    </w:r>
    <w:r w:rsidR="00974DC9">
      <w:rPr>
        <w:i/>
        <w:sz w:val="20"/>
      </w:rPr>
      <w:t>Determination of ARR and Tariff of DVVNL</w:t>
    </w:r>
  </w:p>
  <w:p w:rsidR="00974DC9" w:rsidRPr="0066627E" w:rsidRDefault="00974DC9" w:rsidP="0066627E">
    <w:pPr>
      <w:pStyle w:val="Heade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1"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szCs w:val="20"/>
      </w:rPr>
      <w:t xml:space="preserve">Determination of ARR and </w:t>
    </w:r>
    <w:r w:rsidRPr="00B6794F">
      <w:rPr>
        <w:i/>
        <w:sz w:val="20"/>
        <w:szCs w:val="20"/>
      </w:rPr>
      <w:t xml:space="preserve">Tariff </w:t>
    </w:r>
    <w:r w:rsidRPr="00942C19">
      <w:rPr>
        <w:i/>
        <w:sz w:val="20"/>
        <w:szCs w:val="20"/>
      </w:rPr>
      <w:t>of MVVNL</w:t>
    </w:r>
  </w:p>
  <w:p w:rsidR="00974DC9" w:rsidRDefault="000C642E" w:rsidP="009036DE">
    <w:pPr>
      <w:pStyle w:val="Header"/>
    </w:pPr>
    <w:r w:rsidRPr="000C642E">
      <w:rPr>
        <w:noProof/>
        <w:lang w:val="en-IN" w:eastAsia="en-IN"/>
      </w:rPr>
      <w:pict>
        <v:line id="_x0000_s2120" style="position:absolute;left:0;text-align:left;z-index:251737088;visibility:visible" from="19.25pt,4.8pt" to="452.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14"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szCs w:val="20"/>
      </w:rPr>
      <w:t xml:space="preserve">Determination of ARR and </w:t>
    </w:r>
    <w:r w:rsidRPr="00B6794F">
      <w:rPr>
        <w:i/>
        <w:sz w:val="20"/>
        <w:szCs w:val="20"/>
      </w:rPr>
      <w:t xml:space="preserve">Tariff </w:t>
    </w:r>
    <w:r w:rsidRPr="00942C19">
      <w:rPr>
        <w:i/>
        <w:sz w:val="20"/>
        <w:szCs w:val="20"/>
      </w:rPr>
      <w:t>of MVVNL</w:t>
    </w:r>
  </w:p>
  <w:p w:rsidR="00974DC9" w:rsidRDefault="000C642E" w:rsidP="009036DE">
    <w:pPr>
      <w:pStyle w:val="Header"/>
    </w:pPr>
    <w:r w:rsidRPr="000C642E">
      <w:rPr>
        <w:noProof/>
        <w:lang w:val="en-IN" w:eastAsia="en-IN"/>
      </w:rPr>
      <w:pict>
        <v:line id="_x0000_s2129" style="position:absolute;left:0;text-align:left;z-index:251751424;visibility:visible" from="19.25pt,4.8pt" to="679.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13"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szCs w:val="20"/>
      </w:rPr>
      <w:t xml:space="preserve">Determination of ARR and </w:t>
    </w:r>
    <w:r w:rsidRPr="00B6794F">
      <w:rPr>
        <w:i/>
        <w:sz w:val="20"/>
        <w:szCs w:val="20"/>
      </w:rPr>
      <w:t xml:space="preserve">Tariff </w:t>
    </w:r>
    <w:r w:rsidRPr="00942C19">
      <w:rPr>
        <w:i/>
        <w:sz w:val="20"/>
        <w:szCs w:val="20"/>
      </w:rPr>
      <w:t>of MVVNL</w:t>
    </w:r>
  </w:p>
  <w:p w:rsidR="00974DC9" w:rsidRDefault="000C642E" w:rsidP="009036DE">
    <w:pPr>
      <w:pStyle w:val="Header"/>
    </w:pPr>
    <w:r w:rsidRPr="000C642E">
      <w:rPr>
        <w:noProof/>
        <w:lang w:val="en-IN" w:eastAsia="en-IN"/>
      </w:rPr>
      <w:pict>
        <v:line id="_x0000_s2128" style="position:absolute;left:0;text-align:left;z-index:251749376;visibility:visible" from="0,4.8pt" to="433.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331ACB" w:rsidRDefault="00974DC9" w:rsidP="00514784">
    <w:pPr>
      <w:pStyle w:val="Header"/>
    </w:pPr>
    <w:r>
      <w:rPr>
        <w:noProof/>
        <w:lang w:val="en-US"/>
      </w:rPr>
      <w:drawing>
        <wp:inline distT="0" distB="0" distL="0" distR="0">
          <wp:extent cx="647700" cy="647700"/>
          <wp:effectExtent l="0" t="0" r="0" b="0"/>
          <wp:docPr id="7"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szCs w:val="20"/>
      </w:rPr>
      <w:t xml:space="preserve">Determination of ARR and </w:t>
    </w:r>
    <w:r w:rsidRPr="00B6794F">
      <w:rPr>
        <w:i/>
        <w:sz w:val="20"/>
        <w:szCs w:val="20"/>
      </w:rPr>
      <w:t xml:space="preserve">Tariff </w:t>
    </w:r>
    <w:r w:rsidRPr="00942C19">
      <w:rPr>
        <w:i/>
        <w:sz w:val="20"/>
        <w:szCs w:val="20"/>
      </w:rPr>
      <w:t xml:space="preserve">of MVVNL </w:t>
    </w:r>
    <w:r>
      <w:rPr>
        <w:i/>
        <w:sz w:val="20"/>
      </w:rPr>
      <w:t xml:space="preserve"> </w:t>
    </w:r>
  </w:p>
  <w:p w:rsidR="00974DC9" w:rsidRDefault="000C642E" w:rsidP="009036DE">
    <w:pPr>
      <w:pStyle w:val="Header"/>
    </w:pPr>
    <w:r w:rsidRPr="000C642E">
      <w:rPr>
        <w:noProof/>
        <w:lang w:val="en-IN" w:eastAsia="en-IN"/>
      </w:rPr>
      <w:pict>
        <v:line id="_x0000_s2118" style="position:absolute;left:0;text-align:left;z-index:251732992;visibility:visible" from="19.25pt,4.8pt" to="72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2"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t xml:space="preserve">          </w:t>
    </w:r>
    <w:r>
      <w:rPr>
        <w:i/>
        <w:sz w:val="20"/>
        <w:szCs w:val="20"/>
      </w:rPr>
      <w:t xml:space="preserve">Determination of ARR and </w:t>
    </w:r>
    <w:r w:rsidRPr="00B6794F">
      <w:rPr>
        <w:i/>
        <w:sz w:val="20"/>
        <w:szCs w:val="20"/>
      </w:rPr>
      <w:t xml:space="preserve">Tariff of </w:t>
    </w:r>
    <w:r w:rsidRPr="00942C19">
      <w:rPr>
        <w:i/>
        <w:sz w:val="20"/>
        <w:szCs w:val="20"/>
      </w:rPr>
      <w:t>MVVNL</w:t>
    </w:r>
  </w:p>
  <w:p w:rsidR="00974DC9" w:rsidRDefault="000C642E" w:rsidP="009036DE">
    <w:pPr>
      <w:pStyle w:val="Header"/>
    </w:pPr>
    <w:r w:rsidRPr="000C642E">
      <w:rPr>
        <w:noProof/>
        <w:lang w:val="en-IN" w:eastAsia="en-IN"/>
      </w:rPr>
      <w:pict>
        <v:line id="_x0000_s2116" style="position:absolute;left:0;text-align:left;z-index:251728896;visibility:visible" from="0,4.8pt" to="433.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1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t xml:space="preserve">                                                                                                      </w:t>
    </w:r>
    <w:r>
      <w:rPr>
        <w:i/>
        <w:sz w:val="20"/>
        <w:szCs w:val="20"/>
      </w:rPr>
      <w:t xml:space="preserve">Determination of ARR and </w:t>
    </w:r>
    <w:r w:rsidRPr="00B6794F">
      <w:rPr>
        <w:i/>
        <w:sz w:val="20"/>
        <w:szCs w:val="20"/>
      </w:rPr>
      <w:t xml:space="preserve">Tariff of </w:t>
    </w:r>
    <w:r w:rsidRPr="00942C19">
      <w:rPr>
        <w:i/>
        <w:sz w:val="20"/>
        <w:szCs w:val="20"/>
      </w:rPr>
      <w:t>MVVNL</w:t>
    </w:r>
  </w:p>
  <w:p w:rsidR="00974DC9" w:rsidRDefault="000C642E" w:rsidP="009036DE">
    <w:pPr>
      <w:pStyle w:val="Header"/>
    </w:pPr>
    <w:r w:rsidRPr="000C642E">
      <w:rPr>
        <w:noProof/>
        <w:lang w:val="en-IN" w:eastAsia="en-IN"/>
      </w:rPr>
      <w:pict>
        <v:line id="_x0000_s2131" style="position:absolute;left:0;text-align:left;z-index:251755520;visibility:visible" from="0,4.8pt" to="683.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B6794F" w:rsidRDefault="00974DC9" w:rsidP="00B6794F">
    <w:pPr>
      <w:pStyle w:val="Header"/>
      <w:rPr>
        <w:i/>
        <w:sz w:val="20"/>
        <w:szCs w:val="20"/>
      </w:rPr>
    </w:pPr>
    <w:r>
      <w:rPr>
        <w:noProof/>
        <w:lang w:val="en-US"/>
      </w:rPr>
      <w:drawing>
        <wp:inline distT="0" distB="0" distL="0" distR="0">
          <wp:extent cx="647700" cy="647700"/>
          <wp:effectExtent l="0" t="0" r="0" b="0"/>
          <wp:docPr id="2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w:t>
    </w:r>
    <w:r w:rsidRPr="00942C19">
      <w:rPr>
        <w:i/>
        <w:sz w:val="20"/>
        <w:szCs w:val="20"/>
      </w:rPr>
      <w:t>of MVVNL</w:t>
    </w:r>
  </w:p>
  <w:p w:rsidR="00974DC9" w:rsidRDefault="000C642E" w:rsidP="00133DBE">
    <w:pPr>
      <w:pStyle w:val="Header"/>
    </w:pPr>
    <w:r>
      <w:rPr>
        <w:noProof/>
        <w:lang w:val="en-US"/>
      </w:rPr>
      <w:pict>
        <v:line id="Line 49" o:spid="_x0000_s2064" style="position:absolute;left:0;text-align:left;z-index:251662336;visibility:visible" from="-1.5pt,1.1pt" to="43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331ACB" w:rsidRDefault="00974DC9" w:rsidP="003F5C37">
    <w:pPr>
      <w:pStyle w:val="Header"/>
      <w:jc w:val="right"/>
    </w:pPr>
    <w:r>
      <w:rPr>
        <w:noProof/>
        <w:lang w:val="en-US"/>
      </w:rPr>
      <w:drawing>
        <wp:inline distT="0" distB="0" distL="0" distR="0">
          <wp:extent cx="647700" cy="647700"/>
          <wp:effectExtent l="0" t="0" r="0" b="0"/>
          <wp:docPr id="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942C19">
      <w:rPr>
        <w:i/>
        <w:sz w:val="20"/>
      </w:rPr>
      <w:t>MVVNL</w:t>
    </w:r>
    <w:r>
      <w:rPr>
        <w:i/>
        <w:sz w:val="20"/>
      </w:rPr>
      <w:t xml:space="preserve"> </w:t>
    </w:r>
  </w:p>
  <w:p w:rsidR="00974DC9" w:rsidRDefault="000C642E">
    <w:pPr>
      <w:pStyle w:val="Header"/>
    </w:pPr>
    <w:r>
      <w:rPr>
        <w:noProof/>
        <w:lang w:val="en-US"/>
      </w:rPr>
      <w:pict>
        <v:line id="_x0000_s2067" style="position:absolute;left:0;text-align:left;z-index:251666432;visibility:visible" from="-1.5pt,1.1pt" to="69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p w:rsidR="00974DC9" w:rsidRDefault="00974DC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331ACB" w:rsidRDefault="00974DC9" w:rsidP="003F5C37">
    <w:pPr>
      <w:pStyle w:val="Header"/>
      <w:jc w:val="right"/>
    </w:pPr>
    <w:r>
      <w:rPr>
        <w:noProof/>
        <w:lang w:val="en-US"/>
      </w:rPr>
      <w:drawing>
        <wp:inline distT="0" distB="0" distL="0" distR="0">
          <wp:extent cx="647700" cy="647700"/>
          <wp:effectExtent l="0" t="0" r="0" b="0"/>
          <wp:docPr id="6"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of </w:t>
    </w:r>
    <w:r w:rsidRPr="00942C19">
      <w:rPr>
        <w:i/>
        <w:sz w:val="20"/>
        <w:szCs w:val="20"/>
      </w:rPr>
      <w:t>MVVNL</w:t>
    </w:r>
  </w:p>
  <w:p w:rsidR="00974DC9" w:rsidRDefault="000C642E" w:rsidP="009036DE">
    <w:pPr>
      <w:pStyle w:val="Header"/>
    </w:pPr>
    <w:r>
      <w:rPr>
        <w:noProof/>
        <w:lang w:val="en-US"/>
      </w:rPr>
      <w:pict>
        <v:line id="_x0000_s2075" style="position:absolute;left:0;text-align:left;z-index:251673600;visibility:visible" from="-1.5pt,1.1pt" to="43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331ACB" w:rsidRDefault="00974DC9" w:rsidP="003F5C37">
    <w:pPr>
      <w:pStyle w:val="Header"/>
      <w:jc w:val="right"/>
    </w:pPr>
    <w:r>
      <w:rPr>
        <w:noProof/>
        <w:lang w:val="en-US"/>
      </w:rPr>
      <w:drawing>
        <wp:inline distT="0" distB="0" distL="0" distR="0">
          <wp:extent cx="647700" cy="647700"/>
          <wp:effectExtent l="0" t="0" r="0" b="0"/>
          <wp:docPr id="8"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942C19">
      <w:rPr>
        <w:i/>
        <w:sz w:val="20"/>
      </w:rPr>
      <w:t>MVVNL</w:t>
    </w:r>
    <w:r>
      <w:rPr>
        <w:i/>
        <w:sz w:val="20"/>
      </w:rPr>
      <w:t xml:space="preserve"> </w:t>
    </w:r>
  </w:p>
  <w:p w:rsidR="00974DC9" w:rsidRDefault="000C642E" w:rsidP="009E2740">
    <w:pPr>
      <w:pStyle w:val="Header"/>
    </w:pPr>
    <w:r w:rsidRPr="000C642E">
      <w:rPr>
        <w:noProof/>
        <w:lang w:val="en-IN" w:eastAsia="en-IN"/>
      </w:rPr>
      <w:pict>
        <v:line id="_x0000_s2090" style="position:absolute;left:0;text-align:left;z-index:251692032;visibility:visible" from="19.05pt,-.2pt" to="69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Pr="00331ACB" w:rsidRDefault="00974DC9" w:rsidP="003F5C37">
    <w:pPr>
      <w:pStyle w:val="Header"/>
      <w:jc w:val="right"/>
    </w:pPr>
    <w:r>
      <w:rPr>
        <w:noProof/>
        <w:lang w:val="en-US"/>
      </w:rPr>
      <w:drawing>
        <wp:inline distT="0" distB="0" distL="0" distR="0">
          <wp:extent cx="647700" cy="647700"/>
          <wp:effectExtent l="0" t="0" r="0" b="0"/>
          <wp:docPr id="9"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942C19">
      <w:rPr>
        <w:i/>
        <w:sz w:val="20"/>
      </w:rPr>
      <w:t>MVVNL</w:t>
    </w:r>
    <w:r>
      <w:rPr>
        <w:i/>
        <w:sz w:val="20"/>
      </w:rPr>
      <w:t xml:space="preserve"> </w:t>
    </w:r>
  </w:p>
  <w:p w:rsidR="00974DC9" w:rsidRDefault="000C642E" w:rsidP="009036DE">
    <w:pPr>
      <w:pStyle w:val="Header"/>
    </w:pPr>
    <w:r w:rsidRPr="000C642E">
      <w:rPr>
        <w:noProof/>
        <w:lang w:val="en-IN" w:eastAsia="en-IN"/>
      </w:rPr>
      <w:pict>
        <v:line id="_x0000_s2091" style="position:absolute;left:0;text-align:left;z-index:251694080;visibility:visible" from="15.9pt,4pt" to="435.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10"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w:t>
    </w:r>
    <w:r w:rsidRPr="00942C19">
      <w:rPr>
        <w:i/>
        <w:sz w:val="20"/>
      </w:rPr>
      <w:t>MVVNL</w:t>
    </w:r>
    <w:r>
      <w:rPr>
        <w:i/>
        <w:sz w:val="20"/>
      </w:rPr>
      <w:t xml:space="preserve"> </w:t>
    </w:r>
  </w:p>
  <w:p w:rsidR="00974DC9" w:rsidRDefault="000C642E" w:rsidP="009036DE">
    <w:pPr>
      <w:pStyle w:val="Header"/>
    </w:pPr>
    <w:r w:rsidRPr="000C642E">
      <w:rPr>
        <w:noProof/>
        <w:lang w:val="en-IN" w:eastAsia="en-IN"/>
      </w:rPr>
      <w:pict>
        <v:line id="_x0000_s2097" style="position:absolute;left:0;text-align:left;flip:y;z-index:251702272;visibility:visible" from="-12.8pt,6.7pt" to="682.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11"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w:t>
    </w:r>
    <w:r w:rsidRPr="00942C19">
      <w:rPr>
        <w:i/>
        <w:sz w:val="20"/>
      </w:rPr>
      <w:t>MVVNL</w:t>
    </w:r>
    <w:r>
      <w:rPr>
        <w:i/>
        <w:sz w:val="20"/>
      </w:rPr>
      <w:t xml:space="preserve"> </w:t>
    </w:r>
  </w:p>
  <w:p w:rsidR="00974DC9" w:rsidRDefault="000C642E" w:rsidP="009036DE">
    <w:pPr>
      <w:pStyle w:val="Header"/>
    </w:pPr>
    <w:r w:rsidRPr="000C642E">
      <w:rPr>
        <w:noProof/>
        <w:lang w:val="en-IN" w:eastAsia="en-IN"/>
      </w:rPr>
      <w:pict>
        <v:line id="_x0000_s2121" style="position:absolute;left:0;text-align:left;flip:y;z-index:251739136;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C9" w:rsidRDefault="00974DC9">
    <w:pPr>
      <w:pStyle w:val="Header"/>
      <w:jc w:val="left"/>
    </w:pPr>
    <w:r>
      <w:rPr>
        <w:noProof/>
        <w:lang w:val="en-US"/>
      </w:rPr>
      <w:drawing>
        <wp:inline distT="0" distB="0" distL="0" distR="0">
          <wp:extent cx="647700" cy="647700"/>
          <wp:effectExtent l="0" t="0" r="0" b="0"/>
          <wp:docPr id="12"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w:t>
    </w:r>
    <w:r w:rsidRPr="00942C19">
      <w:rPr>
        <w:i/>
        <w:sz w:val="20"/>
      </w:rPr>
      <w:t>MVVNL</w:t>
    </w:r>
    <w:r>
      <w:rPr>
        <w:i/>
        <w:sz w:val="20"/>
      </w:rPr>
      <w:t xml:space="preserve"> </w:t>
    </w:r>
  </w:p>
  <w:p w:rsidR="00974DC9" w:rsidRDefault="000C642E" w:rsidP="009036DE">
    <w:pPr>
      <w:pStyle w:val="Header"/>
    </w:pPr>
    <w:r w:rsidRPr="000C642E">
      <w:rPr>
        <w:noProof/>
        <w:lang w:val="en-IN" w:eastAsia="en-IN"/>
      </w:rPr>
      <w:pict>
        <v:line id="_x0000_s2122" style="position:absolute;left:0;text-align:left;flip:y;z-index:251741184;visibility:visible" from="-12.8pt,6.7pt" to="678.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0DE"/>
    <w:multiLevelType w:val="hybridMultilevel"/>
    <w:tmpl w:val="D6DC7220"/>
    <w:lvl w:ilvl="0" w:tplc="B20E4DB6">
      <w:start w:val="1"/>
      <w:numFmt w:val="lowerRoman"/>
      <w:lvlText w:val="(%1)"/>
      <w:lvlJc w:val="left"/>
      <w:pPr>
        <w:tabs>
          <w:tab w:val="num" w:pos="1080"/>
        </w:tabs>
        <w:ind w:left="720" w:hanging="360"/>
      </w:pPr>
    </w:lvl>
    <w:lvl w:ilvl="1" w:tplc="7E503096">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EE2036"/>
    <w:multiLevelType w:val="hybridMultilevel"/>
    <w:tmpl w:val="1B9E0596"/>
    <w:lvl w:ilvl="0" w:tplc="0409000F">
      <w:start w:val="1"/>
      <w:numFmt w:val="decimal"/>
      <w:lvlText w:val="%1."/>
      <w:lvlJc w:val="left"/>
      <w:pPr>
        <w:ind w:left="540" w:hanging="360"/>
      </w:pPr>
    </w:lvl>
    <w:lvl w:ilvl="1" w:tplc="0409000B">
      <w:start w:val="1"/>
      <w:numFmt w:val="bullet"/>
      <w:lvlText w:val=""/>
      <w:lvlJc w:val="left"/>
      <w:pPr>
        <w:ind w:left="1260" w:hanging="360"/>
      </w:pPr>
      <w:rPr>
        <w:rFonts w:ascii="Wingdings" w:hAnsi="Wingdings" w:hint="default"/>
      </w:rPr>
    </w:lvl>
    <w:lvl w:ilvl="2" w:tplc="0409001B">
      <w:start w:val="1"/>
      <w:numFmt w:val="lowerRoman"/>
      <w:lvlText w:val="%3."/>
      <w:lvlJc w:val="right"/>
      <w:pPr>
        <w:ind w:left="1980" w:hanging="180"/>
      </w:pPr>
    </w:lvl>
    <w:lvl w:ilvl="3" w:tplc="FE187BD8">
      <w:start w:val="1"/>
      <w:numFmt w:val="lowerLetter"/>
      <w:lvlText w:val="%4."/>
      <w:lvlJc w:val="left"/>
      <w:pPr>
        <w:ind w:left="3060" w:hanging="72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3463DB7"/>
    <w:multiLevelType w:val="hybridMultilevel"/>
    <w:tmpl w:val="DAB272F8"/>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99283B"/>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0C7404"/>
    <w:multiLevelType w:val="hybridMultilevel"/>
    <w:tmpl w:val="C55001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B295340"/>
    <w:multiLevelType w:val="hybridMultilevel"/>
    <w:tmpl w:val="E702C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4909A1"/>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39700C"/>
    <w:multiLevelType w:val="hybridMultilevel"/>
    <w:tmpl w:val="A5D8E9AE"/>
    <w:lvl w:ilvl="0" w:tplc="A6A69DF0">
      <w:numFmt w:val="bullet"/>
      <w:lvlText w:val="•"/>
      <w:lvlJc w:val="left"/>
      <w:pPr>
        <w:ind w:left="1584" w:hanging="360"/>
      </w:pPr>
      <w:rPr>
        <w:rFonts w:ascii="Calibri" w:eastAsia="Times New Roman"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0B00A9"/>
    <w:multiLevelType w:val="hybridMultilevel"/>
    <w:tmpl w:val="FDD4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36368D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811FE6"/>
    <w:multiLevelType w:val="hybridMultilevel"/>
    <w:tmpl w:val="E3AA7E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D7167A"/>
    <w:multiLevelType w:val="hybridMultilevel"/>
    <w:tmpl w:val="7CD8FE98"/>
    <w:lvl w:ilvl="0" w:tplc="B20E4DB6">
      <w:start w:val="1"/>
      <w:numFmt w:val="lowerRoman"/>
      <w:lvlText w:val="(%1)"/>
      <w:lvlJc w:val="left"/>
      <w:pPr>
        <w:tabs>
          <w:tab w:val="num" w:pos="1080"/>
        </w:tabs>
        <w:ind w:left="720" w:hanging="360"/>
      </w:pPr>
    </w:lvl>
    <w:lvl w:ilvl="1" w:tplc="98A22EEE">
      <w:start w:val="5"/>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6EA51C1"/>
    <w:multiLevelType w:val="hybridMultilevel"/>
    <w:tmpl w:val="22F8D016"/>
    <w:lvl w:ilvl="0" w:tplc="7A6C152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D55CBF54">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A17139F"/>
    <w:multiLevelType w:val="hybridMultilevel"/>
    <w:tmpl w:val="F87EB6BE"/>
    <w:lvl w:ilvl="0" w:tplc="261EC2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53116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111A0F"/>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A6763A"/>
    <w:multiLevelType w:val="hybridMultilevel"/>
    <w:tmpl w:val="1910D424"/>
    <w:lvl w:ilvl="0" w:tplc="3C783B54">
      <w:start w:val="1"/>
      <w:numFmt w:val="upperLetter"/>
      <w:lvlText w:val="%1)"/>
      <w:lvlJc w:val="left"/>
      <w:pPr>
        <w:ind w:left="360" w:hanging="360"/>
      </w:pPr>
      <w:rPr>
        <w:rFonts w:hint="default"/>
      </w:rPr>
    </w:lvl>
    <w:lvl w:ilvl="1" w:tplc="19341E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ED0720"/>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C9F33C0"/>
    <w:multiLevelType w:val="hybridMultilevel"/>
    <w:tmpl w:val="3A38094C"/>
    <w:lvl w:ilvl="0" w:tplc="091CC8D6">
      <w:start w:val="1"/>
      <w:numFmt w:val="decimal"/>
      <w:lvlText w:val="%1."/>
      <w:lvlJc w:val="left"/>
      <w:pPr>
        <w:tabs>
          <w:tab w:val="num" w:pos="360"/>
        </w:tabs>
        <w:ind w:left="360" w:hanging="360"/>
      </w:pPr>
      <w:rPr>
        <w:rFonts w:ascii="Arial" w:hAnsi="Arial" w:cs="Times New Roman" w:hint="default"/>
        <w:b/>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D8D550E"/>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F937737"/>
    <w:multiLevelType w:val="hybridMultilevel"/>
    <w:tmpl w:val="74A68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075894"/>
    <w:multiLevelType w:val="hybridMultilevel"/>
    <w:tmpl w:val="977AC84E"/>
    <w:lvl w:ilvl="0" w:tplc="71D2E1A8">
      <w:start w:val="1"/>
      <w:numFmt w:val="decimal"/>
      <w:lvlText w:val="%1."/>
      <w:lvlJc w:val="left"/>
      <w:pPr>
        <w:ind w:left="770" w:hanging="360"/>
      </w:pPr>
    </w:lvl>
    <w:lvl w:ilvl="1" w:tplc="A0FC7C8C" w:tentative="1">
      <w:start w:val="1"/>
      <w:numFmt w:val="lowerLetter"/>
      <w:lvlText w:val="%2."/>
      <w:lvlJc w:val="left"/>
      <w:pPr>
        <w:ind w:left="1490" w:hanging="360"/>
      </w:pPr>
    </w:lvl>
    <w:lvl w:ilvl="2" w:tplc="7094667C" w:tentative="1">
      <w:start w:val="1"/>
      <w:numFmt w:val="lowerRoman"/>
      <w:lvlText w:val="%3."/>
      <w:lvlJc w:val="right"/>
      <w:pPr>
        <w:ind w:left="2210" w:hanging="180"/>
      </w:pPr>
    </w:lvl>
    <w:lvl w:ilvl="3" w:tplc="110432AE" w:tentative="1">
      <w:start w:val="1"/>
      <w:numFmt w:val="decimal"/>
      <w:lvlText w:val="%4."/>
      <w:lvlJc w:val="left"/>
      <w:pPr>
        <w:ind w:left="2930" w:hanging="360"/>
      </w:pPr>
    </w:lvl>
    <w:lvl w:ilvl="4" w:tplc="CDA84660" w:tentative="1">
      <w:start w:val="1"/>
      <w:numFmt w:val="lowerLetter"/>
      <w:lvlText w:val="%5."/>
      <w:lvlJc w:val="left"/>
      <w:pPr>
        <w:ind w:left="3650" w:hanging="360"/>
      </w:pPr>
    </w:lvl>
    <w:lvl w:ilvl="5" w:tplc="4EF0A48E" w:tentative="1">
      <w:start w:val="1"/>
      <w:numFmt w:val="lowerRoman"/>
      <w:lvlText w:val="%6."/>
      <w:lvlJc w:val="right"/>
      <w:pPr>
        <w:ind w:left="4370" w:hanging="180"/>
      </w:pPr>
    </w:lvl>
    <w:lvl w:ilvl="6" w:tplc="8C2CD5C4" w:tentative="1">
      <w:start w:val="1"/>
      <w:numFmt w:val="decimal"/>
      <w:lvlText w:val="%7."/>
      <w:lvlJc w:val="left"/>
      <w:pPr>
        <w:ind w:left="5090" w:hanging="360"/>
      </w:pPr>
    </w:lvl>
    <w:lvl w:ilvl="7" w:tplc="4ABEB19E" w:tentative="1">
      <w:start w:val="1"/>
      <w:numFmt w:val="lowerLetter"/>
      <w:lvlText w:val="%8."/>
      <w:lvlJc w:val="left"/>
      <w:pPr>
        <w:ind w:left="5810" w:hanging="360"/>
      </w:pPr>
    </w:lvl>
    <w:lvl w:ilvl="8" w:tplc="662AB508" w:tentative="1">
      <w:start w:val="1"/>
      <w:numFmt w:val="lowerRoman"/>
      <w:lvlText w:val="%9."/>
      <w:lvlJc w:val="right"/>
      <w:pPr>
        <w:ind w:left="6530" w:hanging="180"/>
      </w:pPr>
    </w:lvl>
  </w:abstractNum>
  <w:abstractNum w:abstractNumId="22">
    <w:nsid w:val="21754051"/>
    <w:multiLevelType w:val="hybridMultilevel"/>
    <w:tmpl w:val="179C17EA"/>
    <w:lvl w:ilvl="0" w:tplc="D5C81474">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22D73BD8"/>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F1418C"/>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3465DCB"/>
    <w:multiLevelType w:val="hybridMultilevel"/>
    <w:tmpl w:val="E08C1F40"/>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51E304E"/>
    <w:multiLevelType w:val="hybridMultilevel"/>
    <w:tmpl w:val="7A6E3B64"/>
    <w:lvl w:ilvl="0" w:tplc="FFBC54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3C2702"/>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C091C6A"/>
    <w:multiLevelType w:val="hybridMultilevel"/>
    <w:tmpl w:val="77AC5E5A"/>
    <w:lvl w:ilvl="0" w:tplc="FFFFFFFF">
      <w:start w:val="1"/>
      <w:numFmt w:val="lowerRoman"/>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2CFC6ABF"/>
    <w:multiLevelType w:val="hybridMultilevel"/>
    <w:tmpl w:val="A52AE4F2"/>
    <w:lvl w:ilvl="0" w:tplc="DCA4420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EC15DF7"/>
    <w:multiLevelType w:val="hybridMultilevel"/>
    <w:tmpl w:val="267A9454"/>
    <w:lvl w:ilvl="0" w:tplc="D2B4C2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15429DA"/>
    <w:multiLevelType w:val="hybridMultilevel"/>
    <w:tmpl w:val="3AF41E06"/>
    <w:lvl w:ilvl="0" w:tplc="9EEC67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1553FC1"/>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0610F"/>
    <w:multiLevelType w:val="multilevel"/>
    <w:tmpl w:val="D9BA4826"/>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sz w:val="24"/>
        <w:szCs w:val="24"/>
      </w:rPr>
    </w:lvl>
    <w:lvl w:ilvl="3">
      <w:start w:val="1"/>
      <w:numFmt w:val="decimal"/>
      <w:pStyle w:val="Heading4"/>
      <w:lvlText w:val="%1.%2.%3.%4"/>
      <w:lvlJc w:val="left"/>
      <w:pPr>
        <w:ind w:left="864" w:hanging="864"/>
      </w:pPr>
      <w:rPr>
        <w:rFonts w:hint="default"/>
        <w:b w:val="0"/>
        <w:i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35EB4589"/>
    <w:multiLevelType w:val="hybridMultilevel"/>
    <w:tmpl w:val="A6824E52"/>
    <w:lvl w:ilvl="0" w:tplc="DB085446">
      <w:start w:val="2"/>
      <w:numFmt w:val="lowerRoman"/>
      <w:lvlText w:val="(%1)"/>
      <w:lvlJc w:val="left"/>
      <w:pPr>
        <w:tabs>
          <w:tab w:val="num" w:pos="2160"/>
        </w:tabs>
        <w:ind w:left="1800" w:hanging="360"/>
      </w:pPr>
    </w:lvl>
    <w:lvl w:ilvl="1" w:tplc="05667706">
      <w:start w:val="2"/>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377B361D"/>
    <w:multiLevelType w:val="hybridMultilevel"/>
    <w:tmpl w:val="08FE70C2"/>
    <w:lvl w:ilvl="0" w:tplc="AAC84E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84C7EAD"/>
    <w:multiLevelType w:val="multilevel"/>
    <w:tmpl w:val="172A0C5E"/>
    <w:lvl w:ilvl="0">
      <w:start w:val="2"/>
      <w:numFmt w:val="lowerRoman"/>
      <w:lvlText w:val="%1."/>
      <w:lvlJc w:val="left"/>
      <w:pPr>
        <w:tabs>
          <w:tab w:val="num" w:pos="2610"/>
        </w:tabs>
        <w:ind w:left="2610" w:hanging="720"/>
      </w:pPr>
      <w:rPr>
        <w:b/>
      </w:rPr>
    </w:lvl>
    <w:lvl w:ilvl="1">
      <w:start w:val="2"/>
      <w:numFmt w:val="lowerLetter"/>
      <w:lvlText w:val="%2."/>
      <w:lvlJc w:val="left"/>
      <w:pPr>
        <w:tabs>
          <w:tab w:val="num" w:pos="2970"/>
        </w:tabs>
        <w:ind w:left="2970" w:hanging="360"/>
      </w:pPr>
    </w:lvl>
    <w:lvl w:ilvl="2">
      <w:start w:val="1"/>
      <w:numFmt w:val="lowerRoman"/>
      <w:lvlText w:val="%3."/>
      <w:lvlJc w:val="right"/>
      <w:pPr>
        <w:tabs>
          <w:tab w:val="num" w:pos="3690"/>
        </w:tabs>
        <w:ind w:left="3690" w:hanging="180"/>
      </w:pPr>
    </w:lvl>
    <w:lvl w:ilvl="3">
      <w:start w:val="1"/>
      <w:numFmt w:val="decimal"/>
      <w:lvlText w:val="%4."/>
      <w:lvlJc w:val="left"/>
      <w:pPr>
        <w:tabs>
          <w:tab w:val="num" w:pos="4410"/>
        </w:tabs>
        <w:ind w:left="4410" w:hanging="360"/>
      </w:pPr>
    </w:lvl>
    <w:lvl w:ilvl="4">
      <w:start w:val="1"/>
      <w:numFmt w:val="lowerLetter"/>
      <w:lvlText w:val="%5."/>
      <w:lvlJc w:val="left"/>
      <w:pPr>
        <w:tabs>
          <w:tab w:val="num" w:pos="5130"/>
        </w:tabs>
        <w:ind w:left="5130" w:hanging="360"/>
      </w:pPr>
    </w:lvl>
    <w:lvl w:ilvl="5">
      <w:start w:val="1"/>
      <w:numFmt w:val="lowerRoman"/>
      <w:lvlText w:val="%6."/>
      <w:lvlJc w:val="right"/>
      <w:pPr>
        <w:tabs>
          <w:tab w:val="num" w:pos="5850"/>
        </w:tabs>
        <w:ind w:left="5850" w:hanging="180"/>
      </w:pPr>
    </w:lvl>
    <w:lvl w:ilvl="6">
      <w:start w:val="1"/>
      <w:numFmt w:val="decimal"/>
      <w:lvlText w:val="%7."/>
      <w:lvlJc w:val="left"/>
      <w:pPr>
        <w:tabs>
          <w:tab w:val="num" w:pos="6570"/>
        </w:tabs>
        <w:ind w:left="6570" w:hanging="360"/>
      </w:pPr>
    </w:lvl>
    <w:lvl w:ilvl="7">
      <w:start w:val="1"/>
      <w:numFmt w:val="lowerLetter"/>
      <w:lvlText w:val="%8."/>
      <w:lvlJc w:val="left"/>
      <w:pPr>
        <w:tabs>
          <w:tab w:val="num" w:pos="7290"/>
        </w:tabs>
        <w:ind w:left="7290" w:hanging="360"/>
      </w:pPr>
    </w:lvl>
    <w:lvl w:ilvl="8">
      <w:start w:val="1"/>
      <w:numFmt w:val="lowerRoman"/>
      <w:lvlText w:val="%9."/>
      <w:lvlJc w:val="right"/>
      <w:pPr>
        <w:tabs>
          <w:tab w:val="num" w:pos="8010"/>
        </w:tabs>
        <w:ind w:left="8010" w:hanging="180"/>
      </w:pPr>
    </w:lvl>
  </w:abstractNum>
  <w:abstractNum w:abstractNumId="37">
    <w:nsid w:val="39413263"/>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9A70C55"/>
    <w:multiLevelType w:val="hybridMultilevel"/>
    <w:tmpl w:val="2A2AED16"/>
    <w:lvl w:ilvl="0" w:tplc="95008B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B637BA5"/>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EB578A0"/>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ED65A14"/>
    <w:multiLevelType w:val="multilevel"/>
    <w:tmpl w:val="282C66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3F3B73B2"/>
    <w:multiLevelType w:val="hybridMultilevel"/>
    <w:tmpl w:val="0584DFB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nsid w:val="3F5E2B42"/>
    <w:multiLevelType w:val="hybridMultilevel"/>
    <w:tmpl w:val="6332F6E0"/>
    <w:lvl w:ilvl="0" w:tplc="2E48DD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067070"/>
    <w:multiLevelType w:val="hybridMultilevel"/>
    <w:tmpl w:val="6048343E"/>
    <w:lvl w:ilvl="0" w:tplc="30B891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12E357A"/>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18C6BB1"/>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49C49E6"/>
    <w:multiLevelType w:val="hybridMultilevel"/>
    <w:tmpl w:val="FB34B34C"/>
    <w:lvl w:ilvl="0" w:tplc="FAD0A96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6764E80"/>
    <w:multiLevelType w:val="hybridMultilevel"/>
    <w:tmpl w:val="138C5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6D51526"/>
    <w:multiLevelType w:val="hybridMultilevel"/>
    <w:tmpl w:val="8D22C916"/>
    <w:lvl w:ilvl="0" w:tplc="77C8CB5E">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0">
    <w:nsid w:val="47EB3D48"/>
    <w:multiLevelType w:val="multilevel"/>
    <w:tmpl w:val="67603A58"/>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bullet"/>
      <w:lvlText w:val=""/>
      <w:lvlJc w:val="left"/>
      <w:pPr>
        <w:ind w:left="1920" w:hanging="720"/>
      </w:pPr>
      <w:rPr>
        <w:rFonts w:ascii="Wingdings" w:hAnsi="Wingding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1">
    <w:nsid w:val="49AF79E4"/>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9F46AA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A666808"/>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AE57A48"/>
    <w:multiLevelType w:val="multilevel"/>
    <w:tmpl w:val="FA623B7E"/>
    <w:lvl w:ilvl="0">
      <w:start w:val="1"/>
      <w:numFmt w:val="lowerRoman"/>
      <w:lvlText w:val="%1."/>
      <w:lvlJc w:val="righ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B1953E8"/>
    <w:multiLevelType w:val="hybridMultilevel"/>
    <w:tmpl w:val="58E0FFE2"/>
    <w:lvl w:ilvl="0" w:tplc="788E74FC">
      <w:start w:val="2"/>
      <w:numFmt w:val="lowerLetter"/>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6">
    <w:nsid w:val="4C006CAB"/>
    <w:multiLevelType w:val="hybridMultilevel"/>
    <w:tmpl w:val="54DCF898"/>
    <w:lvl w:ilvl="0" w:tplc="40090001">
      <w:start w:val="1"/>
      <w:numFmt w:val="bullet"/>
      <w:lvlText w:val=""/>
      <w:lvlJc w:val="left"/>
      <w:pPr>
        <w:ind w:left="1713" w:hanging="360"/>
      </w:pPr>
      <w:rPr>
        <w:rFonts w:ascii="Symbol" w:hAnsi="Symbol"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57">
    <w:nsid w:val="4C2273C6"/>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C313054"/>
    <w:multiLevelType w:val="hybridMultilevel"/>
    <w:tmpl w:val="85D6F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4CA6305E"/>
    <w:multiLevelType w:val="hybridMultilevel"/>
    <w:tmpl w:val="3C3E82DE"/>
    <w:lvl w:ilvl="0" w:tplc="F76C9F1A">
      <w:start w:val="1"/>
      <w:numFmt w:val="decimal"/>
      <w:lvlText w:val="%1."/>
      <w:lvlJc w:val="left"/>
      <w:pPr>
        <w:tabs>
          <w:tab w:val="num" w:pos="360"/>
        </w:tabs>
        <w:ind w:left="360" w:hanging="360"/>
      </w:pPr>
      <w:rPr>
        <w:rFonts w:asciiTheme="minorHAnsi" w:hAnsiTheme="minorHAnsi" w:cs="Times New Roman" w:hint="default"/>
        <w:b/>
        <w:i w:val="0"/>
        <w:sz w:val="22"/>
      </w:rPr>
    </w:lvl>
    <w:lvl w:ilvl="1" w:tplc="A942F748">
      <w:start w:val="2"/>
      <w:numFmt w:val="lowerRoman"/>
      <w:lvlText w:val="(%2)"/>
      <w:lvlJc w:val="left"/>
      <w:pPr>
        <w:tabs>
          <w:tab w:val="num" w:pos="1800"/>
        </w:tabs>
        <w:ind w:left="1800" w:hanging="720"/>
      </w:pPr>
      <w:rPr>
        <w:b/>
        <w:i w:val="0"/>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4CA93EFA"/>
    <w:multiLevelType w:val="hybridMultilevel"/>
    <w:tmpl w:val="3B38405C"/>
    <w:lvl w:ilvl="0" w:tplc="04090017">
      <w:start w:val="1"/>
      <w:numFmt w:val="lowerLetter"/>
      <w:lvlText w:val="%1)"/>
      <w:lvlJc w:val="left"/>
      <w:pPr>
        <w:ind w:left="720" w:hanging="360"/>
      </w:pPr>
      <w:rPr>
        <w:rFonts w:hint="default"/>
      </w:rPr>
    </w:lvl>
    <w:lvl w:ilvl="1" w:tplc="822A05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676985"/>
    <w:multiLevelType w:val="hybridMultilevel"/>
    <w:tmpl w:val="A85A0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5822F66"/>
    <w:multiLevelType w:val="hybridMultilevel"/>
    <w:tmpl w:val="4A260D3C"/>
    <w:lvl w:ilvl="0" w:tplc="D0DC19D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A2A45CF"/>
    <w:multiLevelType w:val="multilevel"/>
    <w:tmpl w:val="C1A8F93E"/>
    <w:lvl w:ilvl="0">
      <w:start w:val="2"/>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4">
    <w:nsid w:val="5B231AF7"/>
    <w:multiLevelType w:val="hybridMultilevel"/>
    <w:tmpl w:val="D8D4CD28"/>
    <w:lvl w:ilvl="0" w:tplc="B8B467C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5C557E0D"/>
    <w:multiLevelType w:val="hybridMultilevel"/>
    <w:tmpl w:val="12801FB6"/>
    <w:lvl w:ilvl="0" w:tplc="B8B467CA">
      <w:start w:val="1"/>
      <w:numFmt w:val="bullet"/>
      <w:lvlText w:val=""/>
      <w:lvlJc w:val="left"/>
      <w:pPr>
        <w:ind w:left="1800" w:hanging="360"/>
      </w:pPr>
      <w:rPr>
        <w:rFonts w:ascii="Wingdings" w:hAnsi="Wingdings"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66">
    <w:nsid w:val="5CE91DF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D3B5DE9"/>
    <w:multiLevelType w:val="hybridMultilevel"/>
    <w:tmpl w:val="B352EEB6"/>
    <w:lvl w:ilvl="0" w:tplc="69E4CC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227B15"/>
    <w:multiLevelType w:val="singleLevel"/>
    <w:tmpl w:val="3A7652D8"/>
    <w:lvl w:ilvl="0">
      <w:start w:val="1"/>
      <w:numFmt w:val="decimal"/>
      <w:lvlText w:val="%1."/>
      <w:lvlJc w:val="left"/>
      <w:pPr>
        <w:tabs>
          <w:tab w:val="num" w:pos="360"/>
        </w:tabs>
        <w:ind w:left="360" w:hanging="360"/>
      </w:pPr>
      <w:rPr>
        <w:rFonts w:asciiTheme="minorHAnsi" w:hAnsiTheme="minorHAnsi" w:cs="Times New Roman" w:hint="default"/>
        <w:b/>
        <w:i w:val="0"/>
        <w:sz w:val="24"/>
        <w:szCs w:val="24"/>
      </w:rPr>
    </w:lvl>
  </w:abstractNum>
  <w:abstractNum w:abstractNumId="69">
    <w:nsid w:val="633521CD"/>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47C345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6F2163A"/>
    <w:multiLevelType w:val="hybridMultilevel"/>
    <w:tmpl w:val="77D820C4"/>
    <w:lvl w:ilvl="0" w:tplc="5FA8340E">
      <w:start w:val="1"/>
      <w:numFmt w:val="lowerRoman"/>
      <w:lvlText w:val="(%1)"/>
      <w:lvlJc w:val="left"/>
      <w:pPr>
        <w:tabs>
          <w:tab w:val="num" w:pos="1080"/>
        </w:tabs>
        <w:ind w:left="1080" w:hanging="720"/>
      </w:pPr>
      <w:rPr>
        <w:rFonts w:ascii="Calibri" w:hAnsi="Calibri" w:cs="Times New Roman" w:hint="default"/>
        <w:b w:val="0"/>
      </w:rPr>
    </w:lvl>
    <w:lvl w:ilvl="1" w:tplc="234474BA">
      <w:start w:val="1"/>
      <w:numFmt w:val="decimal"/>
      <w:lvlText w:val="(%2)"/>
      <w:lvlJc w:val="left"/>
      <w:pPr>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68432FA1"/>
    <w:multiLevelType w:val="hybridMultilevel"/>
    <w:tmpl w:val="ECC8420C"/>
    <w:lvl w:ilvl="0" w:tplc="9F06585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68462518"/>
    <w:multiLevelType w:val="hybridMultilevel"/>
    <w:tmpl w:val="69EE378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nsid w:val="6AEB15D0"/>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B34786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E642F4B"/>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F1422D2"/>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F65537F"/>
    <w:multiLevelType w:val="hybridMultilevel"/>
    <w:tmpl w:val="E640C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14944B3"/>
    <w:multiLevelType w:val="hybridMultilevel"/>
    <w:tmpl w:val="A62C8BB4"/>
    <w:lvl w:ilvl="0" w:tplc="1F4C22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3C11283"/>
    <w:multiLevelType w:val="hybridMultilevel"/>
    <w:tmpl w:val="C876F97A"/>
    <w:lvl w:ilvl="0" w:tplc="65F04446">
      <w:start w:val="2"/>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nsid w:val="75227771"/>
    <w:multiLevelType w:val="hybridMultilevel"/>
    <w:tmpl w:val="D2BE4B8C"/>
    <w:lvl w:ilvl="0" w:tplc="A6A69DF0">
      <w:numFmt w:val="bullet"/>
      <w:lvlText w:val="•"/>
      <w:lvlJc w:val="left"/>
      <w:pPr>
        <w:ind w:left="1224" w:hanging="360"/>
      </w:pPr>
      <w:rPr>
        <w:rFonts w:ascii="Calibri" w:eastAsia="Times New Roman" w:hAnsi="Calibri" w:cs="Calibri"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2">
    <w:nsid w:val="75952E2B"/>
    <w:multiLevelType w:val="hybridMultilevel"/>
    <w:tmpl w:val="01AA4AF6"/>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2E50246A">
      <w:start w:val="1"/>
      <w:numFmt w:val="upp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
    <w:nsid w:val="7845468E"/>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8900A9D"/>
    <w:multiLevelType w:val="hybridMultilevel"/>
    <w:tmpl w:val="CB040B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5">
    <w:nsid w:val="79FD3E37"/>
    <w:multiLevelType w:val="hybridMultilevel"/>
    <w:tmpl w:val="C3EA97BC"/>
    <w:lvl w:ilvl="0" w:tplc="184ED40E">
      <w:start w:val="1"/>
      <w:numFmt w:val="decimal"/>
      <w:lvlText w:val="%1."/>
      <w:lvlJc w:val="left"/>
      <w:pPr>
        <w:tabs>
          <w:tab w:val="num" w:pos="-720"/>
        </w:tabs>
        <w:ind w:left="-720" w:hanging="360"/>
      </w:pPr>
      <w:rPr>
        <w:rFonts w:ascii="Arial" w:hAnsi="Arial" w:cs="Times New Roman" w:hint="default"/>
        <w:b/>
        <w:i w:val="0"/>
        <w:sz w:val="20"/>
      </w:rPr>
    </w:lvl>
    <w:lvl w:ilvl="1" w:tplc="04090003">
      <w:start w:val="1"/>
      <w:numFmt w:val="upperLetter"/>
      <w:lvlText w:val="(%2)"/>
      <w:lvlJc w:val="left"/>
      <w:pPr>
        <w:tabs>
          <w:tab w:val="num" w:pos="720"/>
        </w:tabs>
        <w:ind w:left="720" w:hanging="360"/>
      </w:pPr>
      <w:rPr>
        <w:b/>
      </w:rPr>
    </w:lvl>
    <w:lvl w:ilvl="2" w:tplc="04090005">
      <w:start w:val="1"/>
      <w:numFmt w:val="lowerRoman"/>
      <w:lvlText w:val="%3."/>
      <w:lvlJc w:val="right"/>
      <w:pPr>
        <w:tabs>
          <w:tab w:val="num" w:pos="1440"/>
        </w:tabs>
        <w:ind w:left="1440" w:hanging="180"/>
      </w:pPr>
    </w:lvl>
    <w:lvl w:ilvl="3" w:tplc="04090001">
      <w:start w:val="1"/>
      <w:numFmt w:val="decimal"/>
      <w:lvlText w:val="%4."/>
      <w:lvlJc w:val="left"/>
      <w:pPr>
        <w:tabs>
          <w:tab w:val="num" w:pos="2160"/>
        </w:tabs>
        <w:ind w:left="2160" w:hanging="360"/>
      </w:pPr>
    </w:lvl>
    <w:lvl w:ilvl="4" w:tplc="04090003">
      <w:start w:val="1"/>
      <w:numFmt w:val="lowerLetter"/>
      <w:lvlText w:val="%5."/>
      <w:lvlJc w:val="left"/>
      <w:pPr>
        <w:tabs>
          <w:tab w:val="num" w:pos="2880"/>
        </w:tabs>
        <w:ind w:left="2880" w:hanging="360"/>
      </w:pPr>
    </w:lvl>
    <w:lvl w:ilvl="5" w:tplc="04090005">
      <w:start w:val="1"/>
      <w:numFmt w:val="lowerRoman"/>
      <w:lvlText w:val="%6."/>
      <w:lvlJc w:val="right"/>
      <w:pPr>
        <w:tabs>
          <w:tab w:val="num" w:pos="3600"/>
        </w:tabs>
        <w:ind w:left="3600" w:hanging="180"/>
      </w:pPr>
    </w:lvl>
    <w:lvl w:ilvl="6" w:tplc="04090001">
      <w:start w:val="1"/>
      <w:numFmt w:val="decimal"/>
      <w:lvlText w:val="%7."/>
      <w:lvlJc w:val="left"/>
      <w:pPr>
        <w:tabs>
          <w:tab w:val="num" w:pos="4320"/>
        </w:tabs>
        <w:ind w:left="4320" w:hanging="360"/>
      </w:pPr>
    </w:lvl>
    <w:lvl w:ilvl="7" w:tplc="04090003">
      <w:start w:val="1"/>
      <w:numFmt w:val="lowerLetter"/>
      <w:lvlText w:val="%8."/>
      <w:lvlJc w:val="left"/>
      <w:pPr>
        <w:tabs>
          <w:tab w:val="num" w:pos="5040"/>
        </w:tabs>
        <w:ind w:left="5040" w:hanging="360"/>
      </w:pPr>
    </w:lvl>
    <w:lvl w:ilvl="8" w:tplc="04090005">
      <w:start w:val="1"/>
      <w:numFmt w:val="lowerRoman"/>
      <w:lvlText w:val="%9."/>
      <w:lvlJc w:val="right"/>
      <w:pPr>
        <w:tabs>
          <w:tab w:val="num" w:pos="5760"/>
        </w:tabs>
        <w:ind w:left="5760" w:hanging="180"/>
      </w:pPr>
    </w:lvl>
  </w:abstractNum>
  <w:abstractNum w:abstractNumId="86">
    <w:nsid w:val="7B8C0F95"/>
    <w:multiLevelType w:val="hybridMultilevel"/>
    <w:tmpl w:val="D0061CB4"/>
    <w:lvl w:ilvl="0" w:tplc="6CCA1962">
      <w:start w:val="1"/>
      <w:numFmt w:val="lowerLetter"/>
      <w:lvlText w:val="(%1)"/>
      <w:lvlJc w:val="left"/>
      <w:pPr>
        <w:tabs>
          <w:tab w:val="num" w:pos="1080"/>
        </w:tabs>
        <w:ind w:left="1080" w:hanging="72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nsid w:val="7D480D55"/>
    <w:multiLevelType w:val="multilevel"/>
    <w:tmpl w:val="E1EE0DBC"/>
    <w:lvl w:ilvl="0">
      <w:start w:val="1"/>
      <w:numFmt w:val="decimal"/>
      <w:pStyle w:val="Heading1"/>
      <w:lvlText w:val="%1."/>
      <w:lvlJc w:val="left"/>
      <w:pPr>
        <w:ind w:left="600" w:hanging="600"/>
      </w:pPr>
      <w:rPr>
        <w:rFonts w:hint="default"/>
      </w:rPr>
    </w:lvl>
    <w:lvl w:ilvl="1">
      <w:start w:val="14"/>
      <w:numFmt w:val="decimal"/>
      <w:pStyle w:val="Heading2"/>
      <w:lvlText w:val="%1.%2"/>
      <w:lvlJc w:val="left"/>
      <w:pPr>
        <w:ind w:left="780" w:hanging="780"/>
      </w:pPr>
      <w:rPr>
        <w:rFonts w:hint="default"/>
        <w:b/>
        <w:i w:val="0"/>
      </w:rPr>
    </w:lvl>
    <w:lvl w:ilvl="2">
      <w:start w:val="1"/>
      <w:numFmt w:val="decimal"/>
      <w:pStyle w:val="Heading3"/>
      <w:lvlText w:val="%1.%2.%3"/>
      <w:lvlJc w:val="left"/>
      <w:pPr>
        <w:tabs>
          <w:tab w:val="num" w:pos="936"/>
        </w:tabs>
        <w:ind w:left="936" w:hanging="936"/>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3"/>
  </w:num>
  <w:num w:numId="2">
    <w:abstractNumId w:val="78"/>
  </w:num>
  <w:num w:numId="3">
    <w:abstractNumId w:val="61"/>
  </w:num>
  <w:num w:numId="4">
    <w:abstractNumId w:val="1"/>
  </w:num>
  <w:num w:numId="5">
    <w:abstractNumId w:val="87"/>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7"/>
  </w:num>
  <w:num w:numId="9">
    <w:abstractNumId w:val="41"/>
  </w:num>
  <w:num w:numId="10">
    <w:abstractNumId w:val="65"/>
  </w:num>
  <w:num w:numId="11">
    <w:abstractNumId w:val="50"/>
  </w:num>
  <w:num w:numId="12">
    <w:abstractNumId w:val="62"/>
  </w:num>
  <w:num w:numId="13">
    <w:abstractNumId w:val="44"/>
  </w:num>
  <w:num w:numId="14">
    <w:abstractNumId w:val="2"/>
  </w:num>
  <w:num w:numId="15">
    <w:abstractNumId w:val="38"/>
  </w:num>
  <w:num w:numId="16">
    <w:abstractNumId w:val="35"/>
  </w:num>
  <w:num w:numId="17">
    <w:abstractNumId w:val="26"/>
  </w:num>
  <w:num w:numId="18">
    <w:abstractNumId w:val="31"/>
  </w:num>
  <w:num w:numId="19">
    <w:abstractNumId w:val="19"/>
  </w:num>
  <w:num w:numId="20">
    <w:abstractNumId w:val="39"/>
  </w:num>
  <w:num w:numId="21">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7"/>
  </w:num>
  <w:num w:numId="24">
    <w:abstractNumId w:val="40"/>
  </w:num>
  <w:num w:numId="25">
    <w:abstractNumId w:val="6"/>
  </w:num>
  <w:num w:numId="26">
    <w:abstractNumId w:val="3"/>
  </w:num>
  <w:num w:numId="27">
    <w:abstractNumId w:val="15"/>
  </w:num>
  <w:num w:numId="28">
    <w:abstractNumId w:val="51"/>
  </w:num>
  <w:num w:numId="29">
    <w:abstractNumId w:val="83"/>
  </w:num>
  <w:num w:numId="30">
    <w:abstractNumId w:val="46"/>
  </w:num>
  <w:num w:numId="31">
    <w:abstractNumId w:val="74"/>
  </w:num>
  <w:num w:numId="32">
    <w:abstractNumId w:val="53"/>
  </w:num>
  <w:num w:numId="33">
    <w:abstractNumId w:val="24"/>
  </w:num>
  <w:num w:numId="34">
    <w:abstractNumId w:val="57"/>
  </w:num>
  <w:num w:numId="35">
    <w:abstractNumId w:val="69"/>
  </w:num>
  <w:num w:numId="36">
    <w:abstractNumId w:val="30"/>
  </w:num>
  <w:num w:numId="37">
    <w:abstractNumId w:val="13"/>
  </w:num>
  <w:num w:numId="38">
    <w:abstractNumId w:val="79"/>
  </w:num>
  <w:num w:numId="39">
    <w:abstractNumId w:val="43"/>
  </w:num>
  <w:num w:numId="40">
    <w:abstractNumId w:val="37"/>
  </w:num>
  <w:num w:numId="41">
    <w:abstractNumId w:val="16"/>
  </w:num>
  <w:num w:numId="42">
    <w:abstractNumId w:val="82"/>
  </w:num>
  <w:num w:numId="43">
    <w:abstractNumId w:val="67"/>
  </w:num>
  <w:num w:numId="44">
    <w:abstractNumId w:val="17"/>
  </w:num>
  <w:num w:numId="45">
    <w:abstractNumId w:val="32"/>
  </w:num>
  <w:num w:numId="46">
    <w:abstractNumId w:val="23"/>
  </w:num>
  <w:num w:numId="47">
    <w:abstractNumId w:val="56"/>
  </w:num>
  <w:num w:numId="48">
    <w:abstractNumId w:val="6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81"/>
  </w:num>
  <w:num w:numId="54">
    <w:abstractNumId w:val="21"/>
  </w:num>
  <w:num w:numId="55">
    <w:abstractNumId w:val="8"/>
  </w:num>
  <w:num w:numId="56">
    <w:abstractNumId w:val="60"/>
  </w:num>
  <w:num w:numId="57">
    <w:abstractNumId w:val="10"/>
  </w:num>
  <w:num w:numId="58">
    <w:abstractNumId w:val="52"/>
  </w:num>
  <w:num w:numId="59">
    <w:abstractNumId w:val="14"/>
  </w:num>
  <w:num w:numId="60">
    <w:abstractNumId w:val="75"/>
  </w:num>
  <w:num w:numId="61">
    <w:abstractNumId w:val="9"/>
  </w:num>
  <w:num w:numId="62">
    <w:abstractNumId w:val="45"/>
  </w:num>
  <w:num w:numId="63">
    <w:abstractNumId w:val="70"/>
  </w:num>
  <w:num w:numId="64">
    <w:abstractNumId w:val="76"/>
  </w:num>
  <w:num w:numId="65">
    <w:abstractNumId w:val="66"/>
  </w:num>
  <w:num w:numId="66">
    <w:abstractNumId w:val="84"/>
  </w:num>
  <w:num w:numId="67">
    <w:abstractNumId w:val="48"/>
  </w:num>
  <w:num w:numId="68">
    <w:abstractNumId w:val="34"/>
  </w:num>
  <w:num w:numId="69">
    <w:abstractNumId w:val="64"/>
  </w:num>
  <w:num w:numId="70">
    <w:abstractNumId w:val="49"/>
  </w:num>
  <w:num w:numId="71">
    <w:abstractNumId w:val="22"/>
  </w:num>
  <w:num w:numId="72">
    <w:abstractNumId w:val="68"/>
  </w:num>
  <w:num w:numId="73">
    <w:abstractNumId w:val="73"/>
  </w:num>
  <w:num w:numId="74">
    <w:abstractNumId w:val="85"/>
  </w:num>
  <w:num w:numId="75">
    <w:abstractNumId w:val="11"/>
  </w:num>
  <w:num w:numId="76">
    <w:abstractNumId w:val="12"/>
  </w:num>
  <w:num w:numId="77">
    <w:abstractNumId w:val="18"/>
  </w:num>
  <w:num w:numId="78">
    <w:abstractNumId w:val="72"/>
  </w:num>
  <w:num w:numId="79">
    <w:abstractNumId w:val="47"/>
  </w:num>
  <w:num w:numId="80">
    <w:abstractNumId w:val="80"/>
  </w:num>
  <w:num w:numId="81">
    <w:abstractNumId w:val="36"/>
  </w:num>
  <w:num w:numId="82">
    <w:abstractNumId w:val="55"/>
  </w:num>
  <w:num w:numId="83">
    <w:abstractNumId w:val="54"/>
  </w:num>
  <w:num w:numId="84">
    <w:abstractNumId w:val="4"/>
  </w:num>
  <w:num w:numId="85">
    <w:abstractNumId w:val="86"/>
  </w:num>
  <w:num w:numId="86">
    <w:abstractNumId w:val="28"/>
  </w:num>
  <w:num w:numId="87">
    <w:abstractNumId w:val="0"/>
  </w:num>
  <w:num w:numId="88">
    <w:abstractNumId w:val="59"/>
  </w:num>
  <w:num w:numId="89">
    <w:abstractNumId w:val="71"/>
  </w:num>
  <w:num w:numId="90">
    <w:abstractNumId w:val="29"/>
  </w:num>
  <w:num w:numId="91">
    <w:abstractNumId w:val="42"/>
  </w:num>
  <w:num w:numId="92">
    <w:abstractNumId w:val="87"/>
  </w:num>
  <w:num w:numId="93">
    <w:abstractNumId w:val="87"/>
  </w:num>
  <w:num w:numId="94">
    <w:abstractNumId w:val="87"/>
  </w:num>
  <w:num w:numId="95">
    <w:abstractNumId w:val="87"/>
  </w:num>
  <w:num w:numId="96">
    <w:abstractNumId w:val="77"/>
  </w:num>
  <w:num w:numId="97">
    <w:abstractNumId w:val="58"/>
  </w:num>
  <w:num w:numId="98">
    <w:abstractNumId w:val="33"/>
  </w:num>
  <w:num w:numId="99">
    <w:abstractNumId w:val="87"/>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001"/>
  <w:documentProtection w:edit="readOnly" w:formatting="1" w:enforcement="1" w:cryptProviderType="rsaFull" w:cryptAlgorithmClass="hash" w:cryptAlgorithmType="typeAny" w:cryptAlgorithmSid="4" w:cryptSpinCount="100000" w:hash="/9fXT8gVQdJuhC0Ad7B5kJYxOas=" w:salt="bPykaYQ3ZMMpc79exxDNNw=="/>
  <w:defaultTabStop w:val="720"/>
  <w:drawingGridHorizontalSpacing w:val="120"/>
  <w:displayHorizontalDrawingGridEvery w:val="2"/>
  <w:noPunctuationKerning/>
  <w:characterSpacingControl w:val="doNotCompress"/>
  <w:hdrShapeDefaults>
    <o:shapedefaults v:ext="edit" spidmax="49154"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33097E"/>
    <w:rsid w:val="000013DD"/>
    <w:rsid w:val="00001EFC"/>
    <w:rsid w:val="000024DF"/>
    <w:rsid w:val="000030FE"/>
    <w:rsid w:val="0000356A"/>
    <w:rsid w:val="00003BE0"/>
    <w:rsid w:val="00003C2D"/>
    <w:rsid w:val="00003DAA"/>
    <w:rsid w:val="00004AF5"/>
    <w:rsid w:val="00004B98"/>
    <w:rsid w:val="000056BB"/>
    <w:rsid w:val="0000608F"/>
    <w:rsid w:val="0000610C"/>
    <w:rsid w:val="00006589"/>
    <w:rsid w:val="00010634"/>
    <w:rsid w:val="00010831"/>
    <w:rsid w:val="0001084F"/>
    <w:rsid w:val="000108BE"/>
    <w:rsid w:val="000108E7"/>
    <w:rsid w:val="00010900"/>
    <w:rsid w:val="00010ACC"/>
    <w:rsid w:val="00011B1B"/>
    <w:rsid w:val="000123C7"/>
    <w:rsid w:val="0001271C"/>
    <w:rsid w:val="00012E27"/>
    <w:rsid w:val="000131FF"/>
    <w:rsid w:val="000137C9"/>
    <w:rsid w:val="00014ACE"/>
    <w:rsid w:val="00014DBB"/>
    <w:rsid w:val="00014F90"/>
    <w:rsid w:val="0001515E"/>
    <w:rsid w:val="00015B19"/>
    <w:rsid w:val="00015D0A"/>
    <w:rsid w:val="000160DB"/>
    <w:rsid w:val="0001610A"/>
    <w:rsid w:val="0001615E"/>
    <w:rsid w:val="00016195"/>
    <w:rsid w:val="0001642E"/>
    <w:rsid w:val="00016684"/>
    <w:rsid w:val="00016E31"/>
    <w:rsid w:val="00016E84"/>
    <w:rsid w:val="0001751D"/>
    <w:rsid w:val="00017B60"/>
    <w:rsid w:val="00017E9D"/>
    <w:rsid w:val="0002121C"/>
    <w:rsid w:val="00021B31"/>
    <w:rsid w:val="0002269D"/>
    <w:rsid w:val="000228E3"/>
    <w:rsid w:val="00022EF2"/>
    <w:rsid w:val="00023428"/>
    <w:rsid w:val="0002367F"/>
    <w:rsid w:val="00024F62"/>
    <w:rsid w:val="000250CC"/>
    <w:rsid w:val="00025B71"/>
    <w:rsid w:val="00025FB6"/>
    <w:rsid w:val="0002639F"/>
    <w:rsid w:val="0002664A"/>
    <w:rsid w:val="0002699E"/>
    <w:rsid w:val="00027E6A"/>
    <w:rsid w:val="00030AB6"/>
    <w:rsid w:val="000311E6"/>
    <w:rsid w:val="000317D6"/>
    <w:rsid w:val="00031A1C"/>
    <w:rsid w:val="00031ED2"/>
    <w:rsid w:val="000322C7"/>
    <w:rsid w:val="00032D21"/>
    <w:rsid w:val="00032FB5"/>
    <w:rsid w:val="0003344E"/>
    <w:rsid w:val="00033463"/>
    <w:rsid w:val="00033D55"/>
    <w:rsid w:val="000346B5"/>
    <w:rsid w:val="00035505"/>
    <w:rsid w:val="00035CC6"/>
    <w:rsid w:val="00035D84"/>
    <w:rsid w:val="00036630"/>
    <w:rsid w:val="00036710"/>
    <w:rsid w:val="00036F3D"/>
    <w:rsid w:val="0003700B"/>
    <w:rsid w:val="000372F5"/>
    <w:rsid w:val="00037470"/>
    <w:rsid w:val="0004044E"/>
    <w:rsid w:val="00040B8F"/>
    <w:rsid w:val="00040F14"/>
    <w:rsid w:val="000412E9"/>
    <w:rsid w:val="00041AC4"/>
    <w:rsid w:val="00041D14"/>
    <w:rsid w:val="00041F0D"/>
    <w:rsid w:val="0004271D"/>
    <w:rsid w:val="00042D87"/>
    <w:rsid w:val="000432B5"/>
    <w:rsid w:val="00043A23"/>
    <w:rsid w:val="00043ADC"/>
    <w:rsid w:val="0004475C"/>
    <w:rsid w:val="00044E2B"/>
    <w:rsid w:val="00045350"/>
    <w:rsid w:val="00045406"/>
    <w:rsid w:val="0004543E"/>
    <w:rsid w:val="00045468"/>
    <w:rsid w:val="000455F1"/>
    <w:rsid w:val="00045A82"/>
    <w:rsid w:val="00045E29"/>
    <w:rsid w:val="00046552"/>
    <w:rsid w:val="00046867"/>
    <w:rsid w:val="00046906"/>
    <w:rsid w:val="00046A4E"/>
    <w:rsid w:val="00047CCC"/>
    <w:rsid w:val="00047DAC"/>
    <w:rsid w:val="00047DC4"/>
    <w:rsid w:val="00050566"/>
    <w:rsid w:val="00050CC5"/>
    <w:rsid w:val="00050F8F"/>
    <w:rsid w:val="000510DC"/>
    <w:rsid w:val="00051526"/>
    <w:rsid w:val="00051FB3"/>
    <w:rsid w:val="00051FF2"/>
    <w:rsid w:val="00052313"/>
    <w:rsid w:val="0005257A"/>
    <w:rsid w:val="00052D96"/>
    <w:rsid w:val="00053AAE"/>
    <w:rsid w:val="00053D1F"/>
    <w:rsid w:val="00053E2F"/>
    <w:rsid w:val="000546C0"/>
    <w:rsid w:val="000547C7"/>
    <w:rsid w:val="00054E5E"/>
    <w:rsid w:val="00054F3E"/>
    <w:rsid w:val="00056C28"/>
    <w:rsid w:val="00057284"/>
    <w:rsid w:val="00057831"/>
    <w:rsid w:val="00060759"/>
    <w:rsid w:val="00060C8C"/>
    <w:rsid w:val="00060DFF"/>
    <w:rsid w:val="00060E7D"/>
    <w:rsid w:val="00060ECE"/>
    <w:rsid w:val="00060F5D"/>
    <w:rsid w:val="00062632"/>
    <w:rsid w:val="000629E2"/>
    <w:rsid w:val="00062DF4"/>
    <w:rsid w:val="00063517"/>
    <w:rsid w:val="00063C55"/>
    <w:rsid w:val="0006409B"/>
    <w:rsid w:val="000648A9"/>
    <w:rsid w:val="000648C0"/>
    <w:rsid w:val="00064A7C"/>
    <w:rsid w:val="00064C56"/>
    <w:rsid w:val="00065C0F"/>
    <w:rsid w:val="00066419"/>
    <w:rsid w:val="00066516"/>
    <w:rsid w:val="0006666A"/>
    <w:rsid w:val="00066965"/>
    <w:rsid w:val="00066AFD"/>
    <w:rsid w:val="00066EF4"/>
    <w:rsid w:val="000677E3"/>
    <w:rsid w:val="00067C3E"/>
    <w:rsid w:val="00067EB2"/>
    <w:rsid w:val="00070077"/>
    <w:rsid w:val="00070B3B"/>
    <w:rsid w:val="00070C44"/>
    <w:rsid w:val="00070CA2"/>
    <w:rsid w:val="000714B8"/>
    <w:rsid w:val="00071CAD"/>
    <w:rsid w:val="00071D12"/>
    <w:rsid w:val="00072821"/>
    <w:rsid w:val="00072973"/>
    <w:rsid w:val="00072FFD"/>
    <w:rsid w:val="00073120"/>
    <w:rsid w:val="0007325B"/>
    <w:rsid w:val="00073618"/>
    <w:rsid w:val="00073F04"/>
    <w:rsid w:val="00074426"/>
    <w:rsid w:val="000747FE"/>
    <w:rsid w:val="000750AB"/>
    <w:rsid w:val="000750BD"/>
    <w:rsid w:val="000755B0"/>
    <w:rsid w:val="00075F27"/>
    <w:rsid w:val="00076436"/>
    <w:rsid w:val="00076A30"/>
    <w:rsid w:val="00076BE1"/>
    <w:rsid w:val="00076FAE"/>
    <w:rsid w:val="000772B4"/>
    <w:rsid w:val="000773AA"/>
    <w:rsid w:val="00077B1F"/>
    <w:rsid w:val="00080466"/>
    <w:rsid w:val="00080806"/>
    <w:rsid w:val="0008110B"/>
    <w:rsid w:val="00081A03"/>
    <w:rsid w:val="000826A4"/>
    <w:rsid w:val="00083E59"/>
    <w:rsid w:val="0008433A"/>
    <w:rsid w:val="0008437A"/>
    <w:rsid w:val="00084BEE"/>
    <w:rsid w:val="00085A3A"/>
    <w:rsid w:val="00085E1B"/>
    <w:rsid w:val="00085EDC"/>
    <w:rsid w:val="000862FC"/>
    <w:rsid w:val="000864C3"/>
    <w:rsid w:val="000866DD"/>
    <w:rsid w:val="000873A1"/>
    <w:rsid w:val="00087829"/>
    <w:rsid w:val="00090015"/>
    <w:rsid w:val="00090247"/>
    <w:rsid w:val="00090678"/>
    <w:rsid w:val="00092385"/>
    <w:rsid w:val="000934BC"/>
    <w:rsid w:val="00093942"/>
    <w:rsid w:val="00094103"/>
    <w:rsid w:val="00094752"/>
    <w:rsid w:val="0009647A"/>
    <w:rsid w:val="000A0101"/>
    <w:rsid w:val="000A109D"/>
    <w:rsid w:val="000A17A2"/>
    <w:rsid w:val="000A1CA1"/>
    <w:rsid w:val="000A28B8"/>
    <w:rsid w:val="000A2D20"/>
    <w:rsid w:val="000A30BA"/>
    <w:rsid w:val="000A3E4D"/>
    <w:rsid w:val="000A4C0B"/>
    <w:rsid w:val="000A4EB8"/>
    <w:rsid w:val="000A5733"/>
    <w:rsid w:val="000A5DAD"/>
    <w:rsid w:val="000A6772"/>
    <w:rsid w:val="000A68D6"/>
    <w:rsid w:val="000A719A"/>
    <w:rsid w:val="000A74A7"/>
    <w:rsid w:val="000A74BD"/>
    <w:rsid w:val="000A756F"/>
    <w:rsid w:val="000A7AE3"/>
    <w:rsid w:val="000A7C2D"/>
    <w:rsid w:val="000A7CFF"/>
    <w:rsid w:val="000B0B13"/>
    <w:rsid w:val="000B0B59"/>
    <w:rsid w:val="000B0F79"/>
    <w:rsid w:val="000B1287"/>
    <w:rsid w:val="000B13FE"/>
    <w:rsid w:val="000B1749"/>
    <w:rsid w:val="000B2698"/>
    <w:rsid w:val="000B296D"/>
    <w:rsid w:val="000B2DEE"/>
    <w:rsid w:val="000B3262"/>
    <w:rsid w:val="000B36D0"/>
    <w:rsid w:val="000B4045"/>
    <w:rsid w:val="000B4411"/>
    <w:rsid w:val="000B52FB"/>
    <w:rsid w:val="000B5421"/>
    <w:rsid w:val="000B704C"/>
    <w:rsid w:val="000B730E"/>
    <w:rsid w:val="000B7FD9"/>
    <w:rsid w:val="000C0038"/>
    <w:rsid w:val="000C046A"/>
    <w:rsid w:val="000C0521"/>
    <w:rsid w:val="000C1237"/>
    <w:rsid w:val="000C1650"/>
    <w:rsid w:val="000C1990"/>
    <w:rsid w:val="000C1B5D"/>
    <w:rsid w:val="000C204C"/>
    <w:rsid w:val="000C2102"/>
    <w:rsid w:val="000C212C"/>
    <w:rsid w:val="000C2829"/>
    <w:rsid w:val="000C35F8"/>
    <w:rsid w:val="000C3CF4"/>
    <w:rsid w:val="000C498C"/>
    <w:rsid w:val="000C4BE4"/>
    <w:rsid w:val="000C5519"/>
    <w:rsid w:val="000C5783"/>
    <w:rsid w:val="000C642E"/>
    <w:rsid w:val="000C64C6"/>
    <w:rsid w:val="000C6943"/>
    <w:rsid w:val="000C6B9A"/>
    <w:rsid w:val="000C726F"/>
    <w:rsid w:val="000C7416"/>
    <w:rsid w:val="000C7C04"/>
    <w:rsid w:val="000C7DDA"/>
    <w:rsid w:val="000D0943"/>
    <w:rsid w:val="000D0AFD"/>
    <w:rsid w:val="000D0F3D"/>
    <w:rsid w:val="000D1DD4"/>
    <w:rsid w:val="000D1FF4"/>
    <w:rsid w:val="000D2ED8"/>
    <w:rsid w:val="000D3193"/>
    <w:rsid w:val="000D32B9"/>
    <w:rsid w:val="000D3871"/>
    <w:rsid w:val="000D3A3C"/>
    <w:rsid w:val="000D40DA"/>
    <w:rsid w:val="000D4B49"/>
    <w:rsid w:val="000D5010"/>
    <w:rsid w:val="000D5300"/>
    <w:rsid w:val="000D561E"/>
    <w:rsid w:val="000D5D41"/>
    <w:rsid w:val="000D611F"/>
    <w:rsid w:val="000D63CA"/>
    <w:rsid w:val="000D65EA"/>
    <w:rsid w:val="000D66E0"/>
    <w:rsid w:val="000D6797"/>
    <w:rsid w:val="000D6D99"/>
    <w:rsid w:val="000D6EBB"/>
    <w:rsid w:val="000D7102"/>
    <w:rsid w:val="000D78BC"/>
    <w:rsid w:val="000D7B15"/>
    <w:rsid w:val="000D7EBD"/>
    <w:rsid w:val="000E024A"/>
    <w:rsid w:val="000E1200"/>
    <w:rsid w:val="000E1355"/>
    <w:rsid w:val="000E1446"/>
    <w:rsid w:val="000E1840"/>
    <w:rsid w:val="000E18CB"/>
    <w:rsid w:val="000E19F5"/>
    <w:rsid w:val="000E1F52"/>
    <w:rsid w:val="000E21A2"/>
    <w:rsid w:val="000E22B3"/>
    <w:rsid w:val="000E2C8F"/>
    <w:rsid w:val="000E2DCC"/>
    <w:rsid w:val="000E378E"/>
    <w:rsid w:val="000E3EEB"/>
    <w:rsid w:val="000E497A"/>
    <w:rsid w:val="000E5140"/>
    <w:rsid w:val="000E5CA7"/>
    <w:rsid w:val="000E5D20"/>
    <w:rsid w:val="000E6356"/>
    <w:rsid w:val="000E66C9"/>
    <w:rsid w:val="000E677F"/>
    <w:rsid w:val="000E6EA2"/>
    <w:rsid w:val="000E6FDA"/>
    <w:rsid w:val="000E79E0"/>
    <w:rsid w:val="000E7E8B"/>
    <w:rsid w:val="000F000C"/>
    <w:rsid w:val="000F0492"/>
    <w:rsid w:val="000F0DDF"/>
    <w:rsid w:val="000F14E7"/>
    <w:rsid w:val="000F1666"/>
    <w:rsid w:val="000F16FF"/>
    <w:rsid w:val="000F1A71"/>
    <w:rsid w:val="000F318A"/>
    <w:rsid w:val="000F33C4"/>
    <w:rsid w:val="000F3819"/>
    <w:rsid w:val="000F3C3A"/>
    <w:rsid w:val="000F4DC8"/>
    <w:rsid w:val="000F4F01"/>
    <w:rsid w:val="000F4FBE"/>
    <w:rsid w:val="000F50E8"/>
    <w:rsid w:val="000F5558"/>
    <w:rsid w:val="000F59E9"/>
    <w:rsid w:val="000F6975"/>
    <w:rsid w:val="000F6A6A"/>
    <w:rsid w:val="000F7100"/>
    <w:rsid w:val="000F7266"/>
    <w:rsid w:val="000F72B2"/>
    <w:rsid w:val="000F7406"/>
    <w:rsid w:val="000F7F8D"/>
    <w:rsid w:val="001003ED"/>
    <w:rsid w:val="00100B57"/>
    <w:rsid w:val="00101092"/>
    <w:rsid w:val="00101283"/>
    <w:rsid w:val="00101C08"/>
    <w:rsid w:val="00102AFF"/>
    <w:rsid w:val="001031A8"/>
    <w:rsid w:val="00103214"/>
    <w:rsid w:val="00103490"/>
    <w:rsid w:val="00103A16"/>
    <w:rsid w:val="001042CD"/>
    <w:rsid w:val="001043E5"/>
    <w:rsid w:val="00104774"/>
    <w:rsid w:val="00106088"/>
    <w:rsid w:val="00106766"/>
    <w:rsid w:val="00106A45"/>
    <w:rsid w:val="00106B09"/>
    <w:rsid w:val="00107A19"/>
    <w:rsid w:val="00110557"/>
    <w:rsid w:val="00110CDB"/>
    <w:rsid w:val="001114DA"/>
    <w:rsid w:val="00111B48"/>
    <w:rsid w:val="00111BBE"/>
    <w:rsid w:val="00111E35"/>
    <w:rsid w:val="00112444"/>
    <w:rsid w:val="001127F4"/>
    <w:rsid w:val="00112A2A"/>
    <w:rsid w:val="00112B21"/>
    <w:rsid w:val="00113224"/>
    <w:rsid w:val="00113BED"/>
    <w:rsid w:val="00113D5B"/>
    <w:rsid w:val="00113D75"/>
    <w:rsid w:val="00114BB1"/>
    <w:rsid w:val="0011526D"/>
    <w:rsid w:val="00115904"/>
    <w:rsid w:val="00115EB8"/>
    <w:rsid w:val="001161D8"/>
    <w:rsid w:val="00116811"/>
    <w:rsid w:val="00117852"/>
    <w:rsid w:val="00117E25"/>
    <w:rsid w:val="00117F49"/>
    <w:rsid w:val="00120135"/>
    <w:rsid w:val="00120252"/>
    <w:rsid w:val="0012095D"/>
    <w:rsid w:val="00120DED"/>
    <w:rsid w:val="00121299"/>
    <w:rsid w:val="0012215F"/>
    <w:rsid w:val="0012227A"/>
    <w:rsid w:val="0012271C"/>
    <w:rsid w:val="00122F8C"/>
    <w:rsid w:val="00123118"/>
    <w:rsid w:val="00123226"/>
    <w:rsid w:val="001232E4"/>
    <w:rsid w:val="0012372E"/>
    <w:rsid w:val="00123853"/>
    <w:rsid w:val="00123B2D"/>
    <w:rsid w:val="00124223"/>
    <w:rsid w:val="0012443B"/>
    <w:rsid w:val="001245FE"/>
    <w:rsid w:val="00126905"/>
    <w:rsid w:val="0012749D"/>
    <w:rsid w:val="00127C2E"/>
    <w:rsid w:val="00127DF2"/>
    <w:rsid w:val="00127F5A"/>
    <w:rsid w:val="00130444"/>
    <w:rsid w:val="00130B76"/>
    <w:rsid w:val="001310C7"/>
    <w:rsid w:val="00131A47"/>
    <w:rsid w:val="00131B99"/>
    <w:rsid w:val="00132ADB"/>
    <w:rsid w:val="00132B51"/>
    <w:rsid w:val="001331F1"/>
    <w:rsid w:val="00133A03"/>
    <w:rsid w:val="00133DBE"/>
    <w:rsid w:val="00133F02"/>
    <w:rsid w:val="001341A4"/>
    <w:rsid w:val="00134371"/>
    <w:rsid w:val="001349A5"/>
    <w:rsid w:val="00134BCB"/>
    <w:rsid w:val="00134C33"/>
    <w:rsid w:val="0013634D"/>
    <w:rsid w:val="00136808"/>
    <w:rsid w:val="00137441"/>
    <w:rsid w:val="00137B0E"/>
    <w:rsid w:val="00141B56"/>
    <w:rsid w:val="00142BD4"/>
    <w:rsid w:val="00142BD7"/>
    <w:rsid w:val="00143C38"/>
    <w:rsid w:val="00143DDB"/>
    <w:rsid w:val="00144402"/>
    <w:rsid w:val="00144588"/>
    <w:rsid w:val="0014568E"/>
    <w:rsid w:val="001458A2"/>
    <w:rsid w:val="00145A16"/>
    <w:rsid w:val="00147319"/>
    <w:rsid w:val="00147C7D"/>
    <w:rsid w:val="001505FC"/>
    <w:rsid w:val="0015068F"/>
    <w:rsid w:val="001512A6"/>
    <w:rsid w:val="00151933"/>
    <w:rsid w:val="00151C41"/>
    <w:rsid w:val="00152336"/>
    <w:rsid w:val="001525AF"/>
    <w:rsid w:val="0015272F"/>
    <w:rsid w:val="00152B8C"/>
    <w:rsid w:val="00152F9A"/>
    <w:rsid w:val="0015325E"/>
    <w:rsid w:val="00153712"/>
    <w:rsid w:val="00153818"/>
    <w:rsid w:val="00153821"/>
    <w:rsid w:val="00153A09"/>
    <w:rsid w:val="00153DBA"/>
    <w:rsid w:val="00153DFC"/>
    <w:rsid w:val="00153E33"/>
    <w:rsid w:val="00154BD3"/>
    <w:rsid w:val="00155906"/>
    <w:rsid w:val="00155ABB"/>
    <w:rsid w:val="00155D04"/>
    <w:rsid w:val="00155D2D"/>
    <w:rsid w:val="00155DEC"/>
    <w:rsid w:val="00155FB3"/>
    <w:rsid w:val="001560D0"/>
    <w:rsid w:val="00157AA4"/>
    <w:rsid w:val="001600F3"/>
    <w:rsid w:val="00160E42"/>
    <w:rsid w:val="0016244B"/>
    <w:rsid w:val="00162825"/>
    <w:rsid w:val="00163136"/>
    <w:rsid w:val="0016365E"/>
    <w:rsid w:val="00164815"/>
    <w:rsid w:val="001649C3"/>
    <w:rsid w:val="001650DB"/>
    <w:rsid w:val="001656AC"/>
    <w:rsid w:val="00165843"/>
    <w:rsid w:val="001659A9"/>
    <w:rsid w:val="00165C52"/>
    <w:rsid w:val="00166107"/>
    <w:rsid w:val="00166AF6"/>
    <w:rsid w:val="001671AC"/>
    <w:rsid w:val="001673F7"/>
    <w:rsid w:val="00167677"/>
    <w:rsid w:val="00167DA4"/>
    <w:rsid w:val="001700A6"/>
    <w:rsid w:val="00170141"/>
    <w:rsid w:val="00170602"/>
    <w:rsid w:val="00170658"/>
    <w:rsid w:val="001711C4"/>
    <w:rsid w:val="001713A5"/>
    <w:rsid w:val="001714F6"/>
    <w:rsid w:val="0017174C"/>
    <w:rsid w:val="0017182C"/>
    <w:rsid w:val="00171C1C"/>
    <w:rsid w:val="00171E30"/>
    <w:rsid w:val="00173761"/>
    <w:rsid w:val="00173BC1"/>
    <w:rsid w:val="00173D3B"/>
    <w:rsid w:val="001742F4"/>
    <w:rsid w:val="0017480F"/>
    <w:rsid w:val="00174FD1"/>
    <w:rsid w:val="00175C8B"/>
    <w:rsid w:val="00175CAA"/>
    <w:rsid w:val="00176167"/>
    <w:rsid w:val="00176636"/>
    <w:rsid w:val="001766A8"/>
    <w:rsid w:val="00176B51"/>
    <w:rsid w:val="001770AB"/>
    <w:rsid w:val="00177851"/>
    <w:rsid w:val="00177964"/>
    <w:rsid w:val="00177D42"/>
    <w:rsid w:val="00180A33"/>
    <w:rsid w:val="001811D8"/>
    <w:rsid w:val="001812AB"/>
    <w:rsid w:val="0018146A"/>
    <w:rsid w:val="00181537"/>
    <w:rsid w:val="00181784"/>
    <w:rsid w:val="0018197F"/>
    <w:rsid w:val="00181DBA"/>
    <w:rsid w:val="001828BB"/>
    <w:rsid w:val="00182DAD"/>
    <w:rsid w:val="001832AE"/>
    <w:rsid w:val="001838AE"/>
    <w:rsid w:val="001843CF"/>
    <w:rsid w:val="001848D2"/>
    <w:rsid w:val="00185675"/>
    <w:rsid w:val="001861BE"/>
    <w:rsid w:val="00186908"/>
    <w:rsid w:val="00186F0B"/>
    <w:rsid w:val="001902F5"/>
    <w:rsid w:val="00190880"/>
    <w:rsid w:val="00190C53"/>
    <w:rsid w:val="00190E1A"/>
    <w:rsid w:val="00191165"/>
    <w:rsid w:val="001914DB"/>
    <w:rsid w:val="0019182D"/>
    <w:rsid w:val="0019191E"/>
    <w:rsid w:val="00192024"/>
    <w:rsid w:val="00192488"/>
    <w:rsid w:val="00192838"/>
    <w:rsid w:val="001935BF"/>
    <w:rsid w:val="00195290"/>
    <w:rsid w:val="001962BC"/>
    <w:rsid w:val="00196684"/>
    <w:rsid w:val="001969B2"/>
    <w:rsid w:val="001A02A7"/>
    <w:rsid w:val="001A0327"/>
    <w:rsid w:val="001A084E"/>
    <w:rsid w:val="001A0C46"/>
    <w:rsid w:val="001A1E31"/>
    <w:rsid w:val="001A2165"/>
    <w:rsid w:val="001A25C6"/>
    <w:rsid w:val="001A2603"/>
    <w:rsid w:val="001A2D0F"/>
    <w:rsid w:val="001A33B6"/>
    <w:rsid w:val="001A3601"/>
    <w:rsid w:val="001A383A"/>
    <w:rsid w:val="001A3FED"/>
    <w:rsid w:val="001A47D9"/>
    <w:rsid w:val="001A48AC"/>
    <w:rsid w:val="001A4D5A"/>
    <w:rsid w:val="001A6242"/>
    <w:rsid w:val="001A782D"/>
    <w:rsid w:val="001A7889"/>
    <w:rsid w:val="001B1294"/>
    <w:rsid w:val="001B21F0"/>
    <w:rsid w:val="001B226A"/>
    <w:rsid w:val="001B228D"/>
    <w:rsid w:val="001B25D8"/>
    <w:rsid w:val="001B2D4E"/>
    <w:rsid w:val="001B3E56"/>
    <w:rsid w:val="001B3ECE"/>
    <w:rsid w:val="001B428E"/>
    <w:rsid w:val="001B488B"/>
    <w:rsid w:val="001B4FCA"/>
    <w:rsid w:val="001B5078"/>
    <w:rsid w:val="001B59F3"/>
    <w:rsid w:val="001B5A07"/>
    <w:rsid w:val="001B5CC7"/>
    <w:rsid w:val="001B5F29"/>
    <w:rsid w:val="001B6032"/>
    <w:rsid w:val="001B6928"/>
    <w:rsid w:val="001B6F47"/>
    <w:rsid w:val="001B76F0"/>
    <w:rsid w:val="001B77AC"/>
    <w:rsid w:val="001C0470"/>
    <w:rsid w:val="001C054C"/>
    <w:rsid w:val="001C1940"/>
    <w:rsid w:val="001C1CA6"/>
    <w:rsid w:val="001C372E"/>
    <w:rsid w:val="001C482E"/>
    <w:rsid w:val="001C48DB"/>
    <w:rsid w:val="001C5532"/>
    <w:rsid w:val="001C5594"/>
    <w:rsid w:val="001C5AAD"/>
    <w:rsid w:val="001C5BB6"/>
    <w:rsid w:val="001C62B0"/>
    <w:rsid w:val="001C6384"/>
    <w:rsid w:val="001C6740"/>
    <w:rsid w:val="001C78F0"/>
    <w:rsid w:val="001C7DF7"/>
    <w:rsid w:val="001C7FBA"/>
    <w:rsid w:val="001D0DB7"/>
    <w:rsid w:val="001D0F5B"/>
    <w:rsid w:val="001D17E6"/>
    <w:rsid w:val="001D18EA"/>
    <w:rsid w:val="001D19A7"/>
    <w:rsid w:val="001D22FE"/>
    <w:rsid w:val="001D3778"/>
    <w:rsid w:val="001D4061"/>
    <w:rsid w:val="001D40D2"/>
    <w:rsid w:val="001D4320"/>
    <w:rsid w:val="001D4873"/>
    <w:rsid w:val="001D4EC8"/>
    <w:rsid w:val="001D5157"/>
    <w:rsid w:val="001D5429"/>
    <w:rsid w:val="001D5576"/>
    <w:rsid w:val="001D645C"/>
    <w:rsid w:val="001D691D"/>
    <w:rsid w:val="001D787E"/>
    <w:rsid w:val="001D7937"/>
    <w:rsid w:val="001E0349"/>
    <w:rsid w:val="001E0AE3"/>
    <w:rsid w:val="001E0BA8"/>
    <w:rsid w:val="001E1828"/>
    <w:rsid w:val="001E185B"/>
    <w:rsid w:val="001E1E99"/>
    <w:rsid w:val="001E23E6"/>
    <w:rsid w:val="001E23E7"/>
    <w:rsid w:val="001E273E"/>
    <w:rsid w:val="001E2BAF"/>
    <w:rsid w:val="001E2C4C"/>
    <w:rsid w:val="001E42E5"/>
    <w:rsid w:val="001E431D"/>
    <w:rsid w:val="001E454D"/>
    <w:rsid w:val="001E4ABB"/>
    <w:rsid w:val="001E4B58"/>
    <w:rsid w:val="001E5B33"/>
    <w:rsid w:val="001E5C20"/>
    <w:rsid w:val="001E6E61"/>
    <w:rsid w:val="001F00BC"/>
    <w:rsid w:val="001F019F"/>
    <w:rsid w:val="001F141B"/>
    <w:rsid w:val="001F1D31"/>
    <w:rsid w:val="001F26DF"/>
    <w:rsid w:val="001F3AA0"/>
    <w:rsid w:val="001F3C7F"/>
    <w:rsid w:val="001F3F00"/>
    <w:rsid w:val="001F4219"/>
    <w:rsid w:val="001F42BE"/>
    <w:rsid w:val="001F566B"/>
    <w:rsid w:val="001F5B23"/>
    <w:rsid w:val="001F6CB2"/>
    <w:rsid w:val="001F6D6D"/>
    <w:rsid w:val="0020016A"/>
    <w:rsid w:val="0020067B"/>
    <w:rsid w:val="002010A4"/>
    <w:rsid w:val="002010E6"/>
    <w:rsid w:val="00201444"/>
    <w:rsid w:val="00201A3A"/>
    <w:rsid w:val="002020C6"/>
    <w:rsid w:val="002023A1"/>
    <w:rsid w:val="0020334E"/>
    <w:rsid w:val="0020363E"/>
    <w:rsid w:val="0020377A"/>
    <w:rsid w:val="0020394D"/>
    <w:rsid w:val="00203C8E"/>
    <w:rsid w:val="0020416B"/>
    <w:rsid w:val="00204A50"/>
    <w:rsid w:val="00204C66"/>
    <w:rsid w:val="00204D18"/>
    <w:rsid w:val="00204E3C"/>
    <w:rsid w:val="00204F94"/>
    <w:rsid w:val="00205D61"/>
    <w:rsid w:val="002068BF"/>
    <w:rsid w:val="00207084"/>
    <w:rsid w:val="00207DED"/>
    <w:rsid w:val="002102E7"/>
    <w:rsid w:val="002105F6"/>
    <w:rsid w:val="002110D7"/>
    <w:rsid w:val="00211863"/>
    <w:rsid w:val="0021186E"/>
    <w:rsid w:val="00211C2F"/>
    <w:rsid w:val="00211D31"/>
    <w:rsid w:val="00212048"/>
    <w:rsid w:val="00212490"/>
    <w:rsid w:val="00213AA2"/>
    <w:rsid w:val="002141AA"/>
    <w:rsid w:val="002147BA"/>
    <w:rsid w:val="0021483D"/>
    <w:rsid w:val="00214EDB"/>
    <w:rsid w:val="0021534E"/>
    <w:rsid w:val="00215B87"/>
    <w:rsid w:val="002177D6"/>
    <w:rsid w:val="00217850"/>
    <w:rsid w:val="00220216"/>
    <w:rsid w:val="00220760"/>
    <w:rsid w:val="00220914"/>
    <w:rsid w:val="00220DCB"/>
    <w:rsid w:val="00221347"/>
    <w:rsid w:val="00221399"/>
    <w:rsid w:val="00221BF0"/>
    <w:rsid w:val="00222981"/>
    <w:rsid w:val="00222B59"/>
    <w:rsid w:val="00222C32"/>
    <w:rsid w:val="00222D4C"/>
    <w:rsid w:val="00223F79"/>
    <w:rsid w:val="002249FB"/>
    <w:rsid w:val="00224E5A"/>
    <w:rsid w:val="0022515F"/>
    <w:rsid w:val="0022537F"/>
    <w:rsid w:val="002258C5"/>
    <w:rsid w:val="002258F7"/>
    <w:rsid w:val="00226790"/>
    <w:rsid w:val="00226AEC"/>
    <w:rsid w:val="00227277"/>
    <w:rsid w:val="00227754"/>
    <w:rsid w:val="0022783D"/>
    <w:rsid w:val="00230B0B"/>
    <w:rsid w:val="00230F1B"/>
    <w:rsid w:val="00231679"/>
    <w:rsid w:val="00231F6A"/>
    <w:rsid w:val="002327E7"/>
    <w:rsid w:val="002328E5"/>
    <w:rsid w:val="00232C13"/>
    <w:rsid w:val="00234C69"/>
    <w:rsid w:val="002353DB"/>
    <w:rsid w:val="0023566A"/>
    <w:rsid w:val="00235752"/>
    <w:rsid w:val="00235847"/>
    <w:rsid w:val="00235D2B"/>
    <w:rsid w:val="00235F68"/>
    <w:rsid w:val="002377D8"/>
    <w:rsid w:val="00237923"/>
    <w:rsid w:val="00237A8E"/>
    <w:rsid w:val="0024002E"/>
    <w:rsid w:val="0024081C"/>
    <w:rsid w:val="00240E4B"/>
    <w:rsid w:val="002415FE"/>
    <w:rsid w:val="00241AD8"/>
    <w:rsid w:val="00241D04"/>
    <w:rsid w:val="00242E3B"/>
    <w:rsid w:val="00242E77"/>
    <w:rsid w:val="002434B0"/>
    <w:rsid w:val="00243E67"/>
    <w:rsid w:val="0024412E"/>
    <w:rsid w:val="00244672"/>
    <w:rsid w:val="00244A32"/>
    <w:rsid w:val="00244BF6"/>
    <w:rsid w:val="0024510F"/>
    <w:rsid w:val="0024569F"/>
    <w:rsid w:val="0024595C"/>
    <w:rsid w:val="0024689E"/>
    <w:rsid w:val="00246D0E"/>
    <w:rsid w:val="002479CE"/>
    <w:rsid w:val="00250690"/>
    <w:rsid w:val="0025132C"/>
    <w:rsid w:val="002514B9"/>
    <w:rsid w:val="00251E14"/>
    <w:rsid w:val="00251FC2"/>
    <w:rsid w:val="00252180"/>
    <w:rsid w:val="002524BB"/>
    <w:rsid w:val="00252FC6"/>
    <w:rsid w:val="00252FE0"/>
    <w:rsid w:val="00253F69"/>
    <w:rsid w:val="00254227"/>
    <w:rsid w:val="00254671"/>
    <w:rsid w:val="00255C77"/>
    <w:rsid w:val="00256381"/>
    <w:rsid w:val="00256690"/>
    <w:rsid w:val="00256704"/>
    <w:rsid w:val="00256FAD"/>
    <w:rsid w:val="00257134"/>
    <w:rsid w:val="002572AB"/>
    <w:rsid w:val="0025732F"/>
    <w:rsid w:val="00257FAF"/>
    <w:rsid w:val="00260411"/>
    <w:rsid w:val="00260949"/>
    <w:rsid w:val="00260F43"/>
    <w:rsid w:val="002611EC"/>
    <w:rsid w:val="002612B1"/>
    <w:rsid w:val="0026224E"/>
    <w:rsid w:val="002626F2"/>
    <w:rsid w:val="00262818"/>
    <w:rsid w:val="00262B4E"/>
    <w:rsid w:val="00262CCA"/>
    <w:rsid w:val="00262F68"/>
    <w:rsid w:val="00263CD6"/>
    <w:rsid w:val="00264AAE"/>
    <w:rsid w:val="0026543E"/>
    <w:rsid w:val="00265E3A"/>
    <w:rsid w:val="002660ED"/>
    <w:rsid w:val="00266B63"/>
    <w:rsid w:val="00266CE2"/>
    <w:rsid w:val="00267439"/>
    <w:rsid w:val="00267EAC"/>
    <w:rsid w:val="00270604"/>
    <w:rsid w:val="002709C5"/>
    <w:rsid w:val="00270D88"/>
    <w:rsid w:val="0027112A"/>
    <w:rsid w:val="0027170F"/>
    <w:rsid w:val="00271823"/>
    <w:rsid w:val="00272066"/>
    <w:rsid w:val="00272718"/>
    <w:rsid w:val="002747BE"/>
    <w:rsid w:val="00274D68"/>
    <w:rsid w:val="00274D7B"/>
    <w:rsid w:val="00275294"/>
    <w:rsid w:val="00275CE3"/>
    <w:rsid w:val="00275D54"/>
    <w:rsid w:val="00276462"/>
    <w:rsid w:val="00276969"/>
    <w:rsid w:val="00276DE9"/>
    <w:rsid w:val="002779AE"/>
    <w:rsid w:val="00277C53"/>
    <w:rsid w:val="00280396"/>
    <w:rsid w:val="002808A1"/>
    <w:rsid w:val="00280AB3"/>
    <w:rsid w:val="00280EC5"/>
    <w:rsid w:val="00282249"/>
    <w:rsid w:val="00282436"/>
    <w:rsid w:val="00282BBB"/>
    <w:rsid w:val="0028325D"/>
    <w:rsid w:val="00283361"/>
    <w:rsid w:val="0028405A"/>
    <w:rsid w:val="002841C7"/>
    <w:rsid w:val="002851A5"/>
    <w:rsid w:val="00285787"/>
    <w:rsid w:val="00286991"/>
    <w:rsid w:val="00286E02"/>
    <w:rsid w:val="00287CD6"/>
    <w:rsid w:val="00290D8C"/>
    <w:rsid w:val="002913E3"/>
    <w:rsid w:val="002914D3"/>
    <w:rsid w:val="00291CA0"/>
    <w:rsid w:val="002924FE"/>
    <w:rsid w:val="00292ACF"/>
    <w:rsid w:val="00292C3D"/>
    <w:rsid w:val="00292E64"/>
    <w:rsid w:val="002935EE"/>
    <w:rsid w:val="00294140"/>
    <w:rsid w:val="0029450C"/>
    <w:rsid w:val="00294C88"/>
    <w:rsid w:val="002951C0"/>
    <w:rsid w:val="002951C7"/>
    <w:rsid w:val="00295569"/>
    <w:rsid w:val="00297577"/>
    <w:rsid w:val="002A11C6"/>
    <w:rsid w:val="002A11CC"/>
    <w:rsid w:val="002A1AAB"/>
    <w:rsid w:val="002A2097"/>
    <w:rsid w:val="002A36D5"/>
    <w:rsid w:val="002A3C93"/>
    <w:rsid w:val="002A3FAE"/>
    <w:rsid w:val="002A40BF"/>
    <w:rsid w:val="002A494D"/>
    <w:rsid w:val="002A5696"/>
    <w:rsid w:val="002A5A72"/>
    <w:rsid w:val="002A5D7F"/>
    <w:rsid w:val="002A6A04"/>
    <w:rsid w:val="002A6B9A"/>
    <w:rsid w:val="002A73E9"/>
    <w:rsid w:val="002A7571"/>
    <w:rsid w:val="002A7CFF"/>
    <w:rsid w:val="002B043A"/>
    <w:rsid w:val="002B0606"/>
    <w:rsid w:val="002B0916"/>
    <w:rsid w:val="002B0FA1"/>
    <w:rsid w:val="002B16A0"/>
    <w:rsid w:val="002B1A10"/>
    <w:rsid w:val="002B1CAF"/>
    <w:rsid w:val="002B23BF"/>
    <w:rsid w:val="002B285C"/>
    <w:rsid w:val="002B29FF"/>
    <w:rsid w:val="002B2E99"/>
    <w:rsid w:val="002B2FB5"/>
    <w:rsid w:val="002B35D5"/>
    <w:rsid w:val="002B37E9"/>
    <w:rsid w:val="002B44AF"/>
    <w:rsid w:val="002B4914"/>
    <w:rsid w:val="002B50E9"/>
    <w:rsid w:val="002B5C40"/>
    <w:rsid w:val="002B5EE2"/>
    <w:rsid w:val="002B6324"/>
    <w:rsid w:val="002B7552"/>
    <w:rsid w:val="002B7647"/>
    <w:rsid w:val="002C0520"/>
    <w:rsid w:val="002C0E76"/>
    <w:rsid w:val="002C1090"/>
    <w:rsid w:val="002C10DA"/>
    <w:rsid w:val="002C15FD"/>
    <w:rsid w:val="002C1AC0"/>
    <w:rsid w:val="002C20ED"/>
    <w:rsid w:val="002C316F"/>
    <w:rsid w:val="002C3778"/>
    <w:rsid w:val="002C3CD8"/>
    <w:rsid w:val="002C4491"/>
    <w:rsid w:val="002C4689"/>
    <w:rsid w:val="002C4CD5"/>
    <w:rsid w:val="002C50CA"/>
    <w:rsid w:val="002C5377"/>
    <w:rsid w:val="002C625F"/>
    <w:rsid w:val="002C65F1"/>
    <w:rsid w:val="002C69A9"/>
    <w:rsid w:val="002C6E39"/>
    <w:rsid w:val="002C77EB"/>
    <w:rsid w:val="002D0099"/>
    <w:rsid w:val="002D0D45"/>
    <w:rsid w:val="002D1263"/>
    <w:rsid w:val="002D128E"/>
    <w:rsid w:val="002D194A"/>
    <w:rsid w:val="002D19F1"/>
    <w:rsid w:val="002D1CA2"/>
    <w:rsid w:val="002D1DB1"/>
    <w:rsid w:val="002D2A04"/>
    <w:rsid w:val="002D30CF"/>
    <w:rsid w:val="002D3442"/>
    <w:rsid w:val="002D37CF"/>
    <w:rsid w:val="002D39FA"/>
    <w:rsid w:val="002D3A0E"/>
    <w:rsid w:val="002D4B3B"/>
    <w:rsid w:val="002D50CB"/>
    <w:rsid w:val="002D524A"/>
    <w:rsid w:val="002D6825"/>
    <w:rsid w:val="002D6C3A"/>
    <w:rsid w:val="002D6F96"/>
    <w:rsid w:val="002D7577"/>
    <w:rsid w:val="002D79F2"/>
    <w:rsid w:val="002D7CDF"/>
    <w:rsid w:val="002D7E11"/>
    <w:rsid w:val="002E01A7"/>
    <w:rsid w:val="002E0732"/>
    <w:rsid w:val="002E17D6"/>
    <w:rsid w:val="002E1D50"/>
    <w:rsid w:val="002E2D88"/>
    <w:rsid w:val="002E38E5"/>
    <w:rsid w:val="002E43E4"/>
    <w:rsid w:val="002E4A88"/>
    <w:rsid w:val="002E4C68"/>
    <w:rsid w:val="002E4DD5"/>
    <w:rsid w:val="002E50DA"/>
    <w:rsid w:val="002E5F2D"/>
    <w:rsid w:val="002E6957"/>
    <w:rsid w:val="002E7160"/>
    <w:rsid w:val="002E7553"/>
    <w:rsid w:val="002E7CF5"/>
    <w:rsid w:val="002E7E92"/>
    <w:rsid w:val="002F0FB5"/>
    <w:rsid w:val="002F1ADF"/>
    <w:rsid w:val="002F21A7"/>
    <w:rsid w:val="002F37C6"/>
    <w:rsid w:val="002F3D67"/>
    <w:rsid w:val="002F43AE"/>
    <w:rsid w:val="002F45B6"/>
    <w:rsid w:val="002F4820"/>
    <w:rsid w:val="002F4A2E"/>
    <w:rsid w:val="002F4AC8"/>
    <w:rsid w:val="002F4D23"/>
    <w:rsid w:val="002F5416"/>
    <w:rsid w:val="002F59D4"/>
    <w:rsid w:val="002F5CEB"/>
    <w:rsid w:val="002F5DB3"/>
    <w:rsid w:val="002F5DC7"/>
    <w:rsid w:val="002F61D7"/>
    <w:rsid w:val="002F63C3"/>
    <w:rsid w:val="002F703B"/>
    <w:rsid w:val="002F7566"/>
    <w:rsid w:val="002F7853"/>
    <w:rsid w:val="002F7B85"/>
    <w:rsid w:val="002F7C0E"/>
    <w:rsid w:val="00300031"/>
    <w:rsid w:val="0030020D"/>
    <w:rsid w:val="0030041C"/>
    <w:rsid w:val="00300DB6"/>
    <w:rsid w:val="003010B7"/>
    <w:rsid w:val="003013E2"/>
    <w:rsid w:val="00301741"/>
    <w:rsid w:val="00301A3E"/>
    <w:rsid w:val="003029B1"/>
    <w:rsid w:val="00302B8C"/>
    <w:rsid w:val="00302C12"/>
    <w:rsid w:val="00302CDE"/>
    <w:rsid w:val="00304158"/>
    <w:rsid w:val="0030462F"/>
    <w:rsid w:val="003060AC"/>
    <w:rsid w:val="003060E9"/>
    <w:rsid w:val="0030639D"/>
    <w:rsid w:val="0030652A"/>
    <w:rsid w:val="00306577"/>
    <w:rsid w:val="00306A27"/>
    <w:rsid w:val="00307088"/>
    <w:rsid w:val="00311BE2"/>
    <w:rsid w:val="0031211D"/>
    <w:rsid w:val="0031244A"/>
    <w:rsid w:val="00312ED4"/>
    <w:rsid w:val="00313183"/>
    <w:rsid w:val="00313878"/>
    <w:rsid w:val="00314324"/>
    <w:rsid w:val="00314375"/>
    <w:rsid w:val="00314716"/>
    <w:rsid w:val="003155AD"/>
    <w:rsid w:val="003155C6"/>
    <w:rsid w:val="0031581A"/>
    <w:rsid w:val="003159B8"/>
    <w:rsid w:val="00315ADA"/>
    <w:rsid w:val="00315D22"/>
    <w:rsid w:val="00317C3D"/>
    <w:rsid w:val="003202FF"/>
    <w:rsid w:val="00320D54"/>
    <w:rsid w:val="00320EF6"/>
    <w:rsid w:val="003216B9"/>
    <w:rsid w:val="003227F6"/>
    <w:rsid w:val="00322D3E"/>
    <w:rsid w:val="003230A7"/>
    <w:rsid w:val="003231CE"/>
    <w:rsid w:val="00323341"/>
    <w:rsid w:val="003235D2"/>
    <w:rsid w:val="003241BB"/>
    <w:rsid w:val="0032455E"/>
    <w:rsid w:val="00324F2E"/>
    <w:rsid w:val="003256AA"/>
    <w:rsid w:val="003265FC"/>
    <w:rsid w:val="003266FB"/>
    <w:rsid w:val="00326D8A"/>
    <w:rsid w:val="003270C2"/>
    <w:rsid w:val="00327B26"/>
    <w:rsid w:val="00327FDD"/>
    <w:rsid w:val="0033093C"/>
    <w:rsid w:val="0033097E"/>
    <w:rsid w:val="00330983"/>
    <w:rsid w:val="003311FC"/>
    <w:rsid w:val="00331519"/>
    <w:rsid w:val="00331ACB"/>
    <w:rsid w:val="00331B21"/>
    <w:rsid w:val="00332712"/>
    <w:rsid w:val="00333A60"/>
    <w:rsid w:val="00333A6A"/>
    <w:rsid w:val="00333F42"/>
    <w:rsid w:val="003344D2"/>
    <w:rsid w:val="0033457B"/>
    <w:rsid w:val="00334B48"/>
    <w:rsid w:val="00334D90"/>
    <w:rsid w:val="0033523F"/>
    <w:rsid w:val="00335D05"/>
    <w:rsid w:val="00336015"/>
    <w:rsid w:val="003361C1"/>
    <w:rsid w:val="00336381"/>
    <w:rsid w:val="003366C3"/>
    <w:rsid w:val="003366C6"/>
    <w:rsid w:val="0033673B"/>
    <w:rsid w:val="00336DDA"/>
    <w:rsid w:val="0033768A"/>
    <w:rsid w:val="003378C8"/>
    <w:rsid w:val="00337D7D"/>
    <w:rsid w:val="00340098"/>
    <w:rsid w:val="00340B77"/>
    <w:rsid w:val="00342A77"/>
    <w:rsid w:val="00342CCF"/>
    <w:rsid w:val="00343C0A"/>
    <w:rsid w:val="00343CE8"/>
    <w:rsid w:val="00343DB9"/>
    <w:rsid w:val="0034403D"/>
    <w:rsid w:val="00344550"/>
    <w:rsid w:val="0034480A"/>
    <w:rsid w:val="00344F67"/>
    <w:rsid w:val="00346C09"/>
    <w:rsid w:val="0034762D"/>
    <w:rsid w:val="0034773F"/>
    <w:rsid w:val="003503CF"/>
    <w:rsid w:val="00351A48"/>
    <w:rsid w:val="00352005"/>
    <w:rsid w:val="003524C8"/>
    <w:rsid w:val="00352DA7"/>
    <w:rsid w:val="0035305C"/>
    <w:rsid w:val="00353B43"/>
    <w:rsid w:val="00353B82"/>
    <w:rsid w:val="003543E0"/>
    <w:rsid w:val="0035494E"/>
    <w:rsid w:val="00354C3F"/>
    <w:rsid w:val="00354D60"/>
    <w:rsid w:val="003556AF"/>
    <w:rsid w:val="00356D60"/>
    <w:rsid w:val="00357603"/>
    <w:rsid w:val="00357D40"/>
    <w:rsid w:val="003613CC"/>
    <w:rsid w:val="0036265C"/>
    <w:rsid w:val="0036276E"/>
    <w:rsid w:val="00362B43"/>
    <w:rsid w:val="00363047"/>
    <w:rsid w:val="00363C5E"/>
    <w:rsid w:val="00364B0A"/>
    <w:rsid w:val="00364B76"/>
    <w:rsid w:val="00364FC4"/>
    <w:rsid w:val="00365D19"/>
    <w:rsid w:val="0036688E"/>
    <w:rsid w:val="00367576"/>
    <w:rsid w:val="003675AC"/>
    <w:rsid w:val="003678D3"/>
    <w:rsid w:val="00367A30"/>
    <w:rsid w:val="0037072A"/>
    <w:rsid w:val="00370B31"/>
    <w:rsid w:val="00370C10"/>
    <w:rsid w:val="00370D0D"/>
    <w:rsid w:val="003718DE"/>
    <w:rsid w:val="003727D5"/>
    <w:rsid w:val="003730F7"/>
    <w:rsid w:val="00373398"/>
    <w:rsid w:val="0037372D"/>
    <w:rsid w:val="00373CF3"/>
    <w:rsid w:val="00373E25"/>
    <w:rsid w:val="003742A5"/>
    <w:rsid w:val="0037438C"/>
    <w:rsid w:val="0037505F"/>
    <w:rsid w:val="00375176"/>
    <w:rsid w:val="003752C4"/>
    <w:rsid w:val="003752ED"/>
    <w:rsid w:val="003757F2"/>
    <w:rsid w:val="00375C34"/>
    <w:rsid w:val="0037618D"/>
    <w:rsid w:val="00376401"/>
    <w:rsid w:val="003764E2"/>
    <w:rsid w:val="003775B1"/>
    <w:rsid w:val="003805D3"/>
    <w:rsid w:val="00380B90"/>
    <w:rsid w:val="00381426"/>
    <w:rsid w:val="003816C3"/>
    <w:rsid w:val="003818EB"/>
    <w:rsid w:val="003818F5"/>
    <w:rsid w:val="00381E62"/>
    <w:rsid w:val="00382B78"/>
    <w:rsid w:val="00382DE1"/>
    <w:rsid w:val="00383850"/>
    <w:rsid w:val="00384A19"/>
    <w:rsid w:val="00384BB3"/>
    <w:rsid w:val="00384C2F"/>
    <w:rsid w:val="00384DB8"/>
    <w:rsid w:val="003851DA"/>
    <w:rsid w:val="00385C6F"/>
    <w:rsid w:val="00385DB1"/>
    <w:rsid w:val="003869CA"/>
    <w:rsid w:val="003869DB"/>
    <w:rsid w:val="00387390"/>
    <w:rsid w:val="003877DF"/>
    <w:rsid w:val="00390E64"/>
    <w:rsid w:val="0039152B"/>
    <w:rsid w:val="00391BF2"/>
    <w:rsid w:val="003939B5"/>
    <w:rsid w:val="003940AA"/>
    <w:rsid w:val="00394124"/>
    <w:rsid w:val="0039443C"/>
    <w:rsid w:val="00395287"/>
    <w:rsid w:val="003952AE"/>
    <w:rsid w:val="00395609"/>
    <w:rsid w:val="00395C78"/>
    <w:rsid w:val="00396074"/>
    <w:rsid w:val="00396604"/>
    <w:rsid w:val="0039693F"/>
    <w:rsid w:val="00397A39"/>
    <w:rsid w:val="00397B21"/>
    <w:rsid w:val="00397C1B"/>
    <w:rsid w:val="003A01FC"/>
    <w:rsid w:val="003A19E4"/>
    <w:rsid w:val="003A1C27"/>
    <w:rsid w:val="003A2213"/>
    <w:rsid w:val="003A2399"/>
    <w:rsid w:val="003A2400"/>
    <w:rsid w:val="003A24B1"/>
    <w:rsid w:val="003A2FAA"/>
    <w:rsid w:val="003A4918"/>
    <w:rsid w:val="003A4EDC"/>
    <w:rsid w:val="003A55F1"/>
    <w:rsid w:val="003A63A7"/>
    <w:rsid w:val="003A6438"/>
    <w:rsid w:val="003A7688"/>
    <w:rsid w:val="003A7B65"/>
    <w:rsid w:val="003A7BF1"/>
    <w:rsid w:val="003A7DBA"/>
    <w:rsid w:val="003A7F5F"/>
    <w:rsid w:val="003B0035"/>
    <w:rsid w:val="003B04CD"/>
    <w:rsid w:val="003B084F"/>
    <w:rsid w:val="003B0C76"/>
    <w:rsid w:val="003B114A"/>
    <w:rsid w:val="003B11C8"/>
    <w:rsid w:val="003B143C"/>
    <w:rsid w:val="003B147A"/>
    <w:rsid w:val="003B180F"/>
    <w:rsid w:val="003B2EE3"/>
    <w:rsid w:val="003B3025"/>
    <w:rsid w:val="003B3725"/>
    <w:rsid w:val="003B384F"/>
    <w:rsid w:val="003B433F"/>
    <w:rsid w:val="003B43D0"/>
    <w:rsid w:val="003B45A5"/>
    <w:rsid w:val="003B510F"/>
    <w:rsid w:val="003B5901"/>
    <w:rsid w:val="003B60E1"/>
    <w:rsid w:val="003B6790"/>
    <w:rsid w:val="003B7EB5"/>
    <w:rsid w:val="003B7F07"/>
    <w:rsid w:val="003C07D3"/>
    <w:rsid w:val="003C0D21"/>
    <w:rsid w:val="003C1038"/>
    <w:rsid w:val="003C13BA"/>
    <w:rsid w:val="003C1919"/>
    <w:rsid w:val="003C1B65"/>
    <w:rsid w:val="003C1D1D"/>
    <w:rsid w:val="003C215F"/>
    <w:rsid w:val="003C239F"/>
    <w:rsid w:val="003C2499"/>
    <w:rsid w:val="003C27C2"/>
    <w:rsid w:val="003C351E"/>
    <w:rsid w:val="003C3820"/>
    <w:rsid w:val="003C38E6"/>
    <w:rsid w:val="003C39D7"/>
    <w:rsid w:val="003C3FC6"/>
    <w:rsid w:val="003C4002"/>
    <w:rsid w:val="003C477B"/>
    <w:rsid w:val="003C5226"/>
    <w:rsid w:val="003C53AC"/>
    <w:rsid w:val="003C55F0"/>
    <w:rsid w:val="003C5807"/>
    <w:rsid w:val="003C59E6"/>
    <w:rsid w:val="003C66A2"/>
    <w:rsid w:val="003C73FE"/>
    <w:rsid w:val="003C740B"/>
    <w:rsid w:val="003D0255"/>
    <w:rsid w:val="003D08DB"/>
    <w:rsid w:val="003D0B7A"/>
    <w:rsid w:val="003D150E"/>
    <w:rsid w:val="003D1592"/>
    <w:rsid w:val="003D1D95"/>
    <w:rsid w:val="003D2684"/>
    <w:rsid w:val="003D2993"/>
    <w:rsid w:val="003D29F0"/>
    <w:rsid w:val="003D2D73"/>
    <w:rsid w:val="003D2FDF"/>
    <w:rsid w:val="003D3453"/>
    <w:rsid w:val="003D36DB"/>
    <w:rsid w:val="003D3B78"/>
    <w:rsid w:val="003D48BB"/>
    <w:rsid w:val="003D4970"/>
    <w:rsid w:val="003D4B7A"/>
    <w:rsid w:val="003D503C"/>
    <w:rsid w:val="003D50DE"/>
    <w:rsid w:val="003D51E1"/>
    <w:rsid w:val="003D5CCC"/>
    <w:rsid w:val="003D6108"/>
    <w:rsid w:val="003D6522"/>
    <w:rsid w:val="003D6C43"/>
    <w:rsid w:val="003D6FD6"/>
    <w:rsid w:val="003D72A0"/>
    <w:rsid w:val="003D739E"/>
    <w:rsid w:val="003D77AD"/>
    <w:rsid w:val="003D7DE8"/>
    <w:rsid w:val="003D7FC7"/>
    <w:rsid w:val="003E0FEC"/>
    <w:rsid w:val="003E140A"/>
    <w:rsid w:val="003E1566"/>
    <w:rsid w:val="003E157D"/>
    <w:rsid w:val="003E17C6"/>
    <w:rsid w:val="003E1A6B"/>
    <w:rsid w:val="003E31F7"/>
    <w:rsid w:val="003E32D8"/>
    <w:rsid w:val="003E3691"/>
    <w:rsid w:val="003E3AF6"/>
    <w:rsid w:val="003E3FAD"/>
    <w:rsid w:val="003E520F"/>
    <w:rsid w:val="003E5919"/>
    <w:rsid w:val="003E5AFC"/>
    <w:rsid w:val="003E5D34"/>
    <w:rsid w:val="003E6E30"/>
    <w:rsid w:val="003E7537"/>
    <w:rsid w:val="003E79FE"/>
    <w:rsid w:val="003E7FF6"/>
    <w:rsid w:val="003F009A"/>
    <w:rsid w:val="003F09EB"/>
    <w:rsid w:val="003F1118"/>
    <w:rsid w:val="003F1893"/>
    <w:rsid w:val="003F1BDE"/>
    <w:rsid w:val="003F223F"/>
    <w:rsid w:val="003F273D"/>
    <w:rsid w:val="003F2878"/>
    <w:rsid w:val="003F2AD2"/>
    <w:rsid w:val="003F2F48"/>
    <w:rsid w:val="003F41D0"/>
    <w:rsid w:val="003F4E21"/>
    <w:rsid w:val="003F5493"/>
    <w:rsid w:val="003F54D2"/>
    <w:rsid w:val="003F5BBF"/>
    <w:rsid w:val="003F5C37"/>
    <w:rsid w:val="003F5E04"/>
    <w:rsid w:val="003F649B"/>
    <w:rsid w:val="003F6A0B"/>
    <w:rsid w:val="003F6C09"/>
    <w:rsid w:val="003F73AA"/>
    <w:rsid w:val="003F7CCB"/>
    <w:rsid w:val="0040080F"/>
    <w:rsid w:val="004008B0"/>
    <w:rsid w:val="00400CAB"/>
    <w:rsid w:val="00400E68"/>
    <w:rsid w:val="00402699"/>
    <w:rsid w:val="00403B96"/>
    <w:rsid w:val="00403D0F"/>
    <w:rsid w:val="0040415B"/>
    <w:rsid w:val="00405082"/>
    <w:rsid w:val="004053AF"/>
    <w:rsid w:val="00405ACA"/>
    <w:rsid w:val="00405C05"/>
    <w:rsid w:val="00405E9A"/>
    <w:rsid w:val="004065D7"/>
    <w:rsid w:val="004069E8"/>
    <w:rsid w:val="00407924"/>
    <w:rsid w:val="00407C2C"/>
    <w:rsid w:val="00407CB7"/>
    <w:rsid w:val="00407FAE"/>
    <w:rsid w:val="00411074"/>
    <w:rsid w:val="00411986"/>
    <w:rsid w:val="00411D8C"/>
    <w:rsid w:val="0041229D"/>
    <w:rsid w:val="00412B72"/>
    <w:rsid w:val="00412C78"/>
    <w:rsid w:val="00413994"/>
    <w:rsid w:val="00413AF7"/>
    <w:rsid w:val="00413DF8"/>
    <w:rsid w:val="0041517A"/>
    <w:rsid w:val="00415C6A"/>
    <w:rsid w:val="004169B7"/>
    <w:rsid w:val="00416A5E"/>
    <w:rsid w:val="00416E4E"/>
    <w:rsid w:val="00417103"/>
    <w:rsid w:val="0041768F"/>
    <w:rsid w:val="00417A6D"/>
    <w:rsid w:val="00420774"/>
    <w:rsid w:val="00420938"/>
    <w:rsid w:val="004211CA"/>
    <w:rsid w:val="00421EBD"/>
    <w:rsid w:val="00422106"/>
    <w:rsid w:val="00422205"/>
    <w:rsid w:val="00422B75"/>
    <w:rsid w:val="00422D24"/>
    <w:rsid w:val="0042347A"/>
    <w:rsid w:val="0042371E"/>
    <w:rsid w:val="00423898"/>
    <w:rsid w:val="004238A1"/>
    <w:rsid w:val="004238A3"/>
    <w:rsid w:val="004249E6"/>
    <w:rsid w:val="00424DB7"/>
    <w:rsid w:val="0042592A"/>
    <w:rsid w:val="00425BBC"/>
    <w:rsid w:val="00425FAC"/>
    <w:rsid w:val="00426658"/>
    <w:rsid w:val="004277C0"/>
    <w:rsid w:val="00427D9F"/>
    <w:rsid w:val="0043006D"/>
    <w:rsid w:val="00430950"/>
    <w:rsid w:val="00430C3F"/>
    <w:rsid w:val="00431579"/>
    <w:rsid w:val="00431913"/>
    <w:rsid w:val="00432501"/>
    <w:rsid w:val="0043254D"/>
    <w:rsid w:val="0043255B"/>
    <w:rsid w:val="0043266E"/>
    <w:rsid w:val="00432FED"/>
    <w:rsid w:val="00433188"/>
    <w:rsid w:val="004333DF"/>
    <w:rsid w:val="00433FE2"/>
    <w:rsid w:val="00434D78"/>
    <w:rsid w:val="00434E84"/>
    <w:rsid w:val="004353A3"/>
    <w:rsid w:val="00435AB8"/>
    <w:rsid w:val="004361BF"/>
    <w:rsid w:val="00436434"/>
    <w:rsid w:val="0043673E"/>
    <w:rsid w:val="00436D33"/>
    <w:rsid w:val="00436ECB"/>
    <w:rsid w:val="004371A0"/>
    <w:rsid w:val="00437804"/>
    <w:rsid w:val="004379E8"/>
    <w:rsid w:val="00437C5C"/>
    <w:rsid w:val="00437E95"/>
    <w:rsid w:val="00437EF9"/>
    <w:rsid w:val="0044014D"/>
    <w:rsid w:val="00440C40"/>
    <w:rsid w:val="004410F7"/>
    <w:rsid w:val="0044188D"/>
    <w:rsid w:val="004418AF"/>
    <w:rsid w:val="004432FA"/>
    <w:rsid w:val="0044343F"/>
    <w:rsid w:val="00443498"/>
    <w:rsid w:val="004436A6"/>
    <w:rsid w:val="00443AED"/>
    <w:rsid w:val="00444330"/>
    <w:rsid w:val="0044478E"/>
    <w:rsid w:val="00444F9D"/>
    <w:rsid w:val="004452B4"/>
    <w:rsid w:val="004455F6"/>
    <w:rsid w:val="00445C5E"/>
    <w:rsid w:val="00445CA5"/>
    <w:rsid w:val="0044642B"/>
    <w:rsid w:val="00446916"/>
    <w:rsid w:val="004469E2"/>
    <w:rsid w:val="00447656"/>
    <w:rsid w:val="00447DA3"/>
    <w:rsid w:val="00450974"/>
    <w:rsid w:val="00451655"/>
    <w:rsid w:val="004518E5"/>
    <w:rsid w:val="00451A98"/>
    <w:rsid w:val="00452403"/>
    <w:rsid w:val="00452556"/>
    <w:rsid w:val="00452B44"/>
    <w:rsid w:val="00453BA2"/>
    <w:rsid w:val="0045516A"/>
    <w:rsid w:val="004557E5"/>
    <w:rsid w:val="004559EB"/>
    <w:rsid w:val="00455F62"/>
    <w:rsid w:val="00456006"/>
    <w:rsid w:val="0045705E"/>
    <w:rsid w:val="004574A3"/>
    <w:rsid w:val="00460F3B"/>
    <w:rsid w:val="00460FE6"/>
    <w:rsid w:val="004615BE"/>
    <w:rsid w:val="00461C94"/>
    <w:rsid w:val="00461CA9"/>
    <w:rsid w:val="00461EC5"/>
    <w:rsid w:val="00461FC2"/>
    <w:rsid w:val="00462199"/>
    <w:rsid w:val="0046223D"/>
    <w:rsid w:val="00462639"/>
    <w:rsid w:val="0046338B"/>
    <w:rsid w:val="00463912"/>
    <w:rsid w:val="00463B4E"/>
    <w:rsid w:val="00463D07"/>
    <w:rsid w:val="00464074"/>
    <w:rsid w:val="004644DF"/>
    <w:rsid w:val="004657B7"/>
    <w:rsid w:val="0046587E"/>
    <w:rsid w:val="00465A75"/>
    <w:rsid w:val="00466E6A"/>
    <w:rsid w:val="00467940"/>
    <w:rsid w:val="00471076"/>
    <w:rsid w:val="00471A24"/>
    <w:rsid w:val="004728A7"/>
    <w:rsid w:val="004740E4"/>
    <w:rsid w:val="00474806"/>
    <w:rsid w:val="00474ABD"/>
    <w:rsid w:val="00474F03"/>
    <w:rsid w:val="00474F27"/>
    <w:rsid w:val="00475982"/>
    <w:rsid w:val="00475CD0"/>
    <w:rsid w:val="00475E71"/>
    <w:rsid w:val="00477124"/>
    <w:rsid w:val="00477125"/>
    <w:rsid w:val="00477912"/>
    <w:rsid w:val="00477C23"/>
    <w:rsid w:val="00480296"/>
    <w:rsid w:val="00480392"/>
    <w:rsid w:val="004805A3"/>
    <w:rsid w:val="00480E51"/>
    <w:rsid w:val="004820C3"/>
    <w:rsid w:val="00482306"/>
    <w:rsid w:val="00482451"/>
    <w:rsid w:val="004828A6"/>
    <w:rsid w:val="0048296C"/>
    <w:rsid w:val="00482BD8"/>
    <w:rsid w:val="00483301"/>
    <w:rsid w:val="004839EC"/>
    <w:rsid w:val="00483BE7"/>
    <w:rsid w:val="00483E55"/>
    <w:rsid w:val="0048401D"/>
    <w:rsid w:val="00484194"/>
    <w:rsid w:val="004845F3"/>
    <w:rsid w:val="00484676"/>
    <w:rsid w:val="004846CC"/>
    <w:rsid w:val="004847BC"/>
    <w:rsid w:val="00485137"/>
    <w:rsid w:val="004858BD"/>
    <w:rsid w:val="004861C0"/>
    <w:rsid w:val="004861F2"/>
    <w:rsid w:val="004864B2"/>
    <w:rsid w:val="00486830"/>
    <w:rsid w:val="00487171"/>
    <w:rsid w:val="00487353"/>
    <w:rsid w:val="00487BF7"/>
    <w:rsid w:val="0049012C"/>
    <w:rsid w:val="00490BB5"/>
    <w:rsid w:val="004917A3"/>
    <w:rsid w:val="004918CB"/>
    <w:rsid w:val="00491BD1"/>
    <w:rsid w:val="0049308B"/>
    <w:rsid w:val="004931CB"/>
    <w:rsid w:val="004940DC"/>
    <w:rsid w:val="004942C9"/>
    <w:rsid w:val="004947A2"/>
    <w:rsid w:val="00494D05"/>
    <w:rsid w:val="004961F1"/>
    <w:rsid w:val="0049635B"/>
    <w:rsid w:val="00496368"/>
    <w:rsid w:val="00496B53"/>
    <w:rsid w:val="00497091"/>
    <w:rsid w:val="004978B7"/>
    <w:rsid w:val="004978C4"/>
    <w:rsid w:val="00497D18"/>
    <w:rsid w:val="004A0303"/>
    <w:rsid w:val="004A0BAB"/>
    <w:rsid w:val="004A136C"/>
    <w:rsid w:val="004A14E8"/>
    <w:rsid w:val="004A173C"/>
    <w:rsid w:val="004A1B75"/>
    <w:rsid w:val="004A205B"/>
    <w:rsid w:val="004A2633"/>
    <w:rsid w:val="004A2ACD"/>
    <w:rsid w:val="004A340C"/>
    <w:rsid w:val="004A359A"/>
    <w:rsid w:val="004A400F"/>
    <w:rsid w:val="004A42DB"/>
    <w:rsid w:val="004A4473"/>
    <w:rsid w:val="004A47D7"/>
    <w:rsid w:val="004A49EC"/>
    <w:rsid w:val="004A54A7"/>
    <w:rsid w:val="004A5DFD"/>
    <w:rsid w:val="004A645F"/>
    <w:rsid w:val="004A64C1"/>
    <w:rsid w:val="004A64D4"/>
    <w:rsid w:val="004A64E3"/>
    <w:rsid w:val="004A671C"/>
    <w:rsid w:val="004A6A08"/>
    <w:rsid w:val="004A6E43"/>
    <w:rsid w:val="004A7D06"/>
    <w:rsid w:val="004A7F6B"/>
    <w:rsid w:val="004B0439"/>
    <w:rsid w:val="004B0DF2"/>
    <w:rsid w:val="004B1226"/>
    <w:rsid w:val="004B18EB"/>
    <w:rsid w:val="004B1C6D"/>
    <w:rsid w:val="004B2F06"/>
    <w:rsid w:val="004B3358"/>
    <w:rsid w:val="004B337F"/>
    <w:rsid w:val="004B3DD2"/>
    <w:rsid w:val="004B493B"/>
    <w:rsid w:val="004B4B1B"/>
    <w:rsid w:val="004B4FC1"/>
    <w:rsid w:val="004B54E6"/>
    <w:rsid w:val="004B5AD8"/>
    <w:rsid w:val="004B5BAA"/>
    <w:rsid w:val="004B5D00"/>
    <w:rsid w:val="004B638E"/>
    <w:rsid w:val="004B6657"/>
    <w:rsid w:val="004B67D1"/>
    <w:rsid w:val="004B6920"/>
    <w:rsid w:val="004B79DD"/>
    <w:rsid w:val="004B7A56"/>
    <w:rsid w:val="004B7AA5"/>
    <w:rsid w:val="004C09B7"/>
    <w:rsid w:val="004C0D13"/>
    <w:rsid w:val="004C0DAB"/>
    <w:rsid w:val="004C0E09"/>
    <w:rsid w:val="004C0F0C"/>
    <w:rsid w:val="004C1111"/>
    <w:rsid w:val="004C1716"/>
    <w:rsid w:val="004C1AC7"/>
    <w:rsid w:val="004C20A6"/>
    <w:rsid w:val="004C2629"/>
    <w:rsid w:val="004C4254"/>
    <w:rsid w:val="004C4A5B"/>
    <w:rsid w:val="004C59A6"/>
    <w:rsid w:val="004C5FC7"/>
    <w:rsid w:val="004C6812"/>
    <w:rsid w:val="004C7103"/>
    <w:rsid w:val="004C7A2F"/>
    <w:rsid w:val="004C7AAF"/>
    <w:rsid w:val="004D0358"/>
    <w:rsid w:val="004D03DA"/>
    <w:rsid w:val="004D0CD3"/>
    <w:rsid w:val="004D0E04"/>
    <w:rsid w:val="004D19AB"/>
    <w:rsid w:val="004D1BA3"/>
    <w:rsid w:val="004D1DBB"/>
    <w:rsid w:val="004D24C9"/>
    <w:rsid w:val="004D2506"/>
    <w:rsid w:val="004D2B6C"/>
    <w:rsid w:val="004D3986"/>
    <w:rsid w:val="004D47AF"/>
    <w:rsid w:val="004D49E9"/>
    <w:rsid w:val="004D4AD7"/>
    <w:rsid w:val="004D4E0A"/>
    <w:rsid w:val="004D5BB6"/>
    <w:rsid w:val="004D5F5B"/>
    <w:rsid w:val="004D69B1"/>
    <w:rsid w:val="004D6F3F"/>
    <w:rsid w:val="004D71E0"/>
    <w:rsid w:val="004D78BD"/>
    <w:rsid w:val="004E0263"/>
    <w:rsid w:val="004E0C83"/>
    <w:rsid w:val="004E1359"/>
    <w:rsid w:val="004E2AB9"/>
    <w:rsid w:val="004E39F2"/>
    <w:rsid w:val="004E3D16"/>
    <w:rsid w:val="004E3FCE"/>
    <w:rsid w:val="004E4B66"/>
    <w:rsid w:val="004E4BE8"/>
    <w:rsid w:val="004E4ED6"/>
    <w:rsid w:val="004E56B5"/>
    <w:rsid w:val="004E587B"/>
    <w:rsid w:val="004E66A7"/>
    <w:rsid w:val="004E6C02"/>
    <w:rsid w:val="004F0060"/>
    <w:rsid w:val="004F0102"/>
    <w:rsid w:val="004F0840"/>
    <w:rsid w:val="004F09EC"/>
    <w:rsid w:val="004F0E02"/>
    <w:rsid w:val="004F1BDC"/>
    <w:rsid w:val="004F2112"/>
    <w:rsid w:val="004F2659"/>
    <w:rsid w:val="004F296A"/>
    <w:rsid w:val="004F32BA"/>
    <w:rsid w:val="004F35CC"/>
    <w:rsid w:val="004F3719"/>
    <w:rsid w:val="004F3A59"/>
    <w:rsid w:val="004F41FE"/>
    <w:rsid w:val="004F4CF1"/>
    <w:rsid w:val="004F53FF"/>
    <w:rsid w:val="004F56AD"/>
    <w:rsid w:val="004F7AEF"/>
    <w:rsid w:val="004F7CD6"/>
    <w:rsid w:val="004F7E52"/>
    <w:rsid w:val="00502891"/>
    <w:rsid w:val="00502948"/>
    <w:rsid w:val="00502C9F"/>
    <w:rsid w:val="00502E63"/>
    <w:rsid w:val="00503339"/>
    <w:rsid w:val="0050351B"/>
    <w:rsid w:val="00503757"/>
    <w:rsid w:val="00503D80"/>
    <w:rsid w:val="00504018"/>
    <w:rsid w:val="00504B24"/>
    <w:rsid w:val="00505221"/>
    <w:rsid w:val="00505B7A"/>
    <w:rsid w:val="00505EC1"/>
    <w:rsid w:val="00506383"/>
    <w:rsid w:val="005065A9"/>
    <w:rsid w:val="00506893"/>
    <w:rsid w:val="00506C23"/>
    <w:rsid w:val="00507141"/>
    <w:rsid w:val="0050737D"/>
    <w:rsid w:val="00507513"/>
    <w:rsid w:val="00507681"/>
    <w:rsid w:val="00507C42"/>
    <w:rsid w:val="00507CDE"/>
    <w:rsid w:val="00507F5D"/>
    <w:rsid w:val="0051004F"/>
    <w:rsid w:val="00510E54"/>
    <w:rsid w:val="0051195E"/>
    <w:rsid w:val="005120A5"/>
    <w:rsid w:val="005127A7"/>
    <w:rsid w:val="0051369B"/>
    <w:rsid w:val="00513A4A"/>
    <w:rsid w:val="00513CCE"/>
    <w:rsid w:val="00514784"/>
    <w:rsid w:val="00514B4A"/>
    <w:rsid w:val="0051557A"/>
    <w:rsid w:val="0051639C"/>
    <w:rsid w:val="00516C48"/>
    <w:rsid w:val="00517088"/>
    <w:rsid w:val="005179C5"/>
    <w:rsid w:val="00517D9A"/>
    <w:rsid w:val="00517FB9"/>
    <w:rsid w:val="005201B8"/>
    <w:rsid w:val="00520604"/>
    <w:rsid w:val="00520683"/>
    <w:rsid w:val="005209D6"/>
    <w:rsid w:val="005211A5"/>
    <w:rsid w:val="005212FC"/>
    <w:rsid w:val="00521A69"/>
    <w:rsid w:val="00521C98"/>
    <w:rsid w:val="00521DB0"/>
    <w:rsid w:val="00522FA0"/>
    <w:rsid w:val="00523558"/>
    <w:rsid w:val="0052587C"/>
    <w:rsid w:val="005258F8"/>
    <w:rsid w:val="00525905"/>
    <w:rsid w:val="00525FFD"/>
    <w:rsid w:val="005262B3"/>
    <w:rsid w:val="0052732D"/>
    <w:rsid w:val="00530254"/>
    <w:rsid w:val="0053062F"/>
    <w:rsid w:val="00530829"/>
    <w:rsid w:val="00530CBD"/>
    <w:rsid w:val="00531231"/>
    <w:rsid w:val="0053142A"/>
    <w:rsid w:val="0053187A"/>
    <w:rsid w:val="005319B7"/>
    <w:rsid w:val="00531BDB"/>
    <w:rsid w:val="005322F0"/>
    <w:rsid w:val="00532B2B"/>
    <w:rsid w:val="00532D14"/>
    <w:rsid w:val="00532F27"/>
    <w:rsid w:val="0053479B"/>
    <w:rsid w:val="005369FD"/>
    <w:rsid w:val="0053748F"/>
    <w:rsid w:val="005374D6"/>
    <w:rsid w:val="00537552"/>
    <w:rsid w:val="00537673"/>
    <w:rsid w:val="00537B48"/>
    <w:rsid w:val="00537E73"/>
    <w:rsid w:val="00540129"/>
    <w:rsid w:val="0054073B"/>
    <w:rsid w:val="00540A34"/>
    <w:rsid w:val="00540C56"/>
    <w:rsid w:val="00542D83"/>
    <w:rsid w:val="00543593"/>
    <w:rsid w:val="00543E8A"/>
    <w:rsid w:val="00544B8E"/>
    <w:rsid w:val="005464F0"/>
    <w:rsid w:val="005465EF"/>
    <w:rsid w:val="00550D38"/>
    <w:rsid w:val="00551554"/>
    <w:rsid w:val="00551718"/>
    <w:rsid w:val="00551C4C"/>
    <w:rsid w:val="00551DAD"/>
    <w:rsid w:val="005520C4"/>
    <w:rsid w:val="00552177"/>
    <w:rsid w:val="00553243"/>
    <w:rsid w:val="005535C9"/>
    <w:rsid w:val="0055366F"/>
    <w:rsid w:val="00553E99"/>
    <w:rsid w:val="00553FBA"/>
    <w:rsid w:val="00554317"/>
    <w:rsid w:val="0055478D"/>
    <w:rsid w:val="005548D1"/>
    <w:rsid w:val="005549B4"/>
    <w:rsid w:val="00555141"/>
    <w:rsid w:val="005552A8"/>
    <w:rsid w:val="00555C3B"/>
    <w:rsid w:val="00555D32"/>
    <w:rsid w:val="00555F4C"/>
    <w:rsid w:val="00556EA9"/>
    <w:rsid w:val="0055744C"/>
    <w:rsid w:val="005577A9"/>
    <w:rsid w:val="0056008B"/>
    <w:rsid w:val="00560953"/>
    <w:rsid w:val="005609F0"/>
    <w:rsid w:val="00560A62"/>
    <w:rsid w:val="00560CD7"/>
    <w:rsid w:val="0056102B"/>
    <w:rsid w:val="005611BD"/>
    <w:rsid w:val="0056161B"/>
    <w:rsid w:val="00561CD3"/>
    <w:rsid w:val="0056203E"/>
    <w:rsid w:val="00562D0E"/>
    <w:rsid w:val="0056302A"/>
    <w:rsid w:val="0056382A"/>
    <w:rsid w:val="00563845"/>
    <w:rsid w:val="00564836"/>
    <w:rsid w:val="005651F9"/>
    <w:rsid w:val="00565329"/>
    <w:rsid w:val="00565CFC"/>
    <w:rsid w:val="00565E28"/>
    <w:rsid w:val="00566085"/>
    <w:rsid w:val="005662AC"/>
    <w:rsid w:val="0056680E"/>
    <w:rsid w:val="005674BE"/>
    <w:rsid w:val="005677A7"/>
    <w:rsid w:val="0056785C"/>
    <w:rsid w:val="00567B96"/>
    <w:rsid w:val="00567C8C"/>
    <w:rsid w:val="00567CB2"/>
    <w:rsid w:val="005703D7"/>
    <w:rsid w:val="00570449"/>
    <w:rsid w:val="00570470"/>
    <w:rsid w:val="00570E33"/>
    <w:rsid w:val="00571CCF"/>
    <w:rsid w:val="00571DD2"/>
    <w:rsid w:val="005721C1"/>
    <w:rsid w:val="00572236"/>
    <w:rsid w:val="00572544"/>
    <w:rsid w:val="005726BB"/>
    <w:rsid w:val="00572C2D"/>
    <w:rsid w:val="00573693"/>
    <w:rsid w:val="005736BF"/>
    <w:rsid w:val="005737AE"/>
    <w:rsid w:val="0057467E"/>
    <w:rsid w:val="005748EC"/>
    <w:rsid w:val="00574A89"/>
    <w:rsid w:val="00574E54"/>
    <w:rsid w:val="00574F37"/>
    <w:rsid w:val="005753A7"/>
    <w:rsid w:val="005753BE"/>
    <w:rsid w:val="00575557"/>
    <w:rsid w:val="005768E3"/>
    <w:rsid w:val="00577B37"/>
    <w:rsid w:val="00577CEA"/>
    <w:rsid w:val="00577E36"/>
    <w:rsid w:val="00577E3E"/>
    <w:rsid w:val="00581187"/>
    <w:rsid w:val="005814E8"/>
    <w:rsid w:val="00582217"/>
    <w:rsid w:val="00582C2C"/>
    <w:rsid w:val="00582EE2"/>
    <w:rsid w:val="005830DC"/>
    <w:rsid w:val="00583702"/>
    <w:rsid w:val="00583834"/>
    <w:rsid w:val="005838CA"/>
    <w:rsid w:val="0058406F"/>
    <w:rsid w:val="00586654"/>
    <w:rsid w:val="005867F1"/>
    <w:rsid w:val="0058680B"/>
    <w:rsid w:val="00586E2E"/>
    <w:rsid w:val="00587B88"/>
    <w:rsid w:val="00587F0E"/>
    <w:rsid w:val="00590BA4"/>
    <w:rsid w:val="00590F3D"/>
    <w:rsid w:val="00590F67"/>
    <w:rsid w:val="005910D9"/>
    <w:rsid w:val="005919C7"/>
    <w:rsid w:val="005925E7"/>
    <w:rsid w:val="00593B72"/>
    <w:rsid w:val="00593BC7"/>
    <w:rsid w:val="00594065"/>
    <w:rsid w:val="0059409C"/>
    <w:rsid w:val="00597099"/>
    <w:rsid w:val="0059739B"/>
    <w:rsid w:val="005A01C9"/>
    <w:rsid w:val="005A06E8"/>
    <w:rsid w:val="005A0AB8"/>
    <w:rsid w:val="005A14D5"/>
    <w:rsid w:val="005A19E2"/>
    <w:rsid w:val="005A1D03"/>
    <w:rsid w:val="005A2927"/>
    <w:rsid w:val="005A2DEB"/>
    <w:rsid w:val="005A2F91"/>
    <w:rsid w:val="005A398C"/>
    <w:rsid w:val="005A3A53"/>
    <w:rsid w:val="005A419B"/>
    <w:rsid w:val="005A4DC6"/>
    <w:rsid w:val="005A53BE"/>
    <w:rsid w:val="005A5CE4"/>
    <w:rsid w:val="005A6217"/>
    <w:rsid w:val="005A64CB"/>
    <w:rsid w:val="005A6A71"/>
    <w:rsid w:val="005A6C1F"/>
    <w:rsid w:val="005A7B8D"/>
    <w:rsid w:val="005A7BE2"/>
    <w:rsid w:val="005B164B"/>
    <w:rsid w:val="005B1865"/>
    <w:rsid w:val="005B1B6D"/>
    <w:rsid w:val="005B1BF2"/>
    <w:rsid w:val="005B1C13"/>
    <w:rsid w:val="005B209C"/>
    <w:rsid w:val="005B222D"/>
    <w:rsid w:val="005B2421"/>
    <w:rsid w:val="005B2BA4"/>
    <w:rsid w:val="005B3CFF"/>
    <w:rsid w:val="005B3D26"/>
    <w:rsid w:val="005B44B5"/>
    <w:rsid w:val="005B48C0"/>
    <w:rsid w:val="005B4D09"/>
    <w:rsid w:val="005B5D8C"/>
    <w:rsid w:val="005B63FC"/>
    <w:rsid w:val="005B6D0A"/>
    <w:rsid w:val="005B6F00"/>
    <w:rsid w:val="005B7271"/>
    <w:rsid w:val="005C012E"/>
    <w:rsid w:val="005C03DD"/>
    <w:rsid w:val="005C0585"/>
    <w:rsid w:val="005C06B7"/>
    <w:rsid w:val="005C0F03"/>
    <w:rsid w:val="005C12AC"/>
    <w:rsid w:val="005C18BE"/>
    <w:rsid w:val="005C1BBA"/>
    <w:rsid w:val="005C1C82"/>
    <w:rsid w:val="005C1E2F"/>
    <w:rsid w:val="005C24B3"/>
    <w:rsid w:val="005C2628"/>
    <w:rsid w:val="005C29E7"/>
    <w:rsid w:val="005C327F"/>
    <w:rsid w:val="005C33FE"/>
    <w:rsid w:val="005C34F8"/>
    <w:rsid w:val="005C3D64"/>
    <w:rsid w:val="005C440D"/>
    <w:rsid w:val="005C520F"/>
    <w:rsid w:val="005C56B8"/>
    <w:rsid w:val="005C6A80"/>
    <w:rsid w:val="005C6F90"/>
    <w:rsid w:val="005C7200"/>
    <w:rsid w:val="005C7442"/>
    <w:rsid w:val="005C76B2"/>
    <w:rsid w:val="005C7813"/>
    <w:rsid w:val="005C79FB"/>
    <w:rsid w:val="005D031A"/>
    <w:rsid w:val="005D03B6"/>
    <w:rsid w:val="005D1B24"/>
    <w:rsid w:val="005D1F63"/>
    <w:rsid w:val="005D2323"/>
    <w:rsid w:val="005D2A7B"/>
    <w:rsid w:val="005D2DE6"/>
    <w:rsid w:val="005D37B6"/>
    <w:rsid w:val="005D3AE9"/>
    <w:rsid w:val="005D3D69"/>
    <w:rsid w:val="005D4017"/>
    <w:rsid w:val="005D4D40"/>
    <w:rsid w:val="005D5214"/>
    <w:rsid w:val="005D537F"/>
    <w:rsid w:val="005D5496"/>
    <w:rsid w:val="005D5519"/>
    <w:rsid w:val="005D5645"/>
    <w:rsid w:val="005D5DDF"/>
    <w:rsid w:val="005D6119"/>
    <w:rsid w:val="005D65E9"/>
    <w:rsid w:val="005D66B4"/>
    <w:rsid w:val="005D66E6"/>
    <w:rsid w:val="005D6CA6"/>
    <w:rsid w:val="005D6DEA"/>
    <w:rsid w:val="005D6F4A"/>
    <w:rsid w:val="005D775D"/>
    <w:rsid w:val="005D7A17"/>
    <w:rsid w:val="005E0FD6"/>
    <w:rsid w:val="005E1233"/>
    <w:rsid w:val="005E161D"/>
    <w:rsid w:val="005E212C"/>
    <w:rsid w:val="005E249A"/>
    <w:rsid w:val="005E2FA8"/>
    <w:rsid w:val="005E3F1A"/>
    <w:rsid w:val="005E436F"/>
    <w:rsid w:val="005E4B1C"/>
    <w:rsid w:val="005E5328"/>
    <w:rsid w:val="005E5523"/>
    <w:rsid w:val="005E56B4"/>
    <w:rsid w:val="005E6ED4"/>
    <w:rsid w:val="005E73CA"/>
    <w:rsid w:val="005E774A"/>
    <w:rsid w:val="005F03B5"/>
    <w:rsid w:val="005F0FA0"/>
    <w:rsid w:val="005F12FD"/>
    <w:rsid w:val="005F149D"/>
    <w:rsid w:val="005F195C"/>
    <w:rsid w:val="005F1C7B"/>
    <w:rsid w:val="005F1FEE"/>
    <w:rsid w:val="005F348D"/>
    <w:rsid w:val="005F4F87"/>
    <w:rsid w:val="005F55D3"/>
    <w:rsid w:val="005F5832"/>
    <w:rsid w:val="005F599A"/>
    <w:rsid w:val="005F5A6F"/>
    <w:rsid w:val="005F5B7F"/>
    <w:rsid w:val="005F5D36"/>
    <w:rsid w:val="005F5E57"/>
    <w:rsid w:val="005F5E69"/>
    <w:rsid w:val="005F600C"/>
    <w:rsid w:val="005F6A34"/>
    <w:rsid w:val="005F76AA"/>
    <w:rsid w:val="00600340"/>
    <w:rsid w:val="00601312"/>
    <w:rsid w:val="006029BA"/>
    <w:rsid w:val="00603860"/>
    <w:rsid w:val="00605C3E"/>
    <w:rsid w:val="00606165"/>
    <w:rsid w:val="006066ED"/>
    <w:rsid w:val="00606BE2"/>
    <w:rsid w:val="006072B8"/>
    <w:rsid w:val="0060748D"/>
    <w:rsid w:val="006101CE"/>
    <w:rsid w:val="00610273"/>
    <w:rsid w:val="006102BD"/>
    <w:rsid w:val="0061052D"/>
    <w:rsid w:val="00610B4E"/>
    <w:rsid w:val="006114D1"/>
    <w:rsid w:val="00612613"/>
    <w:rsid w:val="00612EB1"/>
    <w:rsid w:val="00613014"/>
    <w:rsid w:val="00613D2D"/>
    <w:rsid w:val="00613DAE"/>
    <w:rsid w:val="00613F15"/>
    <w:rsid w:val="00613F3A"/>
    <w:rsid w:val="00614A54"/>
    <w:rsid w:val="00615076"/>
    <w:rsid w:val="006152B4"/>
    <w:rsid w:val="00615817"/>
    <w:rsid w:val="0061772F"/>
    <w:rsid w:val="00617846"/>
    <w:rsid w:val="00617C26"/>
    <w:rsid w:val="00620210"/>
    <w:rsid w:val="0062093F"/>
    <w:rsid w:val="00620CF0"/>
    <w:rsid w:val="0062139F"/>
    <w:rsid w:val="00621888"/>
    <w:rsid w:val="006224E7"/>
    <w:rsid w:val="00622AC6"/>
    <w:rsid w:val="00622B6F"/>
    <w:rsid w:val="00623242"/>
    <w:rsid w:val="00623A2C"/>
    <w:rsid w:val="00623C89"/>
    <w:rsid w:val="00623D32"/>
    <w:rsid w:val="00623D6C"/>
    <w:rsid w:val="00624031"/>
    <w:rsid w:val="00624975"/>
    <w:rsid w:val="006249F6"/>
    <w:rsid w:val="00625422"/>
    <w:rsid w:val="00625471"/>
    <w:rsid w:val="00625B95"/>
    <w:rsid w:val="006264ED"/>
    <w:rsid w:val="00626557"/>
    <w:rsid w:val="00627138"/>
    <w:rsid w:val="00627374"/>
    <w:rsid w:val="006279D0"/>
    <w:rsid w:val="00627B4F"/>
    <w:rsid w:val="00630037"/>
    <w:rsid w:val="00630825"/>
    <w:rsid w:val="006311BB"/>
    <w:rsid w:val="0063205F"/>
    <w:rsid w:val="006329B9"/>
    <w:rsid w:val="00632A2B"/>
    <w:rsid w:val="006345C5"/>
    <w:rsid w:val="00635415"/>
    <w:rsid w:val="00635FBB"/>
    <w:rsid w:val="00635FF0"/>
    <w:rsid w:val="00637487"/>
    <w:rsid w:val="00637D13"/>
    <w:rsid w:val="00640BB0"/>
    <w:rsid w:val="00640BDB"/>
    <w:rsid w:val="00640E4A"/>
    <w:rsid w:val="00640F28"/>
    <w:rsid w:val="0064115B"/>
    <w:rsid w:val="0064148F"/>
    <w:rsid w:val="00641569"/>
    <w:rsid w:val="00642C6E"/>
    <w:rsid w:val="00642E34"/>
    <w:rsid w:val="00645BED"/>
    <w:rsid w:val="00645D62"/>
    <w:rsid w:val="00646EFF"/>
    <w:rsid w:val="00647644"/>
    <w:rsid w:val="00647B68"/>
    <w:rsid w:val="00647B6C"/>
    <w:rsid w:val="00647D50"/>
    <w:rsid w:val="00650283"/>
    <w:rsid w:val="006502A0"/>
    <w:rsid w:val="00650554"/>
    <w:rsid w:val="006506DC"/>
    <w:rsid w:val="00651C85"/>
    <w:rsid w:val="0065227D"/>
    <w:rsid w:val="00652529"/>
    <w:rsid w:val="0065291A"/>
    <w:rsid w:val="00652DA1"/>
    <w:rsid w:val="00652EAD"/>
    <w:rsid w:val="00652F85"/>
    <w:rsid w:val="00653117"/>
    <w:rsid w:val="00653AFF"/>
    <w:rsid w:val="00654370"/>
    <w:rsid w:val="00654A8C"/>
    <w:rsid w:val="00654B9C"/>
    <w:rsid w:val="00655769"/>
    <w:rsid w:val="00655A3D"/>
    <w:rsid w:val="00655CB3"/>
    <w:rsid w:val="006567A5"/>
    <w:rsid w:val="00656AC3"/>
    <w:rsid w:val="00657222"/>
    <w:rsid w:val="006602ED"/>
    <w:rsid w:val="006608EA"/>
    <w:rsid w:val="00660965"/>
    <w:rsid w:val="0066106F"/>
    <w:rsid w:val="00661CF2"/>
    <w:rsid w:val="00661FF3"/>
    <w:rsid w:val="00662075"/>
    <w:rsid w:val="006626F3"/>
    <w:rsid w:val="00663A07"/>
    <w:rsid w:val="00663BC9"/>
    <w:rsid w:val="00663C83"/>
    <w:rsid w:val="006641C4"/>
    <w:rsid w:val="006647A3"/>
    <w:rsid w:val="006648A4"/>
    <w:rsid w:val="0066493C"/>
    <w:rsid w:val="00665300"/>
    <w:rsid w:val="006653A1"/>
    <w:rsid w:val="00665A6D"/>
    <w:rsid w:val="00665A7F"/>
    <w:rsid w:val="00665F68"/>
    <w:rsid w:val="0066627E"/>
    <w:rsid w:val="006665CB"/>
    <w:rsid w:val="00666F46"/>
    <w:rsid w:val="00667E67"/>
    <w:rsid w:val="0067038C"/>
    <w:rsid w:val="00670471"/>
    <w:rsid w:val="00670AC6"/>
    <w:rsid w:val="00670C14"/>
    <w:rsid w:val="00670E34"/>
    <w:rsid w:val="0067103B"/>
    <w:rsid w:val="006713EF"/>
    <w:rsid w:val="006718F4"/>
    <w:rsid w:val="00671D08"/>
    <w:rsid w:val="00672694"/>
    <w:rsid w:val="006726C2"/>
    <w:rsid w:val="006726D3"/>
    <w:rsid w:val="00672717"/>
    <w:rsid w:val="00672773"/>
    <w:rsid w:val="006728C6"/>
    <w:rsid w:val="00672D90"/>
    <w:rsid w:val="006730B6"/>
    <w:rsid w:val="00673740"/>
    <w:rsid w:val="006745B6"/>
    <w:rsid w:val="006749AE"/>
    <w:rsid w:val="006749C2"/>
    <w:rsid w:val="00674AB8"/>
    <w:rsid w:val="00674D46"/>
    <w:rsid w:val="00675433"/>
    <w:rsid w:val="00675C31"/>
    <w:rsid w:val="006760CE"/>
    <w:rsid w:val="0067710D"/>
    <w:rsid w:val="00677193"/>
    <w:rsid w:val="00677980"/>
    <w:rsid w:val="00677C5A"/>
    <w:rsid w:val="00677CA2"/>
    <w:rsid w:val="00680EB8"/>
    <w:rsid w:val="00682B69"/>
    <w:rsid w:val="00683017"/>
    <w:rsid w:val="0068309A"/>
    <w:rsid w:val="0068315C"/>
    <w:rsid w:val="00684529"/>
    <w:rsid w:val="00684B50"/>
    <w:rsid w:val="00684E49"/>
    <w:rsid w:val="006852D5"/>
    <w:rsid w:val="00685D22"/>
    <w:rsid w:val="00686125"/>
    <w:rsid w:val="0068622E"/>
    <w:rsid w:val="00686A4D"/>
    <w:rsid w:val="00687902"/>
    <w:rsid w:val="00687CCA"/>
    <w:rsid w:val="00687FEE"/>
    <w:rsid w:val="00690B7D"/>
    <w:rsid w:val="00690DA7"/>
    <w:rsid w:val="00690E7D"/>
    <w:rsid w:val="00691A92"/>
    <w:rsid w:val="00691C11"/>
    <w:rsid w:val="00692553"/>
    <w:rsid w:val="00692BD2"/>
    <w:rsid w:val="00694755"/>
    <w:rsid w:val="006960D0"/>
    <w:rsid w:val="00696CB6"/>
    <w:rsid w:val="00697018"/>
    <w:rsid w:val="006976C7"/>
    <w:rsid w:val="0069783E"/>
    <w:rsid w:val="006A0055"/>
    <w:rsid w:val="006A0292"/>
    <w:rsid w:val="006A0780"/>
    <w:rsid w:val="006A0EEA"/>
    <w:rsid w:val="006A1DED"/>
    <w:rsid w:val="006A21D1"/>
    <w:rsid w:val="006A29AD"/>
    <w:rsid w:val="006A29BD"/>
    <w:rsid w:val="006A2A9F"/>
    <w:rsid w:val="006A2D11"/>
    <w:rsid w:val="006A305A"/>
    <w:rsid w:val="006A3988"/>
    <w:rsid w:val="006A3996"/>
    <w:rsid w:val="006A442C"/>
    <w:rsid w:val="006A46B3"/>
    <w:rsid w:val="006A4803"/>
    <w:rsid w:val="006A4838"/>
    <w:rsid w:val="006A4A04"/>
    <w:rsid w:val="006A4C42"/>
    <w:rsid w:val="006A59C0"/>
    <w:rsid w:val="006A5C66"/>
    <w:rsid w:val="006A5D92"/>
    <w:rsid w:val="006A5DA1"/>
    <w:rsid w:val="006A601F"/>
    <w:rsid w:val="006A6838"/>
    <w:rsid w:val="006A6961"/>
    <w:rsid w:val="006A6F12"/>
    <w:rsid w:val="006A718D"/>
    <w:rsid w:val="006A731D"/>
    <w:rsid w:val="006A78AF"/>
    <w:rsid w:val="006B050B"/>
    <w:rsid w:val="006B1860"/>
    <w:rsid w:val="006B217A"/>
    <w:rsid w:val="006B2AAE"/>
    <w:rsid w:val="006B3BDD"/>
    <w:rsid w:val="006B4027"/>
    <w:rsid w:val="006B41E5"/>
    <w:rsid w:val="006B47EE"/>
    <w:rsid w:val="006B5918"/>
    <w:rsid w:val="006B5AAB"/>
    <w:rsid w:val="006B65ED"/>
    <w:rsid w:val="006B67A7"/>
    <w:rsid w:val="006B6BD8"/>
    <w:rsid w:val="006B6F64"/>
    <w:rsid w:val="006B7AEC"/>
    <w:rsid w:val="006B7BB4"/>
    <w:rsid w:val="006C0AAE"/>
    <w:rsid w:val="006C0CFD"/>
    <w:rsid w:val="006C1090"/>
    <w:rsid w:val="006C18B6"/>
    <w:rsid w:val="006C1E5C"/>
    <w:rsid w:val="006C20CE"/>
    <w:rsid w:val="006C284E"/>
    <w:rsid w:val="006C3497"/>
    <w:rsid w:val="006C3BB3"/>
    <w:rsid w:val="006C4F8F"/>
    <w:rsid w:val="006C57AB"/>
    <w:rsid w:val="006C58A3"/>
    <w:rsid w:val="006C5E4A"/>
    <w:rsid w:val="006C6206"/>
    <w:rsid w:val="006C68B0"/>
    <w:rsid w:val="006C6FD8"/>
    <w:rsid w:val="006C710C"/>
    <w:rsid w:val="006C78A8"/>
    <w:rsid w:val="006C7D40"/>
    <w:rsid w:val="006C7FA3"/>
    <w:rsid w:val="006D0953"/>
    <w:rsid w:val="006D22E8"/>
    <w:rsid w:val="006D258B"/>
    <w:rsid w:val="006D2940"/>
    <w:rsid w:val="006D2AF6"/>
    <w:rsid w:val="006D2D6D"/>
    <w:rsid w:val="006D2DE3"/>
    <w:rsid w:val="006D2F15"/>
    <w:rsid w:val="006D3129"/>
    <w:rsid w:val="006D4523"/>
    <w:rsid w:val="006D4CEA"/>
    <w:rsid w:val="006D5106"/>
    <w:rsid w:val="006D520A"/>
    <w:rsid w:val="006D6651"/>
    <w:rsid w:val="006D6EF5"/>
    <w:rsid w:val="006D6F98"/>
    <w:rsid w:val="006D7107"/>
    <w:rsid w:val="006D74AD"/>
    <w:rsid w:val="006D76EA"/>
    <w:rsid w:val="006D7B01"/>
    <w:rsid w:val="006D7B79"/>
    <w:rsid w:val="006D7CC4"/>
    <w:rsid w:val="006E016C"/>
    <w:rsid w:val="006E0ADD"/>
    <w:rsid w:val="006E1052"/>
    <w:rsid w:val="006E14AE"/>
    <w:rsid w:val="006E160A"/>
    <w:rsid w:val="006E1904"/>
    <w:rsid w:val="006E2563"/>
    <w:rsid w:val="006E3090"/>
    <w:rsid w:val="006E3374"/>
    <w:rsid w:val="006E3BD7"/>
    <w:rsid w:val="006E498F"/>
    <w:rsid w:val="006E4A66"/>
    <w:rsid w:val="006E4DAA"/>
    <w:rsid w:val="006E5250"/>
    <w:rsid w:val="006E5323"/>
    <w:rsid w:val="006E5436"/>
    <w:rsid w:val="006E54DA"/>
    <w:rsid w:val="006E5839"/>
    <w:rsid w:val="006E59BF"/>
    <w:rsid w:val="006E5A18"/>
    <w:rsid w:val="006E682F"/>
    <w:rsid w:val="006E6D28"/>
    <w:rsid w:val="006E7979"/>
    <w:rsid w:val="006F021C"/>
    <w:rsid w:val="006F0AE7"/>
    <w:rsid w:val="006F17B0"/>
    <w:rsid w:val="006F212E"/>
    <w:rsid w:val="006F272C"/>
    <w:rsid w:val="006F2D2C"/>
    <w:rsid w:val="006F3400"/>
    <w:rsid w:val="006F3692"/>
    <w:rsid w:val="006F3BD4"/>
    <w:rsid w:val="006F4383"/>
    <w:rsid w:val="006F4C54"/>
    <w:rsid w:val="006F4F94"/>
    <w:rsid w:val="006F52D9"/>
    <w:rsid w:val="006F5B90"/>
    <w:rsid w:val="006F5D97"/>
    <w:rsid w:val="006F5F61"/>
    <w:rsid w:val="006F6AF4"/>
    <w:rsid w:val="00700278"/>
    <w:rsid w:val="007002EA"/>
    <w:rsid w:val="007004BE"/>
    <w:rsid w:val="00700579"/>
    <w:rsid w:val="00700E3D"/>
    <w:rsid w:val="00700E91"/>
    <w:rsid w:val="0070108A"/>
    <w:rsid w:val="007011B9"/>
    <w:rsid w:val="00701228"/>
    <w:rsid w:val="00701907"/>
    <w:rsid w:val="00701F9B"/>
    <w:rsid w:val="00703609"/>
    <w:rsid w:val="00703EE6"/>
    <w:rsid w:val="0070434E"/>
    <w:rsid w:val="00704884"/>
    <w:rsid w:val="007048BB"/>
    <w:rsid w:val="00704944"/>
    <w:rsid w:val="0070596B"/>
    <w:rsid w:val="007071E1"/>
    <w:rsid w:val="00707565"/>
    <w:rsid w:val="00707AA3"/>
    <w:rsid w:val="00710020"/>
    <w:rsid w:val="00710ADC"/>
    <w:rsid w:val="007118E5"/>
    <w:rsid w:val="00711A97"/>
    <w:rsid w:val="00711A9F"/>
    <w:rsid w:val="00711C2A"/>
    <w:rsid w:val="00711D1B"/>
    <w:rsid w:val="0071263F"/>
    <w:rsid w:val="0071440A"/>
    <w:rsid w:val="00714785"/>
    <w:rsid w:val="00714F1F"/>
    <w:rsid w:val="007153BC"/>
    <w:rsid w:val="00715C30"/>
    <w:rsid w:val="00716565"/>
    <w:rsid w:val="007167A9"/>
    <w:rsid w:val="00716FA5"/>
    <w:rsid w:val="00717036"/>
    <w:rsid w:val="0071778F"/>
    <w:rsid w:val="007203FA"/>
    <w:rsid w:val="007214F4"/>
    <w:rsid w:val="00721E07"/>
    <w:rsid w:val="007221D7"/>
    <w:rsid w:val="0072243D"/>
    <w:rsid w:val="00722478"/>
    <w:rsid w:val="00722F30"/>
    <w:rsid w:val="00723303"/>
    <w:rsid w:val="0072340F"/>
    <w:rsid w:val="007237B1"/>
    <w:rsid w:val="00724185"/>
    <w:rsid w:val="00724BC4"/>
    <w:rsid w:val="00725C29"/>
    <w:rsid w:val="00726A0A"/>
    <w:rsid w:val="00726B34"/>
    <w:rsid w:val="00726EE0"/>
    <w:rsid w:val="0072734B"/>
    <w:rsid w:val="00727AFF"/>
    <w:rsid w:val="00727B50"/>
    <w:rsid w:val="00730A87"/>
    <w:rsid w:val="00731316"/>
    <w:rsid w:val="00731371"/>
    <w:rsid w:val="007317D0"/>
    <w:rsid w:val="0073199E"/>
    <w:rsid w:val="0073266A"/>
    <w:rsid w:val="00733467"/>
    <w:rsid w:val="0073383B"/>
    <w:rsid w:val="00734513"/>
    <w:rsid w:val="0073467A"/>
    <w:rsid w:val="00734AFC"/>
    <w:rsid w:val="00734E69"/>
    <w:rsid w:val="00734F9C"/>
    <w:rsid w:val="0073591E"/>
    <w:rsid w:val="00736E06"/>
    <w:rsid w:val="00736E54"/>
    <w:rsid w:val="007373BE"/>
    <w:rsid w:val="0073770C"/>
    <w:rsid w:val="00740AC4"/>
    <w:rsid w:val="00740BF8"/>
    <w:rsid w:val="00740BFA"/>
    <w:rsid w:val="00740F64"/>
    <w:rsid w:val="007411D8"/>
    <w:rsid w:val="00741328"/>
    <w:rsid w:val="00742608"/>
    <w:rsid w:val="0074346B"/>
    <w:rsid w:val="0074358E"/>
    <w:rsid w:val="00743B82"/>
    <w:rsid w:val="007442BC"/>
    <w:rsid w:val="00744F4C"/>
    <w:rsid w:val="00745167"/>
    <w:rsid w:val="007464D9"/>
    <w:rsid w:val="007465CC"/>
    <w:rsid w:val="007471CC"/>
    <w:rsid w:val="00747D82"/>
    <w:rsid w:val="00747ECE"/>
    <w:rsid w:val="00747FFA"/>
    <w:rsid w:val="00750732"/>
    <w:rsid w:val="00751B40"/>
    <w:rsid w:val="007521D3"/>
    <w:rsid w:val="007524ED"/>
    <w:rsid w:val="00752B84"/>
    <w:rsid w:val="00753298"/>
    <w:rsid w:val="007533F8"/>
    <w:rsid w:val="00753508"/>
    <w:rsid w:val="00753C6A"/>
    <w:rsid w:val="00754132"/>
    <w:rsid w:val="0075482C"/>
    <w:rsid w:val="00754FBF"/>
    <w:rsid w:val="00755197"/>
    <w:rsid w:val="00755CDE"/>
    <w:rsid w:val="00755F22"/>
    <w:rsid w:val="00756165"/>
    <w:rsid w:val="00756660"/>
    <w:rsid w:val="007573E8"/>
    <w:rsid w:val="00757781"/>
    <w:rsid w:val="007600C6"/>
    <w:rsid w:val="00760D24"/>
    <w:rsid w:val="007614DC"/>
    <w:rsid w:val="007629A4"/>
    <w:rsid w:val="00762E1B"/>
    <w:rsid w:val="0076302F"/>
    <w:rsid w:val="007632D3"/>
    <w:rsid w:val="0076423D"/>
    <w:rsid w:val="0076530E"/>
    <w:rsid w:val="00765354"/>
    <w:rsid w:val="007655AF"/>
    <w:rsid w:val="007662D2"/>
    <w:rsid w:val="00766377"/>
    <w:rsid w:val="00766506"/>
    <w:rsid w:val="0076651A"/>
    <w:rsid w:val="00766746"/>
    <w:rsid w:val="00766755"/>
    <w:rsid w:val="00770799"/>
    <w:rsid w:val="007710B8"/>
    <w:rsid w:val="0077174D"/>
    <w:rsid w:val="007719D3"/>
    <w:rsid w:val="00771C4F"/>
    <w:rsid w:val="00771DF4"/>
    <w:rsid w:val="00772582"/>
    <w:rsid w:val="00772E2C"/>
    <w:rsid w:val="00773056"/>
    <w:rsid w:val="0077424E"/>
    <w:rsid w:val="00774469"/>
    <w:rsid w:val="00774696"/>
    <w:rsid w:val="00775315"/>
    <w:rsid w:val="007756EF"/>
    <w:rsid w:val="0077591C"/>
    <w:rsid w:val="00775B14"/>
    <w:rsid w:val="00775BAB"/>
    <w:rsid w:val="00776827"/>
    <w:rsid w:val="00776E65"/>
    <w:rsid w:val="00777055"/>
    <w:rsid w:val="0077774F"/>
    <w:rsid w:val="007777E0"/>
    <w:rsid w:val="00777CFB"/>
    <w:rsid w:val="00777D91"/>
    <w:rsid w:val="007800B0"/>
    <w:rsid w:val="00780283"/>
    <w:rsid w:val="00780D58"/>
    <w:rsid w:val="00780E33"/>
    <w:rsid w:val="00781553"/>
    <w:rsid w:val="00781EBD"/>
    <w:rsid w:val="007829E5"/>
    <w:rsid w:val="00783285"/>
    <w:rsid w:val="0078368A"/>
    <w:rsid w:val="00784321"/>
    <w:rsid w:val="0078469D"/>
    <w:rsid w:val="007853F7"/>
    <w:rsid w:val="00785E17"/>
    <w:rsid w:val="00786BD4"/>
    <w:rsid w:val="00786BDF"/>
    <w:rsid w:val="00786EDE"/>
    <w:rsid w:val="0078785D"/>
    <w:rsid w:val="007879F6"/>
    <w:rsid w:val="00787EBA"/>
    <w:rsid w:val="0079004B"/>
    <w:rsid w:val="0079031C"/>
    <w:rsid w:val="0079047D"/>
    <w:rsid w:val="00790D0A"/>
    <w:rsid w:val="00790D83"/>
    <w:rsid w:val="00790E35"/>
    <w:rsid w:val="007910A1"/>
    <w:rsid w:val="007926E2"/>
    <w:rsid w:val="00792C49"/>
    <w:rsid w:val="00793294"/>
    <w:rsid w:val="0079332B"/>
    <w:rsid w:val="00793C27"/>
    <w:rsid w:val="0079448C"/>
    <w:rsid w:val="00794884"/>
    <w:rsid w:val="0079521A"/>
    <w:rsid w:val="00795683"/>
    <w:rsid w:val="00795FCC"/>
    <w:rsid w:val="00796761"/>
    <w:rsid w:val="00796772"/>
    <w:rsid w:val="007967F5"/>
    <w:rsid w:val="00796977"/>
    <w:rsid w:val="007973EB"/>
    <w:rsid w:val="00797FD5"/>
    <w:rsid w:val="007A0697"/>
    <w:rsid w:val="007A0F8E"/>
    <w:rsid w:val="007A116C"/>
    <w:rsid w:val="007A16E9"/>
    <w:rsid w:val="007A1BB5"/>
    <w:rsid w:val="007A1F74"/>
    <w:rsid w:val="007A2106"/>
    <w:rsid w:val="007A23FB"/>
    <w:rsid w:val="007A291F"/>
    <w:rsid w:val="007A2FF8"/>
    <w:rsid w:val="007A36F4"/>
    <w:rsid w:val="007A4719"/>
    <w:rsid w:val="007A4F69"/>
    <w:rsid w:val="007A5C71"/>
    <w:rsid w:val="007A668D"/>
    <w:rsid w:val="007A6F87"/>
    <w:rsid w:val="007A701E"/>
    <w:rsid w:val="007A7929"/>
    <w:rsid w:val="007A7E3A"/>
    <w:rsid w:val="007B0303"/>
    <w:rsid w:val="007B03E2"/>
    <w:rsid w:val="007B1273"/>
    <w:rsid w:val="007B1DC1"/>
    <w:rsid w:val="007B23FF"/>
    <w:rsid w:val="007B25A2"/>
    <w:rsid w:val="007B2CEB"/>
    <w:rsid w:val="007B37E8"/>
    <w:rsid w:val="007B3E8B"/>
    <w:rsid w:val="007B3F28"/>
    <w:rsid w:val="007B43BF"/>
    <w:rsid w:val="007B44AA"/>
    <w:rsid w:val="007B4763"/>
    <w:rsid w:val="007B484E"/>
    <w:rsid w:val="007B48B0"/>
    <w:rsid w:val="007B4E42"/>
    <w:rsid w:val="007B4EB1"/>
    <w:rsid w:val="007B5974"/>
    <w:rsid w:val="007B6118"/>
    <w:rsid w:val="007B6790"/>
    <w:rsid w:val="007B6D38"/>
    <w:rsid w:val="007B6D52"/>
    <w:rsid w:val="007B7059"/>
    <w:rsid w:val="007B7A6F"/>
    <w:rsid w:val="007C041E"/>
    <w:rsid w:val="007C08A7"/>
    <w:rsid w:val="007C0FC2"/>
    <w:rsid w:val="007C2797"/>
    <w:rsid w:val="007C31C2"/>
    <w:rsid w:val="007C3237"/>
    <w:rsid w:val="007C3501"/>
    <w:rsid w:val="007C40D0"/>
    <w:rsid w:val="007C4987"/>
    <w:rsid w:val="007C4D9D"/>
    <w:rsid w:val="007C51AE"/>
    <w:rsid w:val="007C61B3"/>
    <w:rsid w:val="007C67B6"/>
    <w:rsid w:val="007D0555"/>
    <w:rsid w:val="007D05FA"/>
    <w:rsid w:val="007D0980"/>
    <w:rsid w:val="007D0B6C"/>
    <w:rsid w:val="007D1183"/>
    <w:rsid w:val="007D1506"/>
    <w:rsid w:val="007D1F20"/>
    <w:rsid w:val="007D2971"/>
    <w:rsid w:val="007D2C18"/>
    <w:rsid w:val="007D30F1"/>
    <w:rsid w:val="007D4F77"/>
    <w:rsid w:val="007D51E0"/>
    <w:rsid w:val="007D5367"/>
    <w:rsid w:val="007D55B9"/>
    <w:rsid w:val="007D5786"/>
    <w:rsid w:val="007D6F33"/>
    <w:rsid w:val="007D703C"/>
    <w:rsid w:val="007D7371"/>
    <w:rsid w:val="007D75D9"/>
    <w:rsid w:val="007D7DD0"/>
    <w:rsid w:val="007D7F8F"/>
    <w:rsid w:val="007D7F96"/>
    <w:rsid w:val="007E037F"/>
    <w:rsid w:val="007E057F"/>
    <w:rsid w:val="007E05A5"/>
    <w:rsid w:val="007E05F1"/>
    <w:rsid w:val="007E06F8"/>
    <w:rsid w:val="007E1190"/>
    <w:rsid w:val="007E1732"/>
    <w:rsid w:val="007E2592"/>
    <w:rsid w:val="007E2C07"/>
    <w:rsid w:val="007E3E7F"/>
    <w:rsid w:val="007E4351"/>
    <w:rsid w:val="007E4903"/>
    <w:rsid w:val="007E4B7B"/>
    <w:rsid w:val="007E4D84"/>
    <w:rsid w:val="007E5281"/>
    <w:rsid w:val="007E5475"/>
    <w:rsid w:val="007E56C4"/>
    <w:rsid w:val="007E5AD2"/>
    <w:rsid w:val="007E5BA7"/>
    <w:rsid w:val="007E5E07"/>
    <w:rsid w:val="007E605B"/>
    <w:rsid w:val="007E6393"/>
    <w:rsid w:val="007E695E"/>
    <w:rsid w:val="007E6E8E"/>
    <w:rsid w:val="007E7104"/>
    <w:rsid w:val="007F0C3C"/>
    <w:rsid w:val="007F0CF2"/>
    <w:rsid w:val="007F252D"/>
    <w:rsid w:val="007F3F57"/>
    <w:rsid w:val="007F45D6"/>
    <w:rsid w:val="007F4747"/>
    <w:rsid w:val="007F4A8A"/>
    <w:rsid w:val="007F4D3F"/>
    <w:rsid w:val="007F5034"/>
    <w:rsid w:val="007F5070"/>
    <w:rsid w:val="007F5631"/>
    <w:rsid w:val="007F5659"/>
    <w:rsid w:val="007F73D0"/>
    <w:rsid w:val="007F740F"/>
    <w:rsid w:val="007F7871"/>
    <w:rsid w:val="007F7873"/>
    <w:rsid w:val="00800425"/>
    <w:rsid w:val="00800C01"/>
    <w:rsid w:val="00800CA9"/>
    <w:rsid w:val="00801BEC"/>
    <w:rsid w:val="0080267C"/>
    <w:rsid w:val="008034E2"/>
    <w:rsid w:val="00805E6B"/>
    <w:rsid w:val="00805F42"/>
    <w:rsid w:val="008064B3"/>
    <w:rsid w:val="008078F9"/>
    <w:rsid w:val="00807B1E"/>
    <w:rsid w:val="0081001F"/>
    <w:rsid w:val="00810188"/>
    <w:rsid w:val="00810556"/>
    <w:rsid w:val="008107B1"/>
    <w:rsid w:val="00810C3C"/>
    <w:rsid w:val="00811223"/>
    <w:rsid w:val="0081136A"/>
    <w:rsid w:val="00813034"/>
    <w:rsid w:val="00813283"/>
    <w:rsid w:val="00813E71"/>
    <w:rsid w:val="00814208"/>
    <w:rsid w:val="0081452C"/>
    <w:rsid w:val="0081538E"/>
    <w:rsid w:val="00815701"/>
    <w:rsid w:val="00816061"/>
    <w:rsid w:val="008164DB"/>
    <w:rsid w:val="00817D88"/>
    <w:rsid w:val="00817EF2"/>
    <w:rsid w:val="00820F7B"/>
    <w:rsid w:val="00820FE3"/>
    <w:rsid w:val="0082167A"/>
    <w:rsid w:val="008216AE"/>
    <w:rsid w:val="00822041"/>
    <w:rsid w:val="00822830"/>
    <w:rsid w:val="00822853"/>
    <w:rsid w:val="00822D52"/>
    <w:rsid w:val="00823FD5"/>
    <w:rsid w:val="008240E8"/>
    <w:rsid w:val="00824A2D"/>
    <w:rsid w:val="00825164"/>
    <w:rsid w:val="008257AE"/>
    <w:rsid w:val="00825862"/>
    <w:rsid w:val="008258AE"/>
    <w:rsid w:val="00825A18"/>
    <w:rsid w:val="00825BE4"/>
    <w:rsid w:val="00826234"/>
    <w:rsid w:val="0082664C"/>
    <w:rsid w:val="00827053"/>
    <w:rsid w:val="008270FC"/>
    <w:rsid w:val="0082713D"/>
    <w:rsid w:val="00827EB3"/>
    <w:rsid w:val="00827FF6"/>
    <w:rsid w:val="00830587"/>
    <w:rsid w:val="00830822"/>
    <w:rsid w:val="008308AF"/>
    <w:rsid w:val="00831427"/>
    <w:rsid w:val="008319F8"/>
    <w:rsid w:val="00832D18"/>
    <w:rsid w:val="0083370A"/>
    <w:rsid w:val="008338C0"/>
    <w:rsid w:val="00833E86"/>
    <w:rsid w:val="00834A80"/>
    <w:rsid w:val="00834DC9"/>
    <w:rsid w:val="00834EB7"/>
    <w:rsid w:val="0083535E"/>
    <w:rsid w:val="0083634B"/>
    <w:rsid w:val="008368FB"/>
    <w:rsid w:val="00836B6B"/>
    <w:rsid w:val="008377F9"/>
    <w:rsid w:val="00840A49"/>
    <w:rsid w:val="00840B6C"/>
    <w:rsid w:val="00841050"/>
    <w:rsid w:val="008413CD"/>
    <w:rsid w:val="008416BC"/>
    <w:rsid w:val="0084181D"/>
    <w:rsid w:val="00841ED5"/>
    <w:rsid w:val="00842761"/>
    <w:rsid w:val="00842C05"/>
    <w:rsid w:val="008432DD"/>
    <w:rsid w:val="008435C9"/>
    <w:rsid w:val="00843C20"/>
    <w:rsid w:val="00844006"/>
    <w:rsid w:val="008448BA"/>
    <w:rsid w:val="00844B0A"/>
    <w:rsid w:val="008451B3"/>
    <w:rsid w:val="0084569B"/>
    <w:rsid w:val="008456C5"/>
    <w:rsid w:val="008456DC"/>
    <w:rsid w:val="0084596B"/>
    <w:rsid w:val="00846501"/>
    <w:rsid w:val="008475E1"/>
    <w:rsid w:val="00847862"/>
    <w:rsid w:val="0084795B"/>
    <w:rsid w:val="00850812"/>
    <w:rsid w:val="00850A30"/>
    <w:rsid w:val="00851087"/>
    <w:rsid w:val="008517E2"/>
    <w:rsid w:val="008523E8"/>
    <w:rsid w:val="00852707"/>
    <w:rsid w:val="0085294D"/>
    <w:rsid w:val="00852B81"/>
    <w:rsid w:val="00852C6B"/>
    <w:rsid w:val="00853291"/>
    <w:rsid w:val="008535C4"/>
    <w:rsid w:val="00853C91"/>
    <w:rsid w:val="00853CD6"/>
    <w:rsid w:val="00853DA8"/>
    <w:rsid w:val="00853DFC"/>
    <w:rsid w:val="00854122"/>
    <w:rsid w:val="00854EAC"/>
    <w:rsid w:val="008553C5"/>
    <w:rsid w:val="00855856"/>
    <w:rsid w:val="00856226"/>
    <w:rsid w:val="008562AF"/>
    <w:rsid w:val="008565C8"/>
    <w:rsid w:val="00856717"/>
    <w:rsid w:val="0085694E"/>
    <w:rsid w:val="0085747C"/>
    <w:rsid w:val="00857634"/>
    <w:rsid w:val="00857638"/>
    <w:rsid w:val="00857656"/>
    <w:rsid w:val="0085777B"/>
    <w:rsid w:val="00860115"/>
    <w:rsid w:val="008607E5"/>
    <w:rsid w:val="00860EF9"/>
    <w:rsid w:val="00861068"/>
    <w:rsid w:val="0086176A"/>
    <w:rsid w:val="00863090"/>
    <w:rsid w:val="0086314E"/>
    <w:rsid w:val="00863154"/>
    <w:rsid w:val="008632F7"/>
    <w:rsid w:val="00863621"/>
    <w:rsid w:val="00863E28"/>
    <w:rsid w:val="0086452E"/>
    <w:rsid w:val="0086490F"/>
    <w:rsid w:val="00864D8E"/>
    <w:rsid w:val="00865258"/>
    <w:rsid w:val="008652E7"/>
    <w:rsid w:val="00866F71"/>
    <w:rsid w:val="00867225"/>
    <w:rsid w:val="00867518"/>
    <w:rsid w:val="0086770A"/>
    <w:rsid w:val="0087007E"/>
    <w:rsid w:val="0087008F"/>
    <w:rsid w:val="00870305"/>
    <w:rsid w:val="008703E4"/>
    <w:rsid w:val="00870E55"/>
    <w:rsid w:val="0087164C"/>
    <w:rsid w:val="00871EDA"/>
    <w:rsid w:val="00872363"/>
    <w:rsid w:val="008727B1"/>
    <w:rsid w:val="008727B4"/>
    <w:rsid w:val="00872DCE"/>
    <w:rsid w:val="008733D7"/>
    <w:rsid w:val="0087374C"/>
    <w:rsid w:val="00873807"/>
    <w:rsid w:val="008748F9"/>
    <w:rsid w:val="00874CAB"/>
    <w:rsid w:val="0087551E"/>
    <w:rsid w:val="00875730"/>
    <w:rsid w:val="00875CE8"/>
    <w:rsid w:val="00876267"/>
    <w:rsid w:val="0087664E"/>
    <w:rsid w:val="00877F7A"/>
    <w:rsid w:val="00880209"/>
    <w:rsid w:val="008803B3"/>
    <w:rsid w:val="008805B2"/>
    <w:rsid w:val="00880809"/>
    <w:rsid w:val="008809EA"/>
    <w:rsid w:val="00880AD9"/>
    <w:rsid w:val="00880B36"/>
    <w:rsid w:val="00881028"/>
    <w:rsid w:val="00882B47"/>
    <w:rsid w:val="00882C3E"/>
    <w:rsid w:val="00882DA6"/>
    <w:rsid w:val="0088340B"/>
    <w:rsid w:val="00883AF5"/>
    <w:rsid w:val="00884175"/>
    <w:rsid w:val="0088559B"/>
    <w:rsid w:val="008859F6"/>
    <w:rsid w:val="00885D6D"/>
    <w:rsid w:val="00886282"/>
    <w:rsid w:val="00886351"/>
    <w:rsid w:val="0088687E"/>
    <w:rsid w:val="00886A62"/>
    <w:rsid w:val="008873D0"/>
    <w:rsid w:val="00887681"/>
    <w:rsid w:val="008876F1"/>
    <w:rsid w:val="0089096D"/>
    <w:rsid w:val="00890B4E"/>
    <w:rsid w:val="00891278"/>
    <w:rsid w:val="008913A3"/>
    <w:rsid w:val="008919A5"/>
    <w:rsid w:val="00891AAA"/>
    <w:rsid w:val="00891C74"/>
    <w:rsid w:val="00891FE6"/>
    <w:rsid w:val="00892306"/>
    <w:rsid w:val="008923B2"/>
    <w:rsid w:val="0089467C"/>
    <w:rsid w:val="0089502C"/>
    <w:rsid w:val="00895267"/>
    <w:rsid w:val="00895486"/>
    <w:rsid w:val="0089549C"/>
    <w:rsid w:val="00895825"/>
    <w:rsid w:val="008959FA"/>
    <w:rsid w:val="00895DF9"/>
    <w:rsid w:val="008964B4"/>
    <w:rsid w:val="00896978"/>
    <w:rsid w:val="00896E3A"/>
    <w:rsid w:val="00897DFD"/>
    <w:rsid w:val="00897F23"/>
    <w:rsid w:val="008A06DA"/>
    <w:rsid w:val="008A0A4B"/>
    <w:rsid w:val="008A103A"/>
    <w:rsid w:val="008A125C"/>
    <w:rsid w:val="008A1675"/>
    <w:rsid w:val="008A1DF1"/>
    <w:rsid w:val="008A3076"/>
    <w:rsid w:val="008A3263"/>
    <w:rsid w:val="008A3DA0"/>
    <w:rsid w:val="008A4A3B"/>
    <w:rsid w:val="008A4B60"/>
    <w:rsid w:val="008A5627"/>
    <w:rsid w:val="008A5E79"/>
    <w:rsid w:val="008A5FE5"/>
    <w:rsid w:val="008A6B42"/>
    <w:rsid w:val="008A6D2B"/>
    <w:rsid w:val="008A7014"/>
    <w:rsid w:val="008A74AF"/>
    <w:rsid w:val="008B053B"/>
    <w:rsid w:val="008B1EC9"/>
    <w:rsid w:val="008B21EC"/>
    <w:rsid w:val="008B37EC"/>
    <w:rsid w:val="008B3B12"/>
    <w:rsid w:val="008B3D52"/>
    <w:rsid w:val="008B3E73"/>
    <w:rsid w:val="008B45AB"/>
    <w:rsid w:val="008B46AF"/>
    <w:rsid w:val="008B4998"/>
    <w:rsid w:val="008B4E56"/>
    <w:rsid w:val="008B505D"/>
    <w:rsid w:val="008B5351"/>
    <w:rsid w:val="008B5513"/>
    <w:rsid w:val="008B5B41"/>
    <w:rsid w:val="008B5F3E"/>
    <w:rsid w:val="008B60CF"/>
    <w:rsid w:val="008B6126"/>
    <w:rsid w:val="008B6558"/>
    <w:rsid w:val="008B6EAA"/>
    <w:rsid w:val="008B72C7"/>
    <w:rsid w:val="008B7614"/>
    <w:rsid w:val="008B7A14"/>
    <w:rsid w:val="008C04EC"/>
    <w:rsid w:val="008C0CC4"/>
    <w:rsid w:val="008C11EA"/>
    <w:rsid w:val="008C1FC0"/>
    <w:rsid w:val="008C254A"/>
    <w:rsid w:val="008C27FD"/>
    <w:rsid w:val="008C28A2"/>
    <w:rsid w:val="008C37C9"/>
    <w:rsid w:val="008C3D47"/>
    <w:rsid w:val="008C46E6"/>
    <w:rsid w:val="008C49CD"/>
    <w:rsid w:val="008C4B10"/>
    <w:rsid w:val="008C64CE"/>
    <w:rsid w:val="008C6A76"/>
    <w:rsid w:val="008C6E9B"/>
    <w:rsid w:val="008C72F4"/>
    <w:rsid w:val="008D0E03"/>
    <w:rsid w:val="008D1CAD"/>
    <w:rsid w:val="008D328E"/>
    <w:rsid w:val="008D388A"/>
    <w:rsid w:val="008D3D13"/>
    <w:rsid w:val="008D44F2"/>
    <w:rsid w:val="008D4661"/>
    <w:rsid w:val="008D484A"/>
    <w:rsid w:val="008D4862"/>
    <w:rsid w:val="008D5114"/>
    <w:rsid w:val="008D5E2B"/>
    <w:rsid w:val="008D62D1"/>
    <w:rsid w:val="008D62F8"/>
    <w:rsid w:val="008D6D27"/>
    <w:rsid w:val="008D6D3E"/>
    <w:rsid w:val="008D6F03"/>
    <w:rsid w:val="008D7446"/>
    <w:rsid w:val="008D7599"/>
    <w:rsid w:val="008D7C63"/>
    <w:rsid w:val="008E0157"/>
    <w:rsid w:val="008E041F"/>
    <w:rsid w:val="008E0C94"/>
    <w:rsid w:val="008E126C"/>
    <w:rsid w:val="008E2C27"/>
    <w:rsid w:val="008E3435"/>
    <w:rsid w:val="008E3860"/>
    <w:rsid w:val="008E3E0B"/>
    <w:rsid w:val="008E4147"/>
    <w:rsid w:val="008E429A"/>
    <w:rsid w:val="008E43C0"/>
    <w:rsid w:val="008E509A"/>
    <w:rsid w:val="008E5303"/>
    <w:rsid w:val="008E57C4"/>
    <w:rsid w:val="008E5CF3"/>
    <w:rsid w:val="008E7C63"/>
    <w:rsid w:val="008E7C6A"/>
    <w:rsid w:val="008E7F5E"/>
    <w:rsid w:val="008F00D9"/>
    <w:rsid w:val="008F050D"/>
    <w:rsid w:val="008F0B7A"/>
    <w:rsid w:val="008F1923"/>
    <w:rsid w:val="008F1DFD"/>
    <w:rsid w:val="008F218C"/>
    <w:rsid w:val="008F292B"/>
    <w:rsid w:val="008F2DD7"/>
    <w:rsid w:val="008F2F8D"/>
    <w:rsid w:val="008F3CBE"/>
    <w:rsid w:val="008F44A9"/>
    <w:rsid w:val="008F4F86"/>
    <w:rsid w:val="008F5A5B"/>
    <w:rsid w:val="008F7053"/>
    <w:rsid w:val="008F7243"/>
    <w:rsid w:val="008F76AB"/>
    <w:rsid w:val="008F7F2F"/>
    <w:rsid w:val="0090012E"/>
    <w:rsid w:val="00900439"/>
    <w:rsid w:val="00901543"/>
    <w:rsid w:val="00901588"/>
    <w:rsid w:val="00902352"/>
    <w:rsid w:val="009036DE"/>
    <w:rsid w:val="00903E6E"/>
    <w:rsid w:val="009043D4"/>
    <w:rsid w:val="00904416"/>
    <w:rsid w:val="009046EE"/>
    <w:rsid w:val="0090483B"/>
    <w:rsid w:val="0090487B"/>
    <w:rsid w:val="009057BA"/>
    <w:rsid w:val="0090615F"/>
    <w:rsid w:val="00906572"/>
    <w:rsid w:val="00906903"/>
    <w:rsid w:val="00906F08"/>
    <w:rsid w:val="009077FD"/>
    <w:rsid w:val="009100C1"/>
    <w:rsid w:val="009100FB"/>
    <w:rsid w:val="0091024A"/>
    <w:rsid w:val="0091065A"/>
    <w:rsid w:val="00910672"/>
    <w:rsid w:val="00910A8C"/>
    <w:rsid w:val="00910AD8"/>
    <w:rsid w:val="00910D54"/>
    <w:rsid w:val="00910DA0"/>
    <w:rsid w:val="00911092"/>
    <w:rsid w:val="00911381"/>
    <w:rsid w:val="009121D8"/>
    <w:rsid w:val="009128DA"/>
    <w:rsid w:val="00912C9C"/>
    <w:rsid w:val="00912E69"/>
    <w:rsid w:val="00912ED1"/>
    <w:rsid w:val="00913736"/>
    <w:rsid w:val="009140F7"/>
    <w:rsid w:val="00914595"/>
    <w:rsid w:val="00914730"/>
    <w:rsid w:val="00914C88"/>
    <w:rsid w:val="0091512C"/>
    <w:rsid w:val="009153EE"/>
    <w:rsid w:val="00915E61"/>
    <w:rsid w:val="0091682D"/>
    <w:rsid w:val="00916EED"/>
    <w:rsid w:val="0091730C"/>
    <w:rsid w:val="00917946"/>
    <w:rsid w:val="009179CD"/>
    <w:rsid w:val="00917D61"/>
    <w:rsid w:val="00917D90"/>
    <w:rsid w:val="00920032"/>
    <w:rsid w:val="009201B2"/>
    <w:rsid w:val="0092072A"/>
    <w:rsid w:val="00920DBD"/>
    <w:rsid w:val="009212BD"/>
    <w:rsid w:val="00921728"/>
    <w:rsid w:val="00921892"/>
    <w:rsid w:val="009219CC"/>
    <w:rsid w:val="00922AA6"/>
    <w:rsid w:val="00922BC5"/>
    <w:rsid w:val="00922C71"/>
    <w:rsid w:val="00922C7C"/>
    <w:rsid w:val="00922D91"/>
    <w:rsid w:val="009237E2"/>
    <w:rsid w:val="00923A1B"/>
    <w:rsid w:val="00923A75"/>
    <w:rsid w:val="0092476A"/>
    <w:rsid w:val="00924BA8"/>
    <w:rsid w:val="00924C71"/>
    <w:rsid w:val="00925087"/>
    <w:rsid w:val="00925234"/>
    <w:rsid w:val="00925638"/>
    <w:rsid w:val="00925AA6"/>
    <w:rsid w:val="00925FBF"/>
    <w:rsid w:val="009269B7"/>
    <w:rsid w:val="00926A81"/>
    <w:rsid w:val="009276E8"/>
    <w:rsid w:val="00927D0B"/>
    <w:rsid w:val="00930A06"/>
    <w:rsid w:val="00930FC7"/>
    <w:rsid w:val="009312C4"/>
    <w:rsid w:val="00932A8A"/>
    <w:rsid w:val="009330CC"/>
    <w:rsid w:val="0093336A"/>
    <w:rsid w:val="00933AC6"/>
    <w:rsid w:val="009343DE"/>
    <w:rsid w:val="00934D09"/>
    <w:rsid w:val="00935160"/>
    <w:rsid w:val="009354AE"/>
    <w:rsid w:val="00936A2F"/>
    <w:rsid w:val="00936C98"/>
    <w:rsid w:val="00937715"/>
    <w:rsid w:val="00940392"/>
    <w:rsid w:val="009405B2"/>
    <w:rsid w:val="00940C26"/>
    <w:rsid w:val="00942113"/>
    <w:rsid w:val="00942C19"/>
    <w:rsid w:val="0094417E"/>
    <w:rsid w:val="009443E7"/>
    <w:rsid w:val="009449AE"/>
    <w:rsid w:val="00944F8E"/>
    <w:rsid w:val="00945107"/>
    <w:rsid w:val="00945DB6"/>
    <w:rsid w:val="0094603A"/>
    <w:rsid w:val="0094669B"/>
    <w:rsid w:val="009474CD"/>
    <w:rsid w:val="00947ABE"/>
    <w:rsid w:val="0095045D"/>
    <w:rsid w:val="0095094A"/>
    <w:rsid w:val="00951586"/>
    <w:rsid w:val="0095335F"/>
    <w:rsid w:val="00953B97"/>
    <w:rsid w:val="00953ED3"/>
    <w:rsid w:val="009540BF"/>
    <w:rsid w:val="009543DC"/>
    <w:rsid w:val="0095473A"/>
    <w:rsid w:val="009549D1"/>
    <w:rsid w:val="00954B0B"/>
    <w:rsid w:val="00954F0D"/>
    <w:rsid w:val="0095505E"/>
    <w:rsid w:val="009552BE"/>
    <w:rsid w:val="00955D56"/>
    <w:rsid w:val="00956104"/>
    <w:rsid w:val="0095636B"/>
    <w:rsid w:val="009565D6"/>
    <w:rsid w:val="00957491"/>
    <w:rsid w:val="00957746"/>
    <w:rsid w:val="0095775F"/>
    <w:rsid w:val="00957815"/>
    <w:rsid w:val="0096119D"/>
    <w:rsid w:val="00961BC5"/>
    <w:rsid w:val="00961E97"/>
    <w:rsid w:val="009626F8"/>
    <w:rsid w:val="00963803"/>
    <w:rsid w:val="00963A1F"/>
    <w:rsid w:val="00963D4F"/>
    <w:rsid w:val="00964226"/>
    <w:rsid w:val="00964C22"/>
    <w:rsid w:val="00965682"/>
    <w:rsid w:val="00965C3D"/>
    <w:rsid w:val="00965EE4"/>
    <w:rsid w:val="00966213"/>
    <w:rsid w:val="0096646F"/>
    <w:rsid w:val="00966E40"/>
    <w:rsid w:val="00967086"/>
    <w:rsid w:val="00967363"/>
    <w:rsid w:val="009675EE"/>
    <w:rsid w:val="0097070B"/>
    <w:rsid w:val="00970ECE"/>
    <w:rsid w:val="00970FEC"/>
    <w:rsid w:val="009720C1"/>
    <w:rsid w:val="0097262C"/>
    <w:rsid w:val="009727FE"/>
    <w:rsid w:val="0097306E"/>
    <w:rsid w:val="009736BB"/>
    <w:rsid w:val="009739AD"/>
    <w:rsid w:val="00974776"/>
    <w:rsid w:val="00974DC9"/>
    <w:rsid w:val="00974F77"/>
    <w:rsid w:val="009756E5"/>
    <w:rsid w:val="00975D9B"/>
    <w:rsid w:val="00976B97"/>
    <w:rsid w:val="009779EF"/>
    <w:rsid w:val="00977A9D"/>
    <w:rsid w:val="009808B5"/>
    <w:rsid w:val="00981532"/>
    <w:rsid w:val="00981778"/>
    <w:rsid w:val="00981B8B"/>
    <w:rsid w:val="00981C00"/>
    <w:rsid w:val="00982711"/>
    <w:rsid w:val="00982E2A"/>
    <w:rsid w:val="009833BB"/>
    <w:rsid w:val="00983722"/>
    <w:rsid w:val="0098375A"/>
    <w:rsid w:val="00983CFA"/>
    <w:rsid w:val="009844B4"/>
    <w:rsid w:val="00984AA4"/>
    <w:rsid w:val="00984B15"/>
    <w:rsid w:val="009850E1"/>
    <w:rsid w:val="00985B52"/>
    <w:rsid w:val="00985B97"/>
    <w:rsid w:val="00990F0A"/>
    <w:rsid w:val="009914DC"/>
    <w:rsid w:val="00991848"/>
    <w:rsid w:val="00991E27"/>
    <w:rsid w:val="00991FEA"/>
    <w:rsid w:val="009927B4"/>
    <w:rsid w:val="00994AA8"/>
    <w:rsid w:val="009950EA"/>
    <w:rsid w:val="00995322"/>
    <w:rsid w:val="009953C1"/>
    <w:rsid w:val="00996155"/>
    <w:rsid w:val="0099627C"/>
    <w:rsid w:val="00996317"/>
    <w:rsid w:val="00996624"/>
    <w:rsid w:val="00996AF4"/>
    <w:rsid w:val="00996DCD"/>
    <w:rsid w:val="00996ECE"/>
    <w:rsid w:val="00997222"/>
    <w:rsid w:val="0099737A"/>
    <w:rsid w:val="009978E5"/>
    <w:rsid w:val="00997D0B"/>
    <w:rsid w:val="00997E62"/>
    <w:rsid w:val="009A0261"/>
    <w:rsid w:val="009A1167"/>
    <w:rsid w:val="009A244D"/>
    <w:rsid w:val="009A2B89"/>
    <w:rsid w:val="009A2D23"/>
    <w:rsid w:val="009A2DFF"/>
    <w:rsid w:val="009A2E7D"/>
    <w:rsid w:val="009A30E6"/>
    <w:rsid w:val="009A350C"/>
    <w:rsid w:val="009A3804"/>
    <w:rsid w:val="009A3E9F"/>
    <w:rsid w:val="009A3EFA"/>
    <w:rsid w:val="009A4936"/>
    <w:rsid w:val="009A5216"/>
    <w:rsid w:val="009A58CB"/>
    <w:rsid w:val="009A5ECE"/>
    <w:rsid w:val="009A60C0"/>
    <w:rsid w:val="009A6243"/>
    <w:rsid w:val="009A658F"/>
    <w:rsid w:val="009A7C28"/>
    <w:rsid w:val="009A7C9B"/>
    <w:rsid w:val="009B033E"/>
    <w:rsid w:val="009B0B4F"/>
    <w:rsid w:val="009B168E"/>
    <w:rsid w:val="009B178B"/>
    <w:rsid w:val="009B1D96"/>
    <w:rsid w:val="009B2546"/>
    <w:rsid w:val="009B2A34"/>
    <w:rsid w:val="009B2F77"/>
    <w:rsid w:val="009B40B9"/>
    <w:rsid w:val="009B4122"/>
    <w:rsid w:val="009B4F60"/>
    <w:rsid w:val="009B58EF"/>
    <w:rsid w:val="009B5DA3"/>
    <w:rsid w:val="009B6DC2"/>
    <w:rsid w:val="009B74F3"/>
    <w:rsid w:val="009C03CD"/>
    <w:rsid w:val="009C04B2"/>
    <w:rsid w:val="009C1591"/>
    <w:rsid w:val="009C1D14"/>
    <w:rsid w:val="009C223D"/>
    <w:rsid w:val="009C25B5"/>
    <w:rsid w:val="009C3208"/>
    <w:rsid w:val="009C40F8"/>
    <w:rsid w:val="009C4369"/>
    <w:rsid w:val="009C47F6"/>
    <w:rsid w:val="009C4BAE"/>
    <w:rsid w:val="009C4F59"/>
    <w:rsid w:val="009C5648"/>
    <w:rsid w:val="009C56FA"/>
    <w:rsid w:val="009C5A95"/>
    <w:rsid w:val="009C5B59"/>
    <w:rsid w:val="009D0049"/>
    <w:rsid w:val="009D1011"/>
    <w:rsid w:val="009D1082"/>
    <w:rsid w:val="009D1A23"/>
    <w:rsid w:val="009D28EB"/>
    <w:rsid w:val="009D3A83"/>
    <w:rsid w:val="009D3F7E"/>
    <w:rsid w:val="009D4012"/>
    <w:rsid w:val="009D4026"/>
    <w:rsid w:val="009D42F3"/>
    <w:rsid w:val="009D436B"/>
    <w:rsid w:val="009D45E8"/>
    <w:rsid w:val="009D58E3"/>
    <w:rsid w:val="009D6056"/>
    <w:rsid w:val="009D6567"/>
    <w:rsid w:val="009D7576"/>
    <w:rsid w:val="009D7A3D"/>
    <w:rsid w:val="009D7B7C"/>
    <w:rsid w:val="009D7BFE"/>
    <w:rsid w:val="009D7C23"/>
    <w:rsid w:val="009E00CC"/>
    <w:rsid w:val="009E02D1"/>
    <w:rsid w:val="009E1552"/>
    <w:rsid w:val="009E19B3"/>
    <w:rsid w:val="009E1CC4"/>
    <w:rsid w:val="009E1EE1"/>
    <w:rsid w:val="009E22F2"/>
    <w:rsid w:val="009E2740"/>
    <w:rsid w:val="009E2A95"/>
    <w:rsid w:val="009E2EFD"/>
    <w:rsid w:val="009E2F67"/>
    <w:rsid w:val="009E321D"/>
    <w:rsid w:val="009E3580"/>
    <w:rsid w:val="009E37A5"/>
    <w:rsid w:val="009E3C19"/>
    <w:rsid w:val="009E430E"/>
    <w:rsid w:val="009E4398"/>
    <w:rsid w:val="009E4B67"/>
    <w:rsid w:val="009E4D3C"/>
    <w:rsid w:val="009E52F8"/>
    <w:rsid w:val="009E5EE6"/>
    <w:rsid w:val="009E6141"/>
    <w:rsid w:val="009E648C"/>
    <w:rsid w:val="009E6C8E"/>
    <w:rsid w:val="009E6F39"/>
    <w:rsid w:val="009E70C7"/>
    <w:rsid w:val="009E7577"/>
    <w:rsid w:val="009E77F6"/>
    <w:rsid w:val="009E7897"/>
    <w:rsid w:val="009E7A0C"/>
    <w:rsid w:val="009F02A0"/>
    <w:rsid w:val="009F07A2"/>
    <w:rsid w:val="009F0994"/>
    <w:rsid w:val="009F0AFD"/>
    <w:rsid w:val="009F1E51"/>
    <w:rsid w:val="009F1E9D"/>
    <w:rsid w:val="009F2954"/>
    <w:rsid w:val="009F331B"/>
    <w:rsid w:val="009F3391"/>
    <w:rsid w:val="009F4168"/>
    <w:rsid w:val="009F4935"/>
    <w:rsid w:val="009F4D59"/>
    <w:rsid w:val="009F503A"/>
    <w:rsid w:val="009F5877"/>
    <w:rsid w:val="009F58AE"/>
    <w:rsid w:val="009F5D24"/>
    <w:rsid w:val="009F611D"/>
    <w:rsid w:val="009F689C"/>
    <w:rsid w:val="009F69BD"/>
    <w:rsid w:val="009F77DE"/>
    <w:rsid w:val="00A00D68"/>
    <w:rsid w:val="00A011F0"/>
    <w:rsid w:val="00A01B55"/>
    <w:rsid w:val="00A026C0"/>
    <w:rsid w:val="00A027E8"/>
    <w:rsid w:val="00A02812"/>
    <w:rsid w:val="00A032C7"/>
    <w:rsid w:val="00A0358F"/>
    <w:rsid w:val="00A03C1B"/>
    <w:rsid w:val="00A044C1"/>
    <w:rsid w:val="00A04B1D"/>
    <w:rsid w:val="00A0563F"/>
    <w:rsid w:val="00A05DE1"/>
    <w:rsid w:val="00A06529"/>
    <w:rsid w:val="00A06E38"/>
    <w:rsid w:val="00A06FBE"/>
    <w:rsid w:val="00A0797E"/>
    <w:rsid w:val="00A113D2"/>
    <w:rsid w:val="00A11CB0"/>
    <w:rsid w:val="00A120A8"/>
    <w:rsid w:val="00A132A5"/>
    <w:rsid w:val="00A14470"/>
    <w:rsid w:val="00A14B52"/>
    <w:rsid w:val="00A1545B"/>
    <w:rsid w:val="00A15DA9"/>
    <w:rsid w:val="00A15F1E"/>
    <w:rsid w:val="00A15FD2"/>
    <w:rsid w:val="00A16149"/>
    <w:rsid w:val="00A161DA"/>
    <w:rsid w:val="00A164E7"/>
    <w:rsid w:val="00A16742"/>
    <w:rsid w:val="00A167F6"/>
    <w:rsid w:val="00A17016"/>
    <w:rsid w:val="00A17898"/>
    <w:rsid w:val="00A17FE9"/>
    <w:rsid w:val="00A216B7"/>
    <w:rsid w:val="00A21879"/>
    <w:rsid w:val="00A21CC0"/>
    <w:rsid w:val="00A22321"/>
    <w:rsid w:val="00A23286"/>
    <w:rsid w:val="00A23432"/>
    <w:rsid w:val="00A2369D"/>
    <w:rsid w:val="00A238E1"/>
    <w:rsid w:val="00A24023"/>
    <w:rsid w:val="00A24A40"/>
    <w:rsid w:val="00A24DCF"/>
    <w:rsid w:val="00A24E83"/>
    <w:rsid w:val="00A257A2"/>
    <w:rsid w:val="00A258C8"/>
    <w:rsid w:val="00A26101"/>
    <w:rsid w:val="00A26608"/>
    <w:rsid w:val="00A267A7"/>
    <w:rsid w:val="00A26EB3"/>
    <w:rsid w:val="00A27379"/>
    <w:rsid w:val="00A27996"/>
    <w:rsid w:val="00A279EC"/>
    <w:rsid w:val="00A30017"/>
    <w:rsid w:val="00A309E2"/>
    <w:rsid w:val="00A31494"/>
    <w:rsid w:val="00A31ABC"/>
    <w:rsid w:val="00A31D3B"/>
    <w:rsid w:val="00A323B2"/>
    <w:rsid w:val="00A32A9E"/>
    <w:rsid w:val="00A32EE9"/>
    <w:rsid w:val="00A3344C"/>
    <w:rsid w:val="00A33C58"/>
    <w:rsid w:val="00A340C7"/>
    <w:rsid w:val="00A34554"/>
    <w:rsid w:val="00A35D55"/>
    <w:rsid w:val="00A3605C"/>
    <w:rsid w:val="00A37346"/>
    <w:rsid w:val="00A376F0"/>
    <w:rsid w:val="00A37954"/>
    <w:rsid w:val="00A379B1"/>
    <w:rsid w:val="00A410CD"/>
    <w:rsid w:val="00A418C1"/>
    <w:rsid w:val="00A420D2"/>
    <w:rsid w:val="00A42D9E"/>
    <w:rsid w:val="00A431AA"/>
    <w:rsid w:val="00A43B7A"/>
    <w:rsid w:val="00A44263"/>
    <w:rsid w:val="00A44CA7"/>
    <w:rsid w:val="00A4598D"/>
    <w:rsid w:val="00A45E33"/>
    <w:rsid w:val="00A4670C"/>
    <w:rsid w:val="00A474B3"/>
    <w:rsid w:val="00A514C4"/>
    <w:rsid w:val="00A514D3"/>
    <w:rsid w:val="00A5156F"/>
    <w:rsid w:val="00A5158C"/>
    <w:rsid w:val="00A5276D"/>
    <w:rsid w:val="00A52AEF"/>
    <w:rsid w:val="00A52EB3"/>
    <w:rsid w:val="00A52F79"/>
    <w:rsid w:val="00A52FFA"/>
    <w:rsid w:val="00A5350D"/>
    <w:rsid w:val="00A542FA"/>
    <w:rsid w:val="00A54500"/>
    <w:rsid w:val="00A54A69"/>
    <w:rsid w:val="00A556DD"/>
    <w:rsid w:val="00A5615F"/>
    <w:rsid w:val="00A567BD"/>
    <w:rsid w:val="00A56C5E"/>
    <w:rsid w:val="00A57573"/>
    <w:rsid w:val="00A57E80"/>
    <w:rsid w:val="00A605D6"/>
    <w:rsid w:val="00A60814"/>
    <w:rsid w:val="00A60A2A"/>
    <w:rsid w:val="00A60CFB"/>
    <w:rsid w:val="00A60E81"/>
    <w:rsid w:val="00A6122D"/>
    <w:rsid w:val="00A61498"/>
    <w:rsid w:val="00A61723"/>
    <w:rsid w:val="00A61B9A"/>
    <w:rsid w:val="00A62053"/>
    <w:rsid w:val="00A62116"/>
    <w:rsid w:val="00A6232C"/>
    <w:rsid w:val="00A62519"/>
    <w:rsid w:val="00A62819"/>
    <w:rsid w:val="00A62AE4"/>
    <w:rsid w:val="00A62E4B"/>
    <w:rsid w:val="00A63200"/>
    <w:rsid w:val="00A634FB"/>
    <w:rsid w:val="00A639FF"/>
    <w:rsid w:val="00A63BEE"/>
    <w:rsid w:val="00A64921"/>
    <w:rsid w:val="00A6551A"/>
    <w:rsid w:val="00A65B45"/>
    <w:rsid w:val="00A66563"/>
    <w:rsid w:val="00A67462"/>
    <w:rsid w:val="00A67B82"/>
    <w:rsid w:val="00A67F89"/>
    <w:rsid w:val="00A70189"/>
    <w:rsid w:val="00A709AB"/>
    <w:rsid w:val="00A714FE"/>
    <w:rsid w:val="00A71C29"/>
    <w:rsid w:val="00A71E13"/>
    <w:rsid w:val="00A71E31"/>
    <w:rsid w:val="00A72734"/>
    <w:rsid w:val="00A72819"/>
    <w:rsid w:val="00A729BB"/>
    <w:rsid w:val="00A729BD"/>
    <w:rsid w:val="00A72BF3"/>
    <w:rsid w:val="00A730F2"/>
    <w:rsid w:val="00A736C9"/>
    <w:rsid w:val="00A73DC1"/>
    <w:rsid w:val="00A744DD"/>
    <w:rsid w:val="00A74F71"/>
    <w:rsid w:val="00A767CA"/>
    <w:rsid w:val="00A76EA3"/>
    <w:rsid w:val="00A77ACE"/>
    <w:rsid w:val="00A77CC0"/>
    <w:rsid w:val="00A77FE7"/>
    <w:rsid w:val="00A80014"/>
    <w:rsid w:val="00A8109D"/>
    <w:rsid w:val="00A8159E"/>
    <w:rsid w:val="00A818DC"/>
    <w:rsid w:val="00A81A06"/>
    <w:rsid w:val="00A82985"/>
    <w:rsid w:val="00A82A8B"/>
    <w:rsid w:val="00A82CA6"/>
    <w:rsid w:val="00A82D05"/>
    <w:rsid w:val="00A83229"/>
    <w:rsid w:val="00A833A1"/>
    <w:rsid w:val="00A833AB"/>
    <w:rsid w:val="00A83A00"/>
    <w:rsid w:val="00A83AAB"/>
    <w:rsid w:val="00A846DF"/>
    <w:rsid w:val="00A85505"/>
    <w:rsid w:val="00A85977"/>
    <w:rsid w:val="00A85A9D"/>
    <w:rsid w:val="00A86087"/>
    <w:rsid w:val="00A8709B"/>
    <w:rsid w:val="00A87278"/>
    <w:rsid w:val="00A900F7"/>
    <w:rsid w:val="00A906CB"/>
    <w:rsid w:val="00A91140"/>
    <w:rsid w:val="00A912E2"/>
    <w:rsid w:val="00A91938"/>
    <w:rsid w:val="00A926B1"/>
    <w:rsid w:val="00A92952"/>
    <w:rsid w:val="00A93300"/>
    <w:rsid w:val="00A93630"/>
    <w:rsid w:val="00A93ACC"/>
    <w:rsid w:val="00A93C74"/>
    <w:rsid w:val="00A9420B"/>
    <w:rsid w:val="00A94661"/>
    <w:rsid w:val="00A94EA6"/>
    <w:rsid w:val="00A959A0"/>
    <w:rsid w:val="00A95C17"/>
    <w:rsid w:val="00A9663A"/>
    <w:rsid w:val="00A9698A"/>
    <w:rsid w:val="00AA0351"/>
    <w:rsid w:val="00AA04E1"/>
    <w:rsid w:val="00AA1534"/>
    <w:rsid w:val="00AA3BFF"/>
    <w:rsid w:val="00AA4449"/>
    <w:rsid w:val="00AA47BC"/>
    <w:rsid w:val="00AA5074"/>
    <w:rsid w:val="00AA5B00"/>
    <w:rsid w:val="00AA5DF1"/>
    <w:rsid w:val="00AA5FF7"/>
    <w:rsid w:val="00AA6A0E"/>
    <w:rsid w:val="00AA6B27"/>
    <w:rsid w:val="00AA6E2E"/>
    <w:rsid w:val="00AA701F"/>
    <w:rsid w:val="00AA794E"/>
    <w:rsid w:val="00AA7F28"/>
    <w:rsid w:val="00AA7FBD"/>
    <w:rsid w:val="00AB08B2"/>
    <w:rsid w:val="00AB100C"/>
    <w:rsid w:val="00AB1065"/>
    <w:rsid w:val="00AB1702"/>
    <w:rsid w:val="00AB1957"/>
    <w:rsid w:val="00AB1E90"/>
    <w:rsid w:val="00AB245E"/>
    <w:rsid w:val="00AB3526"/>
    <w:rsid w:val="00AB3D84"/>
    <w:rsid w:val="00AB45AC"/>
    <w:rsid w:val="00AB4615"/>
    <w:rsid w:val="00AB4841"/>
    <w:rsid w:val="00AB4FA9"/>
    <w:rsid w:val="00AB5068"/>
    <w:rsid w:val="00AB50C6"/>
    <w:rsid w:val="00AB5746"/>
    <w:rsid w:val="00AB594D"/>
    <w:rsid w:val="00AB6DA9"/>
    <w:rsid w:val="00AB74FE"/>
    <w:rsid w:val="00AB785B"/>
    <w:rsid w:val="00AC0191"/>
    <w:rsid w:val="00AC037C"/>
    <w:rsid w:val="00AC05AB"/>
    <w:rsid w:val="00AC1026"/>
    <w:rsid w:val="00AC17A6"/>
    <w:rsid w:val="00AC1D3D"/>
    <w:rsid w:val="00AC1D6E"/>
    <w:rsid w:val="00AC2512"/>
    <w:rsid w:val="00AC2D9B"/>
    <w:rsid w:val="00AC3B13"/>
    <w:rsid w:val="00AC4563"/>
    <w:rsid w:val="00AC4643"/>
    <w:rsid w:val="00AC582F"/>
    <w:rsid w:val="00AC5CF4"/>
    <w:rsid w:val="00AC5EB9"/>
    <w:rsid w:val="00AC5EE5"/>
    <w:rsid w:val="00AC5F8B"/>
    <w:rsid w:val="00AC631C"/>
    <w:rsid w:val="00AC6AF4"/>
    <w:rsid w:val="00AC6C85"/>
    <w:rsid w:val="00AC7A91"/>
    <w:rsid w:val="00AC7BA4"/>
    <w:rsid w:val="00AD03F4"/>
    <w:rsid w:val="00AD0674"/>
    <w:rsid w:val="00AD08BF"/>
    <w:rsid w:val="00AD16AA"/>
    <w:rsid w:val="00AD25B4"/>
    <w:rsid w:val="00AD2838"/>
    <w:rsid w:val="00AD2876"/>
    <w:rsid w:val="00AD2994"/>
    <w:rsid w:val="00AD2A98"/>
    <w:rsid w:val="00AD2ED5"/>
    <w:rsid w:val="00AD2F75"/>
    <w:rsid w:val="00AD3584"/>
    <w:rsid w:val="00AD3BFB"/>
    <w:rsid w:val="00AD3E10"/>
    <w:rsid w:val="00AD3FAB"/>
    <w:rsid w:val="00AD4655"/>
    <w:rsid w:val="00AD4807"/>
    <w:rsid w:val="00AD4C12"/>
    <w:rsid w:val="00AD59D7"/>
    <w:rsid w:val="00AD5A95"/>
    <w:rsid w:val="00AD6047"/>
    <w:rsid w:val="00AD66EA"/>
    <w:rsid w:val="00AD68DC"/>
    <w:rsid w:val="00AD6C8F"/>
    <w:rsid w:val="00AD7048"/>
    <w:rsid w:val="00AD738F"/>
    <w:rsid w:val="00AE131A"/>
    <w:rsid w:val="00AE1B13"/>
    <w:rsid w:val="00AE2251"/>
    <w:rsid w:val="00AE2609"/>
    <w:rsid w:val="00AE2691"/>
    <w:rsid w:val="00AE3136"/>
    <w:rsid w:val="00AE387E"/>
    <w:rsid w:val="00AE42CA"/>
    <w:rsid w:val="00AE45EB"/>
    <w:rsid w:val="00AE4B99"/>
    <w:rsid w:val="00AE4DE0"/>
    <w:rsid w:val="00AE501A"/>
    <w:rsid w:val="00AE5160"/>
    <w:rsid w:val="00AE571A"/>
    <w:rsid w:val="00AE5F23"/>
    <w:rsid w:val="00AE5FD2"/>
    <w:rsid w:val="00AE5FD9"/>
    <w:rsid w:val="00AE67C4"/>
    <w:rsid w:val="00AE6F26"/>
    <w:rsid w:val="00AE7918"/>
    <w:rsid w:val="00AE7CE1"/>
    <w:rsid w:val="00AE7F3A"/>
    <w:rsid w:val="00AF05A7"/>
    <w:rsid w:val="00AF0A24"/>
    <w:rsid w:val="00AF0A4D"/>
    <w:rsid w:val="00AF0FDE"/>
    <w:rsid w:val="00AF1331"/>
    <w:rsid w:val="00AF2605"/>
    <w:rsid w:val="00AF2AA7"/>
    <w:rsid w:val="00AF2FD3"/>
    <w:rsid w:val="00AF3308"/>
    <w:rsid w:val="00AF376D"/>
    <w:rsid w:val="00AF439E"/>
    <w:rsid w:val="00AF503A"/>
    <w:rsid w:val="00AF5AE6"/>
    <w:rsid w:val="00AF5EE8"/>
    <w:rsid w:val="00AF6A28"/>
    <w:rsid w:val="00AF6C5F"/>
    <w:rsid w:val="00AF6FBC"/>
    <w:rsid w:val="00AF7C58"/>
    <w:rsid w:val="00AF7DF1"/>
    <w:rsid w:val="00AF7EB3"/>
    <w:rsid w:val="00B00139"/>
    <w:rsid w:val="00B012B5"/>
    <w:rsid w:val="00B01ACB"/>
    <w:rsid w:val="00B024B3"/>
    <w:rsid w:val="00B035A2"/>
    <w:rsid w:val="00B0361C"/>
    <w:rsid w:val="00B03AFE"/>
    <w:rsid w:val="00B03EA0"/>
    <w:rsid w:val="00B04681"/>
    <w:rsid w:val="00B04EA5"/>
    <w:rsid w:val="00B05D97"/>
    <w:rsid w:val="00B05FDF"/>
    <w:rsid w:val="00B060C9"/>
    <w:rsid w:val="00B06440"/>
    <w:rsid w:val="00B06863"/>
    <w:rsid w:val="00B06A0E"/>
    <w:rsid w:val="00B06FAC"/>
    <w:rsid w:val="00B07447"/>
    <w:rsid w:val="00B075AD"/>
    <w:rsid w:val="00B077D7"/>
    <w:rsid w:val="00B077FB"/>
    <w:rsid w:val="00B07D49"/>
    <w:rsid w:val="00B107F3"/>
    <w:rsid w:val="00B10936"/>
    <w:rsid w:val="00B10BDF"/>
    <w:rsid w:val="00B10D64"/>
    <w:rsid w:val="00B1114C"/>
    <w:rsid w:val="00B117DB"/>
    <w:rsid w:val="00B11B6D"/>
    <w:rsid w:val="00B120A5"/>
    <w:rsid w:val="00B125C4"/>
    <w:rsid w:val="00B12A8B"/>
    <w:rsid w:val="00B13783"/>
    <w:rsid w:val="00B13B4E"/>
    <w:rsid w:val="00B13F1A"/>
    <w:rsid w:val="00B146E6"/>
    <w:rsid w:val="00B150EF"/>
    <w:rsid w:val="00B157CE"/>
    <w:rsid w:val="00B15A9F"/>
    <w:rsid w:val="00B15D0B"/>
    <w:rsid w:val="00B163FC"/>
    <w:rsid w:val="00B174B7"/>
    <w:rsid w:val="00B17583"/>
    <w:rsid w:val="00B17777"/>
    <w:rsid w:val="00B178CC"/>
    <w:rsid w:val="00B17BA7"/>
    <w:rsid w:val="00B17F5D"/>
    <w:rsid w:val="00B202E9"/>
    <w:rsid w:val="00B206EA"/>
    <w:rsid w:val="00B2075D"/>
    <w:rsid w:val="00B21020"/>
    <w:rsid w:val="00B22092"/>
    <w:rsid w:val="00B239B4"/>
    <w:rsid w:val="00B23AB9"/>
    <w:rsid w:val="00B242CF"/>
    <w:rsid w:val="00B24596"/>
    <w:rsid w:val="00B246C5"/>
    <w:rsid w:val="00B24C59"/>
    <w:rsid w:val="00B260F3"/>
    <w:rsid w:val="00B269B1"/>
    <w:rsid w:val="00B27290"/>
    <w:rsid w:val="00B272AD"/>
    <w:rsid w:val="00B2758E"/>
    <w:rsid w:val="00B27BA0"/>
    <w:rsid w:val="00B27EC7"/>
    <w:rsid w:val="00B303E2"/>
    <w:rsid w:val="00B310DC"/>
    <w:rsid w:val="00B316D7"/>
    <w:rsid w:val="00B31A76"/>
    <w:rsid w:val="00B31D5F"/>
    <w:rsid w:val="00B321D7"/>
    <w:rsid w:val="00B32366"/>
    <w:rsid w:val="00B324EB"/>
    <w:rsid w:val="00B32F50"/>
    <w:rsid w:val="00B331AC"/>
    <w:rsid w:val="00B334A3"/>
    <w:rsid w:val="00B33B51"/>
    <w:rsid w:val="00B33C4F"/>
    <w:rsid w:val="00B3447B"/>
    <w:rsid w:val="00B349D4"/>
    <w:rsid w:val="00B34D89"/>
    <w:rsid w:val="00B36B09"/>
    <w:rsid w:val="00B377F5"/>
    <w:rsid w:val="00B400CB"/>
    <w:rsid w:val="00B41593"/>
    <w:rsid w:val="00B41E3C"/>
    <w:rsid w:val="00B4206E"/>
    <w:rsid w:val="00B42518"/>
    <w:rsid w:val="00B42D52"/>
    <w:rsid w:val="00B4335D"/>
    <w:rsid w:val="00B43529"/>
    <w:rsid w:val="00B43670"/>
    <w:rsid w:val="00B43751"/>
    <w:rsid w:val="00B43D07"/>
    <w:rsid w:val="00B43DE3"/>
    <w:rsid w:val="00B43EC1"/>
    <w:rsid w:val="00B4484D"/>
    <w:rsid w:val="00B44E0D"/>
    <w:rsid w:val="00B45674"/>
    <w:rsid w:val="00B4571B"/>
    <w:rsid w:val="00B466B6"/>
    <w:rsid w:val="00B46CBB"/>
    <w:rsid w:val="00B47225"/>
    <w:rsid w:val="00B5089C"/>
    <w:rsid w:val="00B50918"/>
    <w:rsid w:val="00B50BED"/>
    <w:rsid w:val="00B50CC7"/>
    <w:rsid w:val="00B510D9"/>
    <w:rsid w:val="00B52003"/>
    <w:rsid w:val="00B527CA"/>
    <w:rsid w:val="00B52B0D"/>
    <w:rsid w:val="00B5314C"/>
    <w:rsid w:val="00B53213"/>
    <w:rsid w:val="00B53AD7"/>
    <w:rsid w:val="00B54756"/>
    <w:rsid w:val="00B5499E"/>
    <w:rsid w:val="00B55578"/>
    <w:rsid w:val="00B5568A"/>
    <w:rsid w:val="00B55711"/>
    <w:rsid w:val="00B55EA3"/>
    <w:rsid w:val="00B55F26"/>
    <w:rsid w:val="00B56273"/>
    <w:rsid w:val="00B5658C"/>
    <w:rsid w:val="00B56FD8"/>
    <w:rsid w:val="00B5736C"/>
    <w:rsid w:val="00B574DC"/>
    <w:rsid w:val="00B57A51"/>
    <w:rsid w:val="00B57E84"/>
    <w:rsid w:val="00B6061B"/>
    <w:rsid w:val="00B609C7"/>
    <w:rsid w:val="00B61A5C"/>
    <w:rsid w:val="00B61E73"/>
    <w:rsid w:val="00B62024"/>
    <w:rsid w:val="00B62F0F"/>
    <w:rsid w:val="00B64A84"/>
    <w:rsid w:val="00B64AA4"/>
    <w:rsid w:val="00B6567D"/>
    <w:rsid w:val="00B65E1A"/>
    <w:rsid w:val="00B65FC8"/>
    <w:rsid w:val="00B66190"/>
    <w:rsid w:val="00B66708"/>
    <w:rsid w:val="00B66E44"/>
    <w:rsid w:val="00B66F15"/>
    <w:rsid w:val="00B6700F"/>
    <w:rsid w:val="00B6794F"/>
    <w:rsid w:val="00B67BEC"/>
    <w:rsid w:val="00B67C7D"/>
    <w:rsid w:val="00B7016B"/>
    <w:rsid w:val="00B705AF"/>
    <w:rsid w:val="00B71194"/>
    <w:rsid w:val="00B711E2"/>
    <w:rsid w:val="00B7147F"/>
    <w:rsid w:val="00B71498"/>
    <w:rsid w:val="00B71589"/>
    <w:rsid w:val="00B7167A"/>
    <w:rsid w:val="00B71721"/>
    <w:rsid w:val="00B71880"/>
    <w:rsid w:val="00B72FB2"/>
    <w:rsid w:val="00B73083"/>
    <w:rsid w:val="00B736BC"/>
    <w:rsid w:val="00B7563D"/>
    <w:rsid w:val="00B75895"/>
    <w:rsid w:val="00B75FC5"/>
    <w:rsid w:val="00B768FF"/>
    <w:rsid w:val="00B76A47"/>
    <w:rsid w:val="00B77725"/>
    <w:rsid w:val="00B777C8"/>
    <w:rsid w:val="00B77FE3"/>
    <w:rsid w:val="00B80B02"/>
    <w:rsid w:val="00B80F49"/>
    <w:rsid w:val="00B8105E"/>
    <w:rsid w:val="00B810E7"/>
    <w:rsid w:val="00B81524"/>
    <w:rsid w:val="00B81843"/>
    <w:rsid w:val="00B81AD1"/>
    <w:rsid w:val="00B81FC4"/>
    <w:rsid w:val="00B83A9B"/>
    <w:rsid w:val="00B841EF"/>
    <w:rsid w:val="00B8452C"/>
    <w:rsid w:val="00B84E4A"/>
    <w:rsid w:val="00B85FCD"/>
    <w:rsid w:val="00B862D8"/>
    <w:rsid w:val="00B863C4"/>
    <w:rsid w:val="00B86FD2"/>
    <w:rsid w:val="00B87065"/>
    <w:rsid w:val="00B8736F"/>
    <w:rsid w:val="00B87C0F"/>
    <w:rsid w:val="00B90E58"/>
    <w:rsid w:val="00B913A4"/>
    <w:rsid w:val="00B92183"/>
    <w:rsid w:val="00B92F3C"/>
    <w:rsid w:val="00B938EF"/>
    <w:rsid w:val="00B93B2E"/>
    <w:rsid w:val="00B94129"/>
    <w:rsid w:val="00B943A0"/>
    <w:rsid w:val="00B94523"/>
    <w:rsid w:val="00B94EF9"/>
    <w:rsid w:val="00B94FA8"/>
    <w:rsid w:val="00B95151"/>
    <w:rsid w:val="00B9532B"/>
    <w:rsid w:val="00B96424"/>
    <w:rsid w:val="00B9682A"/>
    <w:rsid w:val="00B96A4B"/>
    <w:rsid w:val="00B96ADC"/>
    <w:rsid w:val="00B97216"/>
    <w:rsid w:val="00B97B43"/>
    <w:rsid w:val="00BA0066"/>
    <w:rsid w:val="00BA00B3"/>
    <w:rsid w:val="00BA0101"/>
    <w:rsid w:val="00BA02F2"/>
    <w:rsid w:val="00BA0BA5"/>
    <w:rsid w:val="00BA2288"/>
    <w:rsid w:val="00BA274B"/>
    <w:rsid w:val="00BA277B"/>
    <w:rsid w:val="00BA2BAF"/>
    <w:rsid w:val="00BA2D6E"/>
    <w:rsid w:val="00BA3436"/>
    <w:rsid w:val="00BA41B9"/>
    <w:rsid w:val="00BA55A8"/>
    <w:rsid w:val="00BA57E9"/>
    <w:rsid w:val="00BA6119"/>
    <w:rsid w:val="00BA62D5"/>
    <w:rsid w:val="00BA6745"/>
    <w:rsid w:val="00BA7000"/>
    <w:rsid w:val="00BA7C69"/>
    <w:rsid w:val="00BB0F78"/>
    <w:rsid w:val="00BB20FC"/>
    <w:rsid w:val="00BB3447"/>
    <w:rsid w:val="00BB3679"/>
    <w:rsid w:val="00BB3D97"/>
    <w:rsid w:val="00BB47C1"/>
    <w:rsid w:val="00BB539B"/>
    <w:rsid w:val="00BB578C"/>
    <w:rsid w:val="00BB59EA"/>
    <w:rsid w:val="00BB5D38"/>
    <w:rsid w:val="00BB5F2F"/>
    <w:rsid w:val="00BB6DE8"/>
    <w:rsid w:val="00BB6F40"/>
    <w:rsid w:val="00BB7051"/>
    <w:rsid w:val="00BB7832"/>
    <w:rsid w:val="00BB7CA3"/>
    <w:rsid w:val="00BB7F4E"/>
    <w:rsid w:val="00BC0203"/>
    <w:rsid w:val="00BC03E8"/>
    <w:rsid w:val="00BC0931"/>
    <w:rsid w:val="00BC12A3"/>
    <w:rsid w:val="00BC25AE"/>
    <w:rsid w:val="00BC2DF9"/>
    <w:rsid w:val="00BC3716"/>
    <w:rsid w:val="00BC398C"/>
    <w:rsid w:val="00BC39B2"/>
    <w:rsid w:val="00BC3ED2"/>
    <w:rsid w:val="00BC4191"/>
    <w:rsid w:val="00BC43B4"/>
    <w:rsid w:val="00BC48AD"/>
    <w:rsid w:val="00BC4BCD"/>
    <w:rsid w:val="00BC528A"/>
    <w:rsid w:val="00BC5BB2"/>
    <w:rsid w:val="00BC62CD"/>
    <w:rsid w:val="00BC67AB"/>
    <w:rsid w:val="00BC7431"/>
    <w:rsid w:val="00BC76CE"/>
    <w:rsid w:val="00BC7BA6"/>
    <w:rsid w:val="00BD00C7"/>
    <w:rsid w:val="00BD01B7"/>
    <w:rsid w:val="00BD0EAA"/>
    <w:rsid w:val="00BD0F33"/>
    <w:rsid w:val="00BD154F"/>
    <w:rsid w:val="00BD1B58"/>
    <w:rsid w:val="00BD22DB"/>
    <w:rsid w:val="00BD3363"/>
    <w:rsid w:val="00BD33F8"/>
    <w:rsid w:val="00BD3673"/>
    <w:rsid w:val="00BD3C80"/>
    <w:rsid w:val="00BD412B"/>
    <w:rsid w:val="00BD42ED"/>
    <w:rsid w:val="00BD46F9"/>
    <w:rsid w:val="00BD4772"/>
    <w:rsid w:val="00BD517F"/>
    <w:rsid w:val="00BD5593"/>
    <w:rsid w:val="00BD5CC1"/>
    <w:rsid w:val="00BD6304"/>
    <w:rsid w:val="00BD66E5"/>
    <w:rsid w:val="00BD7FF1"/>
    <w:rsid w:val="00BE07FA"/>
    <w:rsid w:val="00BE0D16"/>
    <w:rsid w:val="00BE0D26"/>
    <w:rsid w:val="00BE1197"/>
    <w:rsid w:val="00BE1AEA"/>
    <w:rsid w:val="00BE2246"/>
    <w:rsid w:val="00BE35DA"/>
    <w:rsid w:val="00BE53CC"/>
    <w:rsid w:val="00BE5D49"/>
    <w:rsid w:val="00BE66A6"/>
    <w:rsid w:val="00BE69EC"/>
    <w:rsid w:val="00BE73B7"/>
    <w:rsid w:val="00BE74E8"/>
    <w:rsid w:val="00BE776A"/>
    <w:rsid w:val="00BE7D76"/>
    <w:rsid w:val="00BE7D96"/>
    <w:rsid w:val="00BE7FA4"/>
    <w:rsid w:val="00BF0D56"/>
    <w:rsid w:val="00BF0EF5"/>
    <w:rsid w:val="00BF141F"/>
    <w:rsid w:val="00BF19A7"/>
    <w:rsid w:val="00BF1B16"/>
    <w:rsid w:val="00BF1C0B"/>
    <w:rsid w:val="00BF21ED"/>
    <w:rsid w:val="00BF2D81"/>
    <w:rsid w:val="00BF38E1"/>
    <w:rsid w:val="00BF3E8F"/>
    <w:rsid w:val="00BF4562"/>
    <w:rsid w:val="00BF46DF"/>
    <w:rsid w:val="00BF4AAA"/>
    <w:rsid w:val="00BF5ABC"/>
    <w:rsid w:val="00BF6646"/>
    <w:rsid w:val="00BF6B6B"/>
    <w:rsid w:val="00BF6CF5"/>
    <w:rsid w:val="00BF7055"/>
    <w:rsid w:val="00BF732B"/>
    <w:rsid w:val="00BF7DC8"/>
    <w:rsid w:val="00BF7FCD"/>
    <w:rsid w:val="00C00117"/>
    <w:rsid w:val="00C005B2"/>
    <w:rsid w:val="00C00D9F"/>
    <w:rsid w:val="00C00EA3"/>
    <w:rsid w:val="00C011CA"/>
    <w:rsid w:val="00C01331"/>
    <w:rsid w:val="00C0196D"/>
    <w:rsid w:val="00C02823"/>
    <w:rsid w:val="00C02864"/>
    <w:rsid w:val="00C02A2F"/>
    <w:rsid w:val="00C02E57"/>
    <w:rsid w:val="00C0394A"/>
    <w:rsid w:val="00C03C81"/>
    <w:rsid w:val="00C048AB"/>
    <w:rsid w:val="00C048C3"/>
    <w:rsid w:val="00C065E4"/>
    <w:rsid w:val="00C06E82"/>
    <w:rsid w:val="00C06E83"/>
    <w:rsid w:val="00C07989"/>
    <w:rsid w:val="00C106B1"/>
    <w:rsid w:val="00C106B5"/>
    <w:rsid w:val="00C10924"/>
    <w:rsid w:val="00C10CB6"/>
    <w:rsid w:val="00C11212"/>
    <w:rsid w:val="00C1149A"/>
    <w:rsid w:val="00C12BAB"/>
    <w:rsid w:val="00C12D0A"/>
    <w:rsid w:val="00C132FE"/>
    <w:rsid w:val="00C13ADA"/>
    <w:rsid w:val="00C13CC9"/>
    <w:rsid w:val="00C14116"/>
    <w:rsid w:val="00C14301"/>
    <w:rsid w:val="00C14815"/>
    <w:rsid w:val="00C1481E"/>
    <w:rsid w:val="00C14E91"/>
    <w:rsid w:val="00C14F02"/>
    <w:rsid w:val="00C15538"/>
    <w:rsid w:val="00C15967"/>
    <w:rsid w:val="00C16172"/>
    <w:rsid w:val="00C16379"/>
    <w:rsid w:val="00C166B5"/>
    <w:rsid w:val="00C16A51"/>
    <w:rsid w:val="00C16CC8"/>
    <w:rsid w:val="00C176B2"/>
    <w:rsid w:val="00C1793C"/>
    <w:rsid w:val="00C2148E"/>
    <w:rsid w:val="00C21C4A"/>
    <w:rsid w:val="00C22130"/>
    <w:rsid w:val="00C22E6A"/>
    <w:rsid w:val="00C23226"/>
    <w:rsid w:val="00C234A2"/>
    <w:rsid w:val="00C23A7E"/>
    <w:rsid w:val="00C23E5C"/>
    <w:rsid w:val="00C23F6E"/>
    <w:rsid w:val="00C23FBB"/>
    <w:rsid w:val="00C24658"/>
    <w:rsid w:val="00C24923"/>
    <w:rsid w:val="00C25267"/>
    <w:rsid w:val="00C2554C"/>
    <w:rsid w:val="00C25AFA"/>
    <w:rsid w:val="00C25F67"/>
    <w:rsid w:val="00C261F1"/>
    <w:rsid w:val="00C26338"/>
    <w:rsid w:val="00C26369"/>
    <w:rsid w:val="00C278AE"/>
    <w:rsid w:val="00C27A82"/>
    <w:rsid w:val="00C27CF3"/>
    <w:rsid w:val="00C30038"/>
    <w:rsid w:val="00C30642"/>
    <w:rsid w:val="00C3092E"/>
    <w:rsid w:val="00C3096D"/>
    <w:rsid w:val="00C30D13"/>
    <w:rsid w:val="00C31242"/>
    <w:rsid w:val="00C31B50"/>
    <w:rsid w:val="00C321FB"/>
    <w:rsid w:val="00C3237D"/>
    <w:rsid w:val="00C32EA2"/>
    <w:rsid w:val="00C3377B"/>
    <w:rsid w:val="00C34765"/>
    <w:rsid w:val="00C350C5"/>
    <w:rsid w:val="00C3676A"/>
    <w:rsid w:val="00C36A2E"/>
    <w:rsid w:val="00C37D78"/>
    <w:rsid w:val="00C37F0F"/>
    <w:rsid w:val="00C4084F"/>
    <w:rsid w:val="00C410B7"/>
    <w:rsid w:val="00C41A02"/>
    <w:rsid w:val="00C42745"/>
    <w:rsid w:val="00C4275D"/>
    <w:rsid w:val="00C42A48"/>
    <w:rsid w:val="00C434DC"/>
    <w:rsid w:val="00C436D1"/>
    <w:rsid w:val="00C439F4"/>
    <w:rsid w:val="00C43EF9"/>
    <w:rsid w:val="00C441F8"/>
    <w:rsid w:val="00C4486D"/>
    <w:rsid w:val="00C44EB2"/>
    <w:rsid w:val="00C452F7"/>
    <w:rsid w:val="00C45329"/>
    <w:rsid w:val="00C4538D"/>
    <w:rsid w:val="00C45D94"/>
    <w:rsid w:val="00C45FE0"/>
    <w:rsid w:val="00C4758B"/>
    <w:rsid w:val="00C47B04"/>
    <w:rsid w:val="00C5093E"/>
    <w:rsid w:val="00C50E69"/>
    <w:rsid w:val="00C514AD"/>
    <w:rsid w:val="00C5179A"/>
    <w:rsid w:val="00C5197B"/>
    <w:rsid w:val="00C51B17"/>
    <w:rsid w:val="00C51BCE"/>
    <w:rsid w:val="00C52B5B"/>
    <w:rsid w:val="00C53440"/>
    <w:rsid w:val="00C5347E"/>
    <w:rsid w:val="00C53B87"/>
    <w:rsid w:val="00C542E5"/>
    <w:rsid w:val="00C549BD"/>
    <w:rsid w:val="00C5582F"/>
    <w:rsid w:val="00C5585E"/>
    <w:rsid w:val="00C55E26"/>
    <w:rsid w:val="00C567EB"/>
    <w:rsid w:val="00C56D9C"/>
    <w:rsid w:val="00C570B1"/>
    <w:rsid w:val="00C5760B"/>
    <w:rsid w:val="00C579A8"/>
    <w:rsid w:val="00C604C5"/>
    <w:rsid w:val="00C60540"/>
    <w:rsid w:val="00C606F3"/>
    <w:rsid w:val="00C60E13"/>
    <w:rsid w:val="00C61372"/>
    <w:rsid w:val="00C61A79"/>
    <w:rsid w:val="00C6227F"/>
    <w:rsid w:val="00C62AC1"/>
    <w:rsid w:val="00C62FEF"/>
    <w:rsid w:val="00C6352D"/>
    <w:rsid w:val="00C6373D"/>
    <w:rsid w:val="00C639BE"/>
    <w:rsid w:val="00C63AA5"/>
    <w:rsid w:val="00C652DB"/>
    <w:rsid w:val="00C659E3"/>
    <w:rsid w:val="00C65B00"/>
    <w:rsid w:val="00C65C3C"/>
    <w:rsid w:val="00C66334"/>
    <w:rsid w:val="00C66498"/>
    <w:rsid w:val="00C66984"/>
    <w:rsid w:val="00C67482"/>
    <w:rsid w:val="00C67716"/>
    <w:rsid w:val="00C704EA"/>
    <w:rsid w:val="00C710E4"/>
    <w:rsid w:val="00C71268"/>
    <w:rsid w:val="00C71476"/>
    <w:rsid w:val="00C71B68"/>
    <w:rsid w:val="00C7203D"/>
    <w:rsid w:val="00C72569"/>
    <w:rsid w:val="00C728F2"/>
    <w:rsid w:val="00C72C66"/>
    <w:rsid w:val="00C73658"/>
    <w:rsid w:val="00C7369A"/>
    <w:rsid w:val="00C742FA"/>
    <w:rsid w:val="00C74839"/>
    <w:rsid w:val="00C758F5"/>
    <w:rsid w:val="00C75DC7"/>
    <w:rsid w:val="00C76355"/>
    <w:rsid w:val="00C768F1"/>
    <w:rsid w:val="00C76B9F"/>
    <w:rsid w:val="00C770D0"/>
    <w:rsid w:val="00C77302"/>
    <w:rsid w:val="00C778A9"/>
    <w:rsid w:val="00C77A08"/>
    <w:rsid w:val="00C77A9A"/>
    <w:rsid w:val="00C77DF6"/>
    <w:rsid w:val="00C8001E"/>
    <w:rsid w:val="00C802EE"/>
    <w:rsid w:val="00C806A6"/>
    <w:rsid w:val="00C808FD"/>
    <w:rsid w:val="00C80AFC"/>
    <w:rsid w:val="00C816E9"/>
    <w:rsid w:val="00C81E02"/>
    <w:rsid w:val="00C82351"/>
    <w:rsid w:val="00C826BF"/>
    <w:rsid w:val="00C82950"/>
    <w:rsid w:val="00C8350E"/>
    <w:rsid w:val="00C839D3"/>
    <w:rsid w:val="00C83D59"/>
    <w:rsid w:val="00C83FC3"/>
    <w:rsid w:val="00C8483C"/>
    <w:rsid w:val="00C84DEB"/>
    <w:rsid w:val="00C84E5A"/>
    <w:rsid w:val="00C855B3"/>
    <w:rsid w:val="00C859D9"/>
    <w:rsid w:val="00C86098"/>
    <w:rsid w:val="00C860FB"/>
    <w:rsid w:val="00C862E7"/>
    <w:rsid w:val="00C86D22"/>
    <w:rsid w:val="00C86D73"/>
    <w:rsid w:val="00C86DA0"/>
    <w:rsid w:val="00C8714F"/>
    <w:rsid w:val="00C874D8"/>
    <w:rsid w:val="00C878EF"/>
    <w:rsid w:val="00C900BE"/>
    <w:rsid w:val="00C9028E"/>
    <w:rsid w:val="00C915B3"/>
    <w:rsid w:val="00C916C2"/>
    <w:rsid w:val="00C922D4"/>
    <w:rsid w:val="00C9299D"/>
    <w:rsid w:val="00C92FFF"/>
    <w:rsid w:val="00C94685"/>
    <w:rsid w:val="00C94725"/>
    <w:rsid w:val="00C94CFB"/>
    <w:rsid w:val="00C95F15"/>
    <w:rsid w:val="00C96165"/>
    <w:rsid w:val="00C96953"/>
    <w:rsid w:val="00C972A3"/>
    <w:rsid w:val="00CA0378"/>
    <w:rsid w:val="00CA059C"/>
    <w:rsid w:val="00CA0F5C"/>
    <w:rsid w:val="00CA1B28"/>
    <w:rsid w:val="00CA1E13"/>
    <w:rsid w:val="00CA21AC"/>
    <w:rsid w:val="00CA23F0"/>
    <w:rsid w:val="00CA2B33"/>
    <w:rsid w:val="00CA2C8D"/>
    <w:rsid w:val="00CA346E"/>
    <w:rsid w:val="00CA37C0"/>
    <w:rsid w:val="00CA3A9A"/>
    <w:rsid w:val="00CA3BAA"/>
    <w:rsid w:val="00CA4184"/>
    <w:rsid w:val="00CA56B9"/>
    <w:rsid w:val="00CA609C"/>
    <w:rsid w:val="00CA6944"/>
    <w:rsid w:val="00CB0A0D"/>
    <w:rsid w:val="00CB0D54"/>
    <w:rsid w:val="00CB0D7B"/>
    <w:rsid w:val="00CB18F1"/>
    <w:rsid w:val="00CB2069"/>
    <w:rsid w:val="00CB2745"/>
    <w:rsid w:val="00CB28C8"/>
    <w:rsid w:val="00CB2F1F"/>
    <w:rsid w:val="00CB30E1"/>
    <w:rsid w:val="00CB35D5"/>
    <w:rsid w:val="00CB39AD"/>
    <w:rsid w:val="00CB3EF5"/>
    <w:rsid w:val="00CB4BD4"/>
    <w:rsid w:val="00CB501E"/>
    <w:rsid w:val="00CB52D3"/>
    <w:rsid w:val="00CB57A2"/>
    <w:rsid w:val="00CB5DF5"/>
    <w:rsid w:val="00CB7055"/>
    <w:rsid w:val="00CB729D"/>
    <w:rsid w:val="00CB730C"/>
    <w:rsid w:val="00CC03C2"/>
    <w:rsid w:val="00CC0763"/>
    <w:rsid w:val="00CC0D93"/>
    <w:rsid w:val="00CC149D"/>
    <w:rsid w:val="00CC1A62"/>
    <w:rsid w:val="00CC1AA5"/>
    <w:rsid w:val="00CC1D6D"/>
    <w:rsid w:val="00CC2122"/>
    <w:rsid w:val="00CC2EE9"/>
    <w:rsid w:val="00CC320F"/>
    <w:rsid w:val="00CC4001"/>
    <w:rsid w:val="00CC58C8"/>
    <w:rsid w:val="00CD01E9"/>
    <w:rsid w:val="00CD05E4"/>
    <w:rsid w:val="00CD0901"/>
    <w:rsid w:val="00CD0D1F"/>
    <w:rsid w:val="00CD251E"/>
    <w:rsid w:val="00CD26C6"/>
    <w:rsid w:val="00CD27DD"/>
    <w:rsid w:val="00CD2FCA"/>
    <w:rsid w:val="00CD31AF"/>
    <w:rsid w:val="00CD369E"/>
    <w:rsid w:val="00CD3B73"/>
    <w:rsid w:val="00CD410A"/>
    <w:rsid w:val="00CD44C1"/>
    <w:rsid w:val="00CD4A48"/>
    <w:rsid w:val="00CD4AFC"/>
    <w:rsid w:val="00CD4B40"/>
    <w:rsid w:val="00CD4D87"/>
    <w:rsid w:val="00CD4E5B"/>
    <w:rsid w:val="00CD4FAA"/>
    <w:rsid w:val="00CD500F"/>
    <w:rsid w:val="00CD52AA"/>
    <w:rsid w:val="00CD5939"/>
    <w:rsid w:val="00CD5A57"/>
    <w:rsid w:val="00CD5EE1"/>
    <w:rsid w:val="00CD5F23"/>
    <w:rsid w:val="00CD614F"/>
    <w:rsid w:val="00CD7123"/>
    <w:rsid w:val="00CD7281"/>
    <w:rsid w:val="00CE160B"/>
    <w:rsid w:val="00CE165C"/>
    <w:rsid w:val="00CE1AF5"/>
    <w:rsid w:val="00CE22D0"/>
    <w:rsid w:val="00CE2ADF"/>
    <w:rsid w:val="00CE2BF6"/>
    <w:rsid w:val="00CE30DC"/>
    <w:rsid w:val="00CE31AC"/>
    <w:rsid w:val="00CE31E0"/>
    <w:rsid w:val="00CE37F4"/>
    <w:rsid w:val="00CE3B50"/>
    <w:rsid w:val="00CE416E"/>
    <w:rsid w:val="00CE4569"/>
    <w:rsid w:val="00CE5499"/>
    <w:rsid w:val="00CE5AE1"/>
    <w:rsid w:val="00CE5D1D"/>
    <w:rsid w:val="00CE62FA"/>
    <w:rsid w:val="00CE6378"/>
    <w:rsid w:val="00CE63EC"/>
    <w:rsid w:val="00CE6879"/>
    <w:rsid w:val="00CE6E8F"/>
    <w:rsid w:val="00CE6F97"/>
    <w:rsid w:val="00CE75C0"/>
    <w:rsid w:val="00CE7AD8"/>
    <w:rsid w:val="00CF0044"/>
    <w:rsid w:val="00CF00F9"/>
    <w:rsid w:val="00CF02CD"/>
    <w:rsid w:val="00CF0CDC"/>
    <w:rsid w:val="00CF110C"/>
    <w:rsid w:val="00CF199E"/>
    <w:rsid w:val="00CF19BC"/>
    <w:rsid w:val="00CF1D38"/>
    <w:rsid w:val="00CF2251"/>
    <w:rsid w:val="00CF2C9D"/>
    <w:rsid w:val="00CF37AB"/>
    <w:rsid w:val="00CF4038"/>
    <w:rsid w:val="00CF4FBB"/>
    <w:rsid w:val="00CF541E"/>
    <w:rsid w:val="00CF584A"/>
    <w:rsid w:val="00CF5D16"/>
    <w:rsid w:val="00CF70FC"/>
    <w:rsid w:val="00CF77AF"/>
    <w:rsid w:val="00CF7DAD"/>
    <w:rsid w:val="00D003DF"/>
    <w:rsid w:val="00D00882"/>
    <w:rsid w:val="00D00A4E"/>
    <w:rsid w:val="00D021A5"/>
    <w:rsid w:val="00D03F31"/>
    <w:rsid w:val="00D03FF8"/>
    <w:rsid w:val="00D044E0"/>
    <w:rsid w:val="00D04C39"/>
    <w:rsid w:val="00D04F03"/>
    <w:rsid w:val="00D05C4B"/>
    <w:rsid w:val="00D0656C"/>
    <w:rsid w:val="00D06665"/>
    <w:rsid w:val="00D072D0"/>
    <w:rsid w:val="00D07405"/>
    <w:rsid w:val="00D078AD"/>
    <w:rsid w:val="00D10444"/>
    <w:rsid w:val="00D10E15"/>
    <w:rsid w:val="00D10E61"/>
    <w:rsid w:val="00D10EC6"/>
    <w:rsid w:val="00D11317"/>
    <w:rsid w:val="00D113D1"/>
    <w:rsid w:val="00D11607"/>
    <w:rsid w:val="00D1173F"/>
    <w:rsid w:val="00D11895"/>
    <w:rsid w:val="00D119EF"/>
    <w:rsid w:val="00D11C54"/>
    <w:rsid w:val="00D11D9F"/>
    <w:rsid w:val="00D11DD7"/>
    <w:rsid w:val="00D12999"/>
    <w:rsid w:val="00D12F47"/>
    <w:rsid w:val="00D135FD"/>
    <w:rsid w:val="00D15083"/>
    <w:rsid w:val="00D1543E"/>
    <w:rsid w:val="00D15462"/>
    <w:rsid w:val="00D1662B"/>
    <w:rsid w:val="00D1670E"/>
    <w:rsid w:val="00D169A7"/>
    <w:rsid w:val="00D1706D"/>
    <w:rsid w:val="00D179F5"/>
    <w:rsid w:val="00D17FA3"/>
    <w:rsid w:val="00D2008E"/>
    <w:rsid w:val="00D21387"/>
    <w:rsid w:val="00D21481"/>
    <w:rsid w:val="00D2167A"/>
    <w:rsid w:val="00D2216A"/>
    <w:rsid w:val="00D222BF"/>
    <w:rsid w:val="00D22C8E"/>
    <w:rsid w:val="00D22E49"/>
    <w:rsid w:val="00D22FBD"/>
    <w:rsid w:val="00D2316D"/>
    <w:rsid w:val="00D23709"/>
    <w:rsid w:val="00D23C39"/>
    <w:rsid w:val="00D23D66"/>
    <w:rsid w:val="00D23DB8"/>
    <w:rsid w:val="00D248A9"/>
    <w:rsid w:val="00D250F8"/>
    <w:rsid w:val="00D2518F"/>
    <w:rsid w:val="00D251D2"/>
    <w:rsid w:val="00D26495"/>
    <w:rsid w:val="00D2651A"/>
    <w:rsid w:val="00D26EA7"/>
    <w:rsid w:val="00D27D4F"/>
    <w:rsid w:val="00D27F56"/>
    <w:rsid w:val="00D30101"/>
    <w:rsid w:val="00D30F4A"/>
    <w:rsid w:val="00D31265"/>
    <w:rsid w:val="00D31494"/>
    <w:rsid w:val="00D320BC"/>
    <w:rsid w:val="00D3224A"/>
    <w:rsid w:val="00D3298F"/>
    <w:rsid w:val="00D33080"/>
    <w:rsid w:val="00D3318A"/>
    <w:rsid w:val="00D335A3"/>
    <w:rsid w:val="00D3399B"/>
    <w:rsid w:val="00D33AED"/>
    <w:rsid w:val="00D33D50"/>
    <w:rsid w:val="00D3409A"/>
    <w:rsid w:val="00D34F4D"/>
    <w:rsid w:val="00D3516C"/>
    <w:rsid w:val="00D355BF"/>
    <w:rsid w:val="00D3561C"/>
    <w:rsid w:val="00D357D3"/>
    <w:rsid w:val="00D37337"/>
    <w:rsid w:val="00D37678"/>
    <w:rsid w:val="00D377DF"/>
    <w:rsid w:val="00D37A20"/>
    <w:rsid w:val="00D37AAE"/>
    <w:rsid w:val="00D37C2B"/>
    <w:rsid w:val="00D37D35"/>
    <w:rsid w:val="00D400C9"/>
    <w:rsid w:val="00D405B4"/>
    <w:rsid w:val="00D4061F"/>
    <w:rsid w:val="00D40E44"/>
    <w:rsid w:val="00D41028"/>
    <w:rsid w:val="00D41488"/>
    <w:rsid w:val="00D41555"/>
    <w:rsid w:val="00D41790"/>
    <w:rsid w:val="00D417DB"/>
    <w:rsid w:val="00D420E6"/>
    <w:rsid w:val="00D42198"/>
    <w:rsid w:val="00D427EF"/>
    <w:rsid w:val="00D4297D"/>
    <w:rsid w:val="00D430C8"/>
    <w:rsid w:val="00D43146"/>
    <w:rsid w:val="00D43310"/>
    <w:rsid w:val="00D436BA"/>
    <w:rsid w:val="00D4425F"/>
    <w:rsid w:val="00D446CA"/>
    <w:rsid w:val="00D44FFF"/>
    <w:rsid w:val="00D456D6"/>
    <w:rsid w:val="00D4742E"/>
    <w:rsid w:val="00D47B3B"/>
    <w:rsid w:val="00D47D0F"/>
    <w:rsid w:val="00D50584"/>
    <w:rsid w:val="00D50A7B"/>
    <w:rsid w:val="00D50AB3"/>
    <w:rsid w:val="00D50B24"/>
    <w:rsid w:val="00D5107D"/>
    <w:rsid w:val="00D5117F"/>
    <w:rsid w:val="00D51874"/>
    <w:rsid w:val="00D52C0C"/>
    <w:rsid w:val="00D531C9"/>
    <w:rsid w:val="00D537CB"/>
    <w:rsid w:val="00D53A0C"/>
    <w:rsid w:val="00D53C87"/>
    <w:rsid w:val="00D53DE4"/>
    <w:rsid w:val="00D53F3F"/>
    <w:rsid w:val="00D54775"/>
    <w:rsid w:val="00D54CDF"/>
    <w:rsid w:val="00D553F6"/>
    <w:rsid w:val="00D56513"/>
    <w:rsid w:val="00D56A0F"/>
    <w:rsid w:val="00D57663"/>
    <w:rsid w:val="00D5772E"/>
    <w:rsid w:val="00D6052E"/>
    <w:rsid w:val="00D60797"/>
    <w:rsid w:val="00D61131"/>
    <w:rsid w:val="00D61869"/>
    <w:rsid w:val="00D618A7"/>
    <w:rsid w:val="00D61C5B"/>
    <w:rsid w:val="00D61F81"/>
    <w:rsid w:val="00D62916"/>
    <w:rsid w:val="00D6299D"/>
    <w:rsid w:val="00D62A1E"/>
    <w:rsid w:val="00D63796"/>
    <w:rsid w:val="00D63B3E"/>
    <w:rsid w:val="00D63BC1"/>
    <w:rsid w:val="00D64141"/>
    <w:rsid w:val="00D642BD"/>
    <w:rsid w:val="00D64609"/>
    <w:rsid w:val="00D65502"/>
    <w:rsid w:val="00D65C25"/>
    <w:rsid w:val="00D66217"/>
    <w:rsid w:val="00D664F6"/>
    <w:rsid w:val="00D667FF"/>
    <w:rsid w:val="00D66A2C"/>
    <w:rsid w:val="00D67510"/>
    <w:rsid w:val="00D67ADC"/>
    <w:rsid w:val="00D7194B"/>
    <w:rsid w:val="00D7201B"/>
    <w:rsid w:val="00D722C0"/>
    <w:rsid w:val="00D72448"/>
    <w:rsid w:val="00D725B7"/>
    <w:rsid w:val="00D72654"/>
    <w:rsid w:val="00D72826"/>
    <w:rsid w:val="00D72977"/>
    <w:rsid w:val="00D72DA9"/>
    <w:rsid w:val="00D73797"/>
    <w:rsid w:val="00D73FA4"/>
    <w:rsid w:val="00D74652"/>
    <w:rsid w:val="00D74CE6"/>
    <w:rsid w:val="00D7524F"/>
    <w:rsid w:val="00D752AA"/>
    <w:rsid w:val="00D75830"/>
    <w:rsid w:val="00D75AEE"/>
    <w:rsid w:val="00D75E37"/>
    <w:rsid w:val="00D763B7"/>
    <w:rsid w:val="00D76ED6"/>
    <w:rsid w:val="00D770F1"/>
    <w:rsid w:val="00D771A3"/>
    <w:rsid w:val="00D779AA"/>
    <w:rsid w:val="00D800BD"/>
    <w:rsid w:val="00D80EF7"/>
    <w:rsid w:val="00D8119D"/>
    <w:rsid w:val="00D81954"/>
    <w:rsid w:val="00D8304D"/>
    <w:rsid w:val="00D835B9"/>
    <w:rsid w:val="00D839C4"/>
    <w:rsid w:val="00D843D5"/>
    <w:rsid w:val="00D84959"/>
    <w:rsid w:val="00D84A0B"/>
    <w:rsid w:val="00D85259"/>
    <w:rsid w:val="00D85324"/>
    <w:rsid w:val="00D85543"/>
    <w:rsid w:val="00D861B8"/>
    <w:rsid w:val="00D86773"/>
    <w:rsid w:val="00D86E61"/>
    <w:rsid w:val="00D872A6"/>
    <w:rsid w:val="00D87330"/>
    <w:rsid w:val="00D87851"/>
    <w:rsid w:val="00D8798B"/>
    <w:rsid w:val="00D879AE"/>
    <w:rsid w:val="00D87B93"/>
    <w:rsid w:val="00D87FC9"/>
    <w:rsid w:val="00D907B6"/>
    <w:rsid w:val="00D9095E"/>
    <w:rsid w:val="00D918D2"/>
    <w:rsid w:val="00D9222F"/>
    <w:rsid w:val="00D92393"/>
    <w:rsid w:val="00D92707"/>
    <w:rsid w:val="00D92D1A"/>
    <w:rsid w:val="00D930F2"/>
    <w:rsid w:val="00D9367E"/>
    <w:rsid w:val="00D93D23"/>
    <w:rsid w:val="00D94585"/>
    <w:rsid w:val="00D9470E"/>
    <w:rsid w:val="00D951DA"/>
    <w:rsid w:val="00D95382"/>
    <w:rsid w:val="00D9599A"/>
    <w:rsid w:val="00D96096"/>
    <w:rsid w:val="00D960B3"/>
    <w:rsid w:val="00D96267"/>
    <w:rsid w:val="00D9657F"/>
    <w:rsid w:val="00D96A94"/>
    <w:rsid w:val="00D96AB7"/>
    <w:rsid w:val="00D97544"/>
    <w:rsid w:val="00D9763A"/>
    <w:rsid w:val="00D97A65"/>
    <w:rsid w:val="00DA0066"/>
    <w:rsid w:val="00DA0162"/>
    <w:rsid w:val="00DA03CA"/>
    <w:rsid w:val="00DA0672"/>
    <w:rsid w:val="00DA16C2"/>
    <w:rsid w:val="00DA1A54"/>
    <w:rsid w:val="00DA1C0F"/>
    <w:rsid w:val="00DA1C13"/>
    <w:rsid w:val="00DA209F"/>
    <w:rsid w:val="00DA2246"/>
    <w:rsid w:val="00DA226D"/>
    <w:rsid w:val="00DA2AD4"/>
    <w:rsid w:val="00DA2C77"/>
    <w:rsid w:val="00DA2D74"/>
    <w:rsid w:val="00DA35FB"/>
    <w:rsid w:val="00DA4406"/>
    <w:rsid w:val="00DA5DA6"/>
    <w:rsid w:val="00DA6503"/>
    <w:rsid w:val="00DA70F3"/>
    <w:rsid w:val="00DB1A7A"/>
    <w:rsid w:val="00DB1E30"/>
    <w:rsid w:val="00DB1FF9"/>
    <w:rsid w:val="00DB2248"/>
    <w:rsid w:val="00DB308D"/>
    <w:rsid w:val="00DB395C"/>
    <w:rsid w:val="00DB4CBF"/>
    <w:rsid w:val="00DB4D1A"/>
    <w:rsid w:val="00DB4FB1"/>
    <w:rsid w:val="00DB50CD"/>
    <w:rsid w:val="00DB54D7"/>
    <w:rsid w:val="00DB59D4"/>
    <w:rsid w:val="00DB5A51"/>
    <w:rsid w:val="00DB5A95"/>
    <w:rsid w:val="00DB5E08"/>
    <w:rsid w:val="00DB638A"/>
    <w:rsid w:val="00DB6AD7"/>
    <w:rsid w:val="00DB75E4"/>
    <w:rsid w:val="00DC1397"/>
    <w:rsid w:val="00DC1568"/>
    <w:rsid w:val="00DC1782"/>
    <w:rsid w:val="00DC1C6E"/>
    <w:rsid w:val="00DC2599"/>
    <w:rsid w:val="00DC25BA"/>
    <w:rsid w:val="00DC26B0"/>
    <w:rsid w:val="00DC34D6"/>
    <w:rsid w:val="00DC36EE"/>
    <w:rsid w:val="00DC3B91"/>
    <w:rsid w:val="00DC3BAD"/>
    <w:rsid w:val="00DC3C9E"/>
    <w:rsid w:val="00DC3E62"/>
    <w:rsid w:val="00DC3F2B"/>
    <w:rsid w:val="00DC426D"/>
    <w:rsid w:val="00DC439E"/>
    <w:rsid w:val="00DC4D94"/>
    <w:rsid w:val="00DC4E9A"/>
    <w:rsid w:val="00DC51F3"/>
    <w:rsid w:val="00DC6221"/>
    <w:rsid w:val="00DD07AF"/>
    <w:rsid w:val="00DD0D69"/>
    <w:rsid w:val="00DD1283"/>
    <w:rsid w:val="00DD15ED"/>
    <w:rsid w:val="00DD16D1"/>
    <w:rsid w:val="00DD1983"/>
    <w:rsid w:val="00DD1A64"/>
    <w:rsid w:val="00DD1CA2"/>
    <w:rsid w:val="00DD2401"/>
    <w:rsid w:val="00DD2E00"/>
    <w:rsid w:val="00DD3349"/>
    <w:rsid w:val="00DD3374"/>
    <w:rsid w:val="00DD3AED"/>
    <w:rsid w:val="00DD3B9D"/>
    <w:rsid w:val="00DD3D54"/>
    <w:rsid w:val="00DD3EE5"/>
    <w:rsid w:val="00DD4776"/>
    <w:rsid w:val="00DD4FC7"/>
    <w:rsid w:val="00DD50E4"/>
    <w:rsid w:val="00DD5133"/>
    <w:rsid w:val="00DD57DB"/>
    <w:rsid w:val="00DD767F"/>
    <w:rsid w:val="00DD7CED"/>
    <w:rsid w:val="00DE0477"/>
    <w:rsid w:val="00DE06CC"/>
    <w:rsid w:val="00DE0768"/>
    <w:rsid w:val="00DE097F"/>
    <w:rsid w:val="00DE0FA3"/>
    <w:rsid w:val="00DE114D"/>
    <w:rsid w:val="00DE183B"/>
    <w:rsid w:val="00DE1CD3"/>
    <w:rsid w:val="00DE23F4"/>
    <w:rsid w:val="00DE25B4"/>
    <w:rsid w:val="00DE304A"/>
    <w:rsid w:val="00DE33BA"/>
    <w:rsid w:val="00DE3D6A"/>
    <w:rsid w:val="00DE4630"/>
    <w:rsid w:val="00DE4B8D"/>
    <w:rsid w:val="00DE5889"/>
    <w:rsid w:val="00DE5D62"/>
    <w:rsid w:val="00DE62F8"/>
    <w:rsid w:val="00DE6313"/>
    <w:rsid w:val="00DE6780"/>
    <w:rsid w:val="00DE67F2"/>
    <w:rsid w:val="00DE77CE"/>
    <w:rsid w:val="00DE7DD6"/>
    <w:rsid w:val="00DF0135"/>
    <w:rsid w:val="00DF06C6"/>
    <w:rsid w:val="00DF1E77"/>
    <w:rsid w:val="00DF235F"/>
    <w:rsid w:val="00DF2D31"/>
    <w:rsid w:val="00DF2E07"/>
    <w:rsid w:val="00DF4A8C"/>
    <w:rsid w:val="00DF4CB3"/>
    <w:rsid w:val="00DF5085"/>
    <w:rsid w:val="00DF5538"/>
    <w:rsid w:val="00DF5AB9"/>
    <w:rsid w:val="00DF5B6E"/>
    <w:rsid w:val="00DF5FCB"/>
    <w:rsid w:val="00DF6263"/>
    <w:rsid w:val="00DF715E"/>
    <w:rsid w:val="00DF7403"/>
    <w:rsid w:val="00DF7F55"/>
    <w:rsid w:val="00E009E6"/>
    <w:rsid w:val="00E013F8"/>
    <w:rsid w:val="00E01BB4"/>
    <w:rsid w:val="00E02328"/>
    <w:rsid w:val="00E02428"/>
    <w:rsid w:val="00E02D20"/>
    <w:rsid w:val="00E02FA2"/>
    <w:rsid w:val="00E0302E"/>
    <w:rsid w:val="00E034E2"/>
    <w:rsid w:val="00E03BC7"/>
    <w:rsid w:val="00E03D5A"/>
    <w:rsid w:val="00E04312"/>
    <w:rsid w:val="00E043ED"/>
    <w:rsid w:val="00E051E5"/>
    <w:rsid w:val="00E05D95"/>
    <w:rsid w:val="00E05F6C"/>
    <w:rsid w:val="00E0699A"/>
    <w:rsid w:val="00E06D4F"/>
    <w:rsid w:val="00E06DC9"/>
    <w:rsid w:val="00E0725E"/>
    <w:rsid w:val="00E0732F"/>
    <w:rsid w:val="00E073CC"/>
    <w:rsid w:val="00E07785"/>
    <w:rsid w:val="00E077F6"/>
    <w:rsid w:val="00E10C1C"/>
    <w:rsid w:val="00E10EF0"/>
    <w:rsid w:val="00E11FB9"/>
    <w:rsid w:val="00E122C3"/>
    <w:rsid w:val="00E123DC"/>
    <w:rsid w:val="00E1242D"/>
    <w:rsid w:val="00E135DD"/>
    <w:rsid w:val="00E13E85"/>
    <w:rsid w:val="00E14547"/>
    <w:rsid w:val="00E14997"/>
    <w:rsid w:val="00E14C34"/>
    <w:rsid w:val="00E150C4"/>
    <w:rsid w:val="00E15645"/>
    <w:rsid w:val="00E15E42"/>
    <w:rsid w:val="00E161A0"/>
    <w:rsid w:val="00E168DC"/>
    <w:rsid w:val="00E16A46"/>
    <w:rsid w:val="00E16AD0"/>
    <w:rsid w:val="00E20015"/>
    <w:rsid w:val="00E2062B"/>
    <w:rsid w:val="00E20B3B"/>
    <w:rsid w:val="00E218EE"/>
    <w:rsid w:val="00E221C4"/>
    <w:rsid w:val="00E2275A"/>
    <w:rsid w:val="00E22B10"/>
    <w:rsid w:val="00E23149"/>
    <w:rsid w:val="00E232C0"/>
    <w:rsid w:val="00E235FA"/>
    <w:rsid w:val="00E23729"/>
    <w:rsid w:val="00E23F95"/>
    <w:rsid w:val="00E24187"/>
    <w:rsid w:val="00E2435F"/>
    <w:rsid w:val="00E24BEF"/>
    <w:rsid w:val="00E25332"/>
    <w:rsid w:val="00E25937"/>
    <w:rsid w:val="00E2619C"/>
    <w:rsid w:val="00E261F7"/>
    <w:rsid w:val="00E26523"/>
    <w:rsid w:val="00E26F93"/>
    <w:rsid w:val="00E27506"/>
    <w:rsid w:val="00E276AD"/>
    <w:rsid w:val="00E27E7B"/>
    <w:rsid w:val="00E31CC7"/>
    <w:rsid w:val="00E32DD3"/>
    <w:rsid w:val="00E335F5"/>
    <w:rsid w:val="00E33672"/>
    <w:rsid w:val="00E3371A"/>
    <w:rsid w:val="00E340F5"/>
    <w:rsid w:val="00E35490"/>
    <w:rsid w:val="00E3636C"/>
    <w:rsid w:val="00E36B14"/>
    <w:rsid w:val="00E36EF6"/>
    <w:rsid w:val="00E37DF0"/>
    <w:rsid w:val="00E37F7F"/>
    <w:rsid w:val="00E4017E"/>
    <w:rsid w:val="00E4098A"/>
    <w:rsid w:val="00E40C9C"/>
    <w:rsid w:val="00E41C82"/>
    <w:rsid w:val="00E41E26"/>
    <w:rsid w:val="00E42DCF"/>
    <w:rsid w:val="00E436D6"/>
    <w:rsid w:val="00E4388E"/>
    <w:rsid w:val="00E44061"/>
    <w:rsid w:val="00E4424B"/>
    <w:rsid w:val="00E44B9C"/>
    <w:rsid w:val="00E451D0"/>
    <w:rsid w:val="00E45606"/>
    <w:rsid w:val="00E45685"/>
    <w:rsid w:val="00E45C5A"/>
    <w:rsid w:val="00E45EFD"/>
    <w:rsid w:val="00E506E7"/>
    <w:rsid w:val="00E510C6"/>
    <w:rsid w:val="00E51B7C"/>
    <w:rsid w:val="00E525B8"/>
    <w:rsid w:val="00E52B4C"/>
    <w:rsid w:val="00E541F4"/>
    <w:rsid w:val="00E54446"/>
    <w:rsid w:val="00E55394"/>
    <w:rsid w:val="00E55599"/>
    <w:rsid w:val="00E5599E"/>
    <w:rsid w:val="00E55F0E"/>
    <w:rsid w:val="00E55FAD"/>
    <w:rsid w:val="00E57276"/>
    <w:rsid w:val="00E6013A"/>
    <w:rsid w:val="00E60716"/>
    <w:rsid w:val="00E610AB"/>
    <w:rsid w:val="00E612EA"/>
    <w:rsid w:val="00E61700"/>
    <w:rsid w:val="00E61E38"/>
    <w:rsid w:val="00E61FB7"/>
    <w:rsid w:val="00E624B0"/>
    <w:rsid w:val="00E626AA"/>
    <w:rsid w:val="00E63004"/>
    <w:rsid w:val="00E631E7"/>
    <w:rsid w:val="00E6343F"/>
    <w:rsid w:val="00E634C8"/>
    <w:rsid w:val="00E634CC"/>
    <w:rsid w:val="00E6369E"/>
    <w:rsid w:val="00E6432A"/>
    <w:rsid w:val="00E64A99"/>
    <w:rsid w:val="00E64CA4"/>
    <w:rsid w:val="00E651F9"/>
    <w:rsid w:val="00E65740"/>
    <w:rsid w:val="00E65EBC"/>
    <w:rsid w:val="00E66053"/>
    <w:rsid w:val="00E6751E"/>
    <w:rsid w:val="00E67652"/>
    <w:rsid w:val="00E679AE"/>
    <w:rsid w:val="00E67A1A"/>
    <w:rsid w:val="00E714FE"/>
    <w:rsid w:val="00E71928"/>
    <w:rsid w:val="00E71DE3"/>
    <w:rsid w:val="00E71E01"/>
    <w:rsid w:val="00E72A4D"/>
    <w:rsid w:val="00E72B4F"/>
    <w:rsid w:val="00E73994"/>
    <w:rsid w:val="00E74C59"/>
    <w:rsid w:val="00E75A96"/>
    <w:rsid w:val="00E75E30"/>
    <w:rsid w:val="00E76346"/>
    <w:rsid w:val="00E80170"/>
    <w:rsid w:val="00E8093B"/>
    <w:rsid w:val="00E809EE"/>
    <w:rsid w:val="00E80F68"/>
    <w:rsid w:val="00E814FB"/>
    <w:rsid w:val="00E81B56"/>
    <w:rsid w:val="00E81D22"/>
    <w:rsid w:val="00E82026"/>
    <w:rsid w:val="00E82DCD"/>
    <w:rsid w:val="00E831B2"/>
    <w:rsid w:val="00E83374"/>
    <w:rsid w:val="00E839EB"/>
    <w:rsid w:val="00E844B0"/>
    <w:rsid w:val="00E84735"/>
    <w:rsid w:val="00E84A6B"/>
    <w:rsid w:val="00E84D63"/>
    <w:rsid w:val="00E85913"/>
    <w:rsid w:val="00E868C5"/>
    <w:rsid w:val="00E90220"/>
    <w:rsid w:val="00E902C6"/>
    <w:rsid w:val="00E90CE4"/>
    <w:rsid w:val="00E92234"/>
    <w:rsid w:val="00E92466"/>
    <w:rsid w:val="00E927A1"/>
    <w:rsid w:val="00E927DF"/>
    <w:rsid w:val="00E92CB9"/>
    <w:rsid w:val="00E92D64"/>
    <w:rsid w:val="00E92F9A"/>
    <w:rsid w:val="00E94696"/>
    <w:rsid w:val="00E94ED0"/>
    <w:rsid w:val="00E9545F"/>
    <w:rsid w:val="00E95A68"/>
    <w:rsid w:val="00E95B22"/>
    <w:rsid w:val="00E95BA2"/>
    <w:rsid w:val="00E95D67"/>
    <w:rsid w:val="00E95ECA"/>
    <w:rsid w:val="00E95FCE"/>
    <w:rsid w:val="00E963E1"/>
    <w:rsid w:val="00E96515"/>
    <w:rsid w:val="00E969DB"/>
    <w:rsid w:val="00E96C74"/>
    <w:rsid w:val="00E96E64"/>
    <w:rsid w:val="00E96FC5"/>
    <w:rsid w:val="00E97E5E"/>
    <w:rsid w:val="00EA077E"/>
    <w:rsid w:val="00EA0B29"/>
    <w:rsid w:val="00EA1521"/>
    <w:rsid w:val="00EA175F"/>
    <w:rsid w:val="00EA188A"/>
    <w:rsid w:val="00EA2150"/>
    <w:rsid w:val="00EA2B93"/>
    <w:rsid w:val="00EA2C8A"/>
    <w:rsid w:val="00EA2F55"/>
    <w:rsid w:val="00EA34E6"/>
    <w:rsid w:val="00EA3F0A"/>
    <w:rsid w:val="00EA408E"/>
    <w:rsid w:val="00EA492B"/>
    <w:rsid w:val="00EA4E19"/>
    <w:rsid w:val="00EA5EDC"/>
    <w:rsid w:val="00EA6336"/>
    <w:rsid w:val="00EA68E4"/>
    <w:rsid w:val="00EA7E1E"/>
    <w:rsid w:val="00EB055C"/>
    <w:rsid w:val="00EB1425"/>
    <w:rsid w:val="00EB1D0E"/>
    <w:rsid w:val="00EB3382"/>
    <w:rsid w:val="00EB33C5"/>
    <w:rsid w:val="00EB373E"/>
    <w:rsid w:val="00EB3821"/>
    <w:rsid w:val="00EB39F9"/>
    <w:rsid w:val="00EB3C18"/>
    <w:rsid w:val="00EB3F85"/>
    <w:rsid w:val="00EB4AA2"/>
    <w:rsid w:val="00EB4F79"/>
    <w:rsid w:val="00EB5616"/>
    <w:rsid w:val="00EB586D"/>
    <w:rsid w:val="00EB6485"/>
    <w:rsid w:val="00EB648D"/>
    <w:rsid w:val="00EB67BD"/>
    <w:rsid w:val="00EB6BB6"/>
    <w:rsid w:val="00EB6C62"/>
    <w:rsid w:val="00EB70C2"/>
    <w:rsid w:val="00EC020D"/>
    <w:rsid w:val="00EC10F8"/>
    <w:rsid w:val="00EC1F10"/>
    <w:rsid w:val="00EC227E"/>
    <w:rsid w:val="00EC3C37"/>
    <w:rsid w:val="00EC400C"/>
    <w:rsid w:val="00EC439A"/>
    <w:rsid w:val="00EC449B"/>
    <w:rsid w:val="00EC45F6"/>
    <w:rsid w:val="00EC4B4D"/>
    <w:rsid w:val="00EC5844"/>
    <w:rsid w:val="00EC5930"/>
    <w:rsid w:val="00EC66A9"/>
    <w:rsid w:val="00EC69B0"/>
    <w:rsid w:val="00EC6CCC"/>
    <w:rsid w:val="00EC74BE"/>
    <w:rsid w:val="00ED03ED"/>
    <w:rsid w:val="00ED09D4"/>
    <w:rsid w:val="00ED1988"/>
    <w:rsid w:val="00ED1F79"/>
    <w:rsid w:val="00ED236E"/>
    <w:rsid w:val="00ED26D0"/>
    <w:rsid w:val="00ED2ECB"/>
    <w:rsid w:val="00ED2EDE"/>
    <w:rsid w:val="00ED367C"/>
    <w:rsid w:val="00ED36A8"/>
    <w:rsid w:val="00ED3C05"/>
    <w:rsid w:val="00ED451A"/>
    <w:rsid w:val="00ED4602"/>
    <w:rsid w:val="00ED554B"/>
    <w:rsid w:val="00ED5D32"/>
    <w:rsid w:val="00ED6059"/>
    <w:rsid w:val="00ED72CB"/>
    <w:rsid w:val="00ED7314"/>
    <w:rsid w:val="00ED75F1"/>
    <w:rsid w:val="00ED7A4C"/>
    <w:rsid w:val="00ED7F17"/>
    <w:rsid w:val="00EE053D"/>
    <w:rsid w:val="00EE0EA8"/>
    <w:rsid w:val="00EE2570"/>
    <w:rsid w:val="00EE2651"/>
    <w:rsid w:val="00EE2C0B"/>
    <w:rsid w:val="00EE2D31"/>
    <w:rsid w:val="00EE34F3"/>
    <w:rsid w:val="00EE3B38"/>
    <w:rsid w:val="00EE41D2"/>
    <w:rsid w:val="00EE43B9"/>
    <w:rsid w:val="00EE441C"/>
    <w:rsid w:val="00EE4AEC"/>
    <w:rsid w:val="00EE510D"/>
    <w:rsid w:val="00EE5505"/>
    <w:rsid w:val="00EE5825"/>
    <w:rsid w:val="00EE5A7B"/>
    <w:rsid w:val="00EE5FAB"/>
    <w:rsid w:val="00EE6BC8"/>
    <w:rsid w:val="00EE6E22"/>
    <w:rsid w:val="00EE7661"/>
    <w:rsid w:val="00EE7C41"/>
    <w:rsid w:val="00EF041F"/>
    <w:rsid w:val="00EF05BA"/>
    <w:rsid w:val="00EF0CF2"/>
    <w:rsid w:val="00EF14CD"/>
    <w:rsid w:val="00EF17D5"/>
    <w:rsid w:val="00EF1AF5"/>
    <w:rsid w:val="00EF1B15"/>
    <w:rsid w:val="00EF23EB"/>
    <w:rsid w:val="00EF39DC"/>
    <w:rsid w:val="00EF3D89"/>
    <w:rsid w:val="00EF3E1E"/>
    <w:rsid w:val="00EF408C"/>
    <w:rsid w:val="00EF49C1"/>
    <w:rsid w:val="00EF4B30"/>
    <w:rsid w:val="00EF4E91"/>
    <w:rsid w:val="00EF5586"/>
    <w:rsid w:val="00EF5A41"/>
    <w:rsid w:val="00EF5D3E"/>
    <w:rsid w:val="00EF5D7F"/>
    <w:rsid w:val="00EF6750"/>
    <w:rsid w:val="00EF7165"/>
    <w:rsid w:val="00EF7A72"/>
    <w:rsid w:val="00F005A5"/>
    <w:rsid w:val="00F00BF7"/>
    <w:rsid w:val="00F0153A"/>
    <w:rsid w:val="00F019AA"/>
    <w:rsid w:val="00F01CD4"/>
    <w:rsid w:val="00F02056"/>
    <w:rsid w:val="00F02D22"/>
    <w:rsid w:val="00F0388D"/>
    <w:rsid w:val="00F04523"/>
    <w:rsid w:val="00F04805"/>
    <w:rsid w:val="00F04987"/>
    <w:rsid w:val="00F0530D"/>
    <w:rsid w:val="00F05980"/>
    <w:rsid w:val="00F05DAB"/>
    <w:rsid w:val="00F05F82"/>
    <w:rsid w:val="00F0647B"/>
    <w:rsid w:val="00F06640"/>
    <w:rsid w:val="00F06BEC"/>
    <w:rsid w:val="00F06ED9"/>
    <w:rsid w:val="00F06F50"/>
    <w:rsid w:val="00F0738E"/>
    <w:rsid w:val="00F0746C"/>
    <w:rsid w:val="00F07681"/>
    <w:rsid w:val="00F07AAB"/>
    <w:rsid w:val="00F07C32"/>
    <w:rsid w:val="00F07D3A"/>
    <w:rsid w:val="00F10501"/>
    <w:rsid w:val="00F11369"/>
    <w:rsid w:val="00F1175A"/>
    <w:rsid w:val="00F1204B"/>
    <w:rsid w:val="00F12194"/>
    <w:rsid w:val="00F12490"/>
    <w:rsid w:val="00F12917"/>
    <w:rsid w:val="00F13D4D"/>
    <w:rsid w:val="00F14163"/>
    <w:rsid w:val="00F15087"/>
    <w:rsid w:val="00F150A9"/>
    <w:rsid w:val="00F150DA"/>
    <w:rsid w:val="00F150DD"/>
    <w:rsid w:val="00F151A4"/>
    <w:rsid w:val="00F161B7"/>
    <w:rsid w:val="00F16615"/>
    <w:rsid w:val="00F16847"/>
    <w:rsid w:val="00F16986"/>
    <w:rsid w:val="00F16D59"/>
    <w:rsid w:val="00F17044"/>
    <w:rsid w:val="00F17285"/>
    <w:rsid w:val="00F17368"/>
    <w:rsid w:val="00F20405"/>
    <w:rsid w:val="00F20B84"/>
    <w:rsid w:val="00F2192E"/>
    <w:rsid w:val="00F21B57"/>
    <w:rsid w:val="00F21E0D"/>
    <w:rsid w:val="00F23228"/>
    <w:rsid w:val="00F23611"/>
    <w:rsid w:val="00F236FD"/>
    <w:rsid w:val="00F2396F"/>
    <w:rsid w:val="00F23DA2"/>
    <w:rsid w:val="00F242AC"/>
    <w:rsid w:val="00F244AC"/>
    <w:rsid w:val="00F24D8E"/>
    <w:rsid w:val="00F25A4D"/>
    <w:rsid w:val="00F25D3C"/>
    <w:rsid w:val="00F25D73"/>
    <w:rsid w:val="00F263AF"/>
    <w:rsid w:val="00F26AD5"/>
    <w:rsid w:val="00F26D06"/>
    <w:rsid w:val="00F27613"/>
    <w:rsid w:val="00F2789C"/>
    <w:rsid w:val="00F27B63"/>
    <w:rsid w:val="00F303A5"/>
    <w:rsid w:val="00F30CF7"/>
    <w:rsid w:val="00F313BC"/>
    <w:rsid w:val="00F31A22"/>
    <w:rsid w:val="00F31BF4"/>
    <w:rsid w:val="00F31FD5"/>
    <w:rsid w:val="00F32A86"/>
    <w:rsid w:val="00F32E21"/>
    <w:rsid w:val="00F334DB"/>
    <w:rsid w:val="00F335AF"/>
    <w:rsid w:val="00F337E5"/>
    <w:rsid w:val="00F3385B"/>
    <w:rsid w:val="00F3408A"/>
    <w:rsid w:val="00F34D0E"/>
    <w:rsid w:val="00F36966"/>
    <w:rsid w:val="00F37387"/>
    <w:rsid w:val="00F37B69"/>
    <w:rsid w:val="00F403C4"/>
    <w:rsid w:val="00F41638"/>
    <w:rsid w:val="00F423E2"/>
    <w:rsid w:val="00F427E9"/>
    <w:rsid w:val="00F43225"/>
    <w:rsid w:val="00F43D9C"/>
    <w:rsid w:val="00F4489B"/>
    <w:rsid w:val="00F44C05"/>
    <w:rsid w:val="00F45158"/>
    <w:rsid w:val="00F45C4F"/>
    <w:rsid w:val="00F466B8"/>
    <w:rsid w:val="00F46998"/>
    <w:rsid w:val="00F469BA"/>
    <w:rsid w:val="00F46AFE"/>
    <w:rsid w:val="00F46F5A"/>
    <w:rsid w:val="00F47AAC"/>
    <w:rsid w:val="00F47BCD"/>
    <w:rsid w:val="00F47E14"/>
    <w:rsid w:val="00F47EEE"/>
    <w:rsid w:val="00F500AE"/>
    <w:rsid w:val="00F5048E"/>
    <w:rsid w:val="00F51468"/>
    <w:rsid w:val="00F51635"/>
    <w:rsid w:val="00F51A78"/>
    <w:rsid w:val="00F52393"/>
    <w:rsid w:val="00F5269B"/>
    <w:rsid w:val="00F528F5"/>
    <w:rsid w:val="00F52E09"/>
    <w:rsid w:val="00F532DB"/>
    <w:rsid w:val="00F53574"/>
    <w:rsid w:val="00F5360D"/>
    <w:rsid w:val="00F53E50"/>
    <w:rsid w:val="00F543BD"/>
    <w:rsid w:val="00F5447D"/>
    <w:rsid w:val="00F549DB"/>
    <w:rsid w:val="00F54E99"/>
    <w:rsid w:val="00F55874"/>
    <w:rsid w:val="00F55F4F"/>
    <w:rsid w:val="00F56264"/>
    <w:rsid w:val="00F56625"/>
    <w:rsid w:val="00F56A02"/>
    <w:rsid w:val="00F56BF1"/>
    <w:rsid w:val="00F56E54"/>
    <w:rsid w:val="00F57912"/>
    <w:rsid w:val="00F61701"/>
    <w:rsid w:val="00F61799"/>
    <w:rsid w:val="00F617FE"/>
    <w:rsid w:val="00F619AD"/>
    <w:rsid w:val="00F61E4A"/>
    <w:rsid w:val="00F63F7F"/>
    <w:rsid w:val="00F640D7"/>
    <w:rsid w:val="00F643BB"/>
    <w:rsid w:val="00F646B6"/>
    <w:rsid w:val="00F65153"/>
    <w:rsid w:val="00F6519D"/>
    <w:rsid w:val="00F651BA"/>
    <w:rsid w:val="00F6681D"/>
    <w:rsid w:val="00F669E2"/>
    <w:rsid w:val="00F675A4"/>
    <w:rsid w:val="00F67C0E"/>
    <w:rsid w:val="00F701B9"/>
    <w:rsid w:val="00F70243"/>
    <w:rsid w:val="00F70A48"/>
    <w:rsid w:val="00F70B49"/>
    <w:rsid w:val="00F70C90"/>
    <w:rsid w:val="00F70CBB"/>
    <w:rsid w:val="00F71048"/>
    <w:rsid w:val="00F71094"/>
    <w:rsid w:val="00F71627"/>
    <w:rsid w:val="00F71B85"/>
    <w:rsid w:val="00F71EA1"/>
    <w:rsid w:val="00F72569"/>
    <w:rsid w:val="00F72F92"/>
    <w:rsid w:val="00F7368A"/>
    <w:rsid w:val="00F73E08"/>
    <w:rsid w:val="00F74343"/>
    <w:rsid w:val="00F74B32"/>
    <w:rsid w:val="00F74F91"/>
    <w:rsid w:val="00F7511B"/>
    <w:rsid w:val="00F752F6"/>
    <w:rsid w:val="00F753D3"/>
    <w:rsid w:val="00F75C1B"/>
    <w:rsid w:val="00F75F3B"/>
    <w:rsid w:val="00F76409"/>
    <w:rsid w:val="00F7717F"/>
    <w:rsid w:val="00F77B80"/>
    <w:rsid w:val="00F81154"/>
    <w:rsid w:val="00F81481"/>
    <w:rsid w:val="00F814FD"/>
    <w:rsid w:val="00F81DAE"/>
    <w:rsid w:val="00F81DBB"/>
    <w:rsid w:val="00F82659"/>
    <w:rsid w:val="00F834B0"/>
    <w:rsid w:val="00F839FB"/>
    <w:rsid w:val="00F84741"/>
    <w:rsid w:val="00F8495E"/>
    <w:rsid w:val="00F849C9"/>
    <w:rsid w:val="00F84B56"/>
    <w:rsid w:val="00F84DB9"/>
    <w:rsid w:val="00F86655"/>
    <w:rsid w:val="00F869BF"/>
    <w:rsid w:val="00F87220"/>
    <w:rsid w:val="00F8752E"/>
    <w:rsid w:val="00F87857"/>
    <w:rsid w:val="00F905D4"/>
    <w:rsid w:val="00F9062A"/>
    <w:rsid w:val="00F90BEA"/>
    <w:rsid w:val="00F90E33"/>
    <w:rsid w:val="00F9152C"/>
    <w:rsid w:val="00F91962"/>
    <w:rsid w:val="00F91C05"/>
    <w:rsid w:val="00F92C7A"/>
    <w:rsid w:val="00F92F4A"/>
    <w:rsid w:val="00F93BD6"/>
    <w:rsid w:val="00F93E81"/>
    <w:rsid w:val="00F9431D"/>
    <w:rsid w:val="00F94C05"/>
    <w:rsid w:val="00F94D66"/>
    <w:rsid w:val="00F952EC"/>
    <w:rsid w:val="00F9592A"/>
    <w:rsid w:val="00F95BD6"/>
    <w:rsid w:val="00F95D8E"/>
    <w:rsid w:val="00F95F3F"/>
    <w:rsid w:val="00F963AE"/>
    <w:rsid w:val="00F967C8"/>
    <w:rsid w:val="00F96D87"/>
    <w:rsid w:val="00F976BD"/>
    <w:rsid w:val="00F97886"/>
    <w:rsid w:val="00F97C78"/>
    <w:rsid w:val="00F97D55"/>
    <w:rsid w:val="00FA00F7"/>
    <w:rsid w:val="00FA05C1"/>
    <w:rsid w:val="00FA0831"/>
    <w:rsid w:val="00FA1DB2"/>
    <w:rsid w:val="00FA1E6B"/>
    <w:rsid w:val="00FA2A48"/>
    <w:rsid w:val="00FA2B3D"/>
    <w:rsid w:val="00FA4A71"/>
    <w:rsid w:val="00FA4A91"/>
    <w:rsid w:val="00FA4DE1"/>
    <w:rsid w:val="00FA6307"/>
    <w:rsid w:val="00FA6878"/>
    <w:rsid w:val="00FA6A04"/>
    <w:rsid w:val="00FA6A72"/>
    <w:rsid w:val="00FA6F78"/>
    <w:rsid w:val="00FA7747"/>
    <w:rsid w:val="00FA7F9F"/>
    <w:rsid w:val="00FB00C4"/>
    <w:rsid w:val="00FB0FB4"/>
    <w:rsid w:val="00FB176D"/>
    <w:rsid w:val="00FB1B12"/>
    <w:rsid w:val="00FB20FB"/>
    <w:rsid w:val="00FB3137"/>
    <w:rsid w:val="00FB327D"/>
    <w:rsid w:val="00FB336A"/>
    <w:rsid w:val="00FB39FE"/>
    <w:rsid w:val="00FB410A"/>
    <w:rsid w:val="00FB4AC7"/>
    <w:rsid w:val="00FB4B52"/>
    <w:rsid w:val="00FB4C28"/>
    <w:rsid w:val="00FB53C0"/>
    <w:rsid w:val="00FB553B"/>
    <w:rsid w:val="00FB57B8"/>
    <w:rsid w:val="00FB58D5"/>
    <w:rsid w:val="00FB5B75"/>
    <w:rsid w:val="00FB5D51"/>
    <w:rsid w:val="00FB6245"/>
    <w:rsid w:val="00FB6307"/>
    <w:rsid w:val="00FB63A8"/>
    <w:rsid w:val="00FB63F8"/>
    <w:rsid w:val="00FB6955"/>
    <w:rsid w:val="00FB6BB9"/>
    <w:rsid w:val="00FB6E62"/>
    <w:rsid w:val="00FB6F51"/>
    <w:rsid w:val="00FB70D0"/>
    <w:rsid w:val="00FB7211"/>
    <w:rsid w:val="00FC069A"/>
    <w:rsid w:val="00FC0A80"/>
    <w:rsid w:val="00FC0D69"/>
    <w:rsid w:val="00FC14E9"/>
    <w:rsid w:val="00FC1D73"/>
    <w:rsid w:val="00FC2172"/>
    <w:rsid w:val="00FC2BCD"/>
    <w:rsid w:val="00FC2D09"/>
    <w:rsid w:val="00FC2E6F"/>
    <w:rsid w:val="00FC3347"/>
    <w:rsid w:val="00FC34C0"/>
    <w:rsid w:val="00FC48A4"/>
    <w:rsid w:val="00FC50FE"/>
    <w:rsid w:val="00FC59B6"/>
    <w:rsid w:val="00FC5BEF"/>
    <w:rsid w:val="00FC6244"/>
    <w:rsid w:val="00FC6378"/>
    <w:rsid w:val="00FC6684"/>
    <w:rsid w:val="00FC74D8"/>
    <w:rsid w:val="00FC7958"/>
    <w:rsid w:val="00FC7C50"/>
    <w:rsid w:val="00FC7FD4"/>
    <w:rsid w:val="00FD0A20"/>
    <w:rsid w:val="00FD14FD"/>
    <w:rsid w:val="00FD236A"/>
    <w:rsid w:val="00FD243A"/>
    <w:rsid w:val="00FD33FF"/>
    <w:rsid w:val="00FD3622"/>
    <w:rsid w:val="00FD373D"/>
    <w:rsid w:val="00FD3A0B"/>
    <w:rsid w:val="00FD3D56"/>
    <w:rsid w:val="00FD4936"/>
    <w:rsid w:val="00FD598D"/>
    <w:rsid w:val="00FD5B81"/>
    <w:rsid w:val="00FD65BE"/>
    <w:rsid w:val="00FD73F3"/>
    <w:rsid w:val="00FE0435"/>
    <w:rsid w:val="00FE09C8"/>
    <w:rsid w:val="00FE0CA9"/>
    <w:rsid w:val="00FE0FB4"/>
    <w:rsid w:val="00FE142C"/>
    <w:rsid w:val="00FE1EB5"/>
    <w:rsid w:val="00FE3004"/>
    <w:rsid w:val="00FE3273"/>
    <w:rsid w:val="00FE3AB9"/>
    <w:rsid w:val="00FE47D3"/>
    <w:rsid w:val="00FE49A3"/>
    <w:rsid w:val="00FE4FA0"/>
    <w:rsid w:val="00FE523A"/>
    <w:rsid w:val="00FE53B3"/>
    <w:rsid w:val="00FE6634"/>
    <w:rsid w:val="00FE6D68"/>
    <w:rsid w:val="00FE73EE"/>
    <w:rsid w:val="00FE7D8E"/>
    <w:rsid w:val="00FF0921"/>
    <w:rsid w:val="00FF09B0"/>
    <w:rsid w:val="00FF0B0A"/>
    <w:rsid w:val="00FF0B66"/>
    <w:rsid w:val="00FF14BA"/>
    <w:rsid w:val="00FF1814"/>
    <w:rsid w:val="00FF21B8"/>
    <w:rsid w:val="00FF27A2"/>
    <w:rsid w:val="00FF2BC4"/>
    <w:rsid w:val="00FF3658"/>
    <w:rsid w:val="00FF39E1"/>
    <w:rsid w:val="00FF3BC8"/>
    <w:rsid w:val="00FF50ED"/>
    <w:rsid w:val="00FF56E6"/>
    <w:rsid w:val="00FF5C6C"/>
    <w:rsid w:val="00FF7E7E"/>
    <w:rsid w:val="00FF7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915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8"/>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8"/>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8"/>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rsid w:val="009B5DA3"/>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rsid w:val="009B5DA3"/>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iCs/>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uiPriority w:val="99"/>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bidi="hi-IN"/>
    </w:rPr>
  </w:style>
  <w:style w:type="character" w:customStyle="1" w:styleId="BodyText2Char">
    <w:name w:val="Body Text 2 Char"/>
    <w:basedOn w:val="DefaultParagraphFont"/>
    <w:link w:val="BodyText2"/>
    <w:rsid w:val="0008110B"/>
    <w:rPr>
      <w:rFonts w:ascii="Calibri" w:hAnsi="Calibri" w:cs="Mangal"/>
      <w:sz w:val="24"/>
      <w:szCs w:val="24"/>
      <w:lang w:val="en-GB"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bidi="hi-IN"/>
    </w:rPr>
  </w:style>
  <w:style w:type="character" w:customStyle="1" w:styleId="TitleChar">
    <w:name w:val="Title Char"/>
    <w:basedOn w:val="DefaultParagraphFont"/>
    <w:link w:val="Title"/>
    <w:rsid w:val="0008110B"/>
    <w:rPr>
      <w:rFonts w:ascii="Cambria" w:hAnsi="Cambria" w:cs="Mangal"/>
      <w:b/>
      <w:bCs/>
      <w:kern w:val="28"/>
      <w:sz w:val="32"/>
      <w:szCs w:val="32"/>
      <w:lang w:val="en-GB"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ind w:left="360" w:hanging="360"/>
    </w:pPr>
    <w:rPr>
      <w:b/>
    </w:rPr>
  </w:style>
  <w:style w:type="character" w:customStyle="1" w:styleId="TariffScheduleListChar">
    <w:name w:val="Tariff Schedule List Char"/>
    <w:basedOn w:val="ListParagraphChar"/>
    <w:link w:val="TariffScheduleList"/>
    <w:rsid w:val="00A83AAB"/>
    <w:rPr>
      <w:b/>
    </w:rPr>
  </w:style>
  <w:style w:type="paragraph" w:customStyle="1" w:styleId="TariffRateSchedulelevel2">
    <w:name w:val="Tariff Rate Schedule level 2"/>
    <w:basedOn w:val="ListParagraph"/>
    <w:link w:val="TariffRateSchedulelevel2Char"/>
    <w:qFormat/>
    <w:rsid w:val="004B0DF2"/>
    <w:pPr>
      <w:ind w:left="576" w:hanging="576"/>
    </w:pPr>
  </w:style>
  <w:style w:type="character" w:customStyle="1" w:styleId="TariffRateSchedulelevel2Char">
    <w:name w:val="Tariff Rate Schedule level 2 Char"/>
    <w:basedOn w:val="ListParagraphChar"/>
    <w:link w:val="TariffRateSchedulelevel2"/>
    <w:rsid w:val="004B0DF2"/>
  </w:style>
  <w:style w:type="character" w:customStyle="1" w:styleId="Heading1Char1">
    <w:name w:val="Heading 1 Char1"/>
    <w:aliases w:val="Section Char1,HEADING 1 Char1,Section Heading Char1,MainHeader Char1,1 ghost Char1,g Char1,Main heading Char1,App1 Char1,1 Char1,h1 Char1,L1 Char1,Outline1 Char1,Chapter Heading Char1,Text Heading 18pt Char1,Full Page Heading 1 Char1"/>
    <w:basedOn w:val="DefaultParagraphFont"/>
    <w:rsid w:val="00222C32"/>
    <w:rPr>
      <w:rFonts w:asciiTheme="majorHAnsi" w:eastAsiaTheme="majorEastAsia" w:hAnsiTheme="majorHAnsi" w:cstheme="majorBidi"/>
      <w:b/>
      <w:bCs/>
      <w:color w:val="365F91" w:themeColor="accent1" w:themeShade="BF"/>
      <w:sz w:val="28"/>
      <w:szCs w:val="28"/>
      <w:lang w:val="en-GB"/>
    </w:rPr>
  </w:style>
  <w:style w:type="character" w:customStyle="1" w:styleId="Heading4Char1">
    <w:name w:val="Heading 4 Char1"/>
    <w:aliases w:val="( i ) Char1,o Char1"/>
    <w:basedOn w:val="DefaultParagraphFont"/>
    <w:semiHidden/>
    <w:rsid w:val="00222C32"/>
    <w:rPr>
      <w:rFonts w:asciiTheme="majorHAnsi" w:eastAsiaTheme="majorEastAsia" w:hAnsiTheme="majorHAnsi" w:cstheme="majorBidi"/>
      <w:b/>
      <w:bCs/>
      <w:i/>
      <w:iCs/>
      <w:color w:val="4F81BD" w:themeColor="accent1"/>
      <w:sz w:val="24"/>
      <w:szCs w:val="24"/>
      <w:lang w:val="en-GB"/>
    </w:rPr>
  </w:style>
  <w:style w:type="character" w:customStyle="1" w:styleId="BodyTextChar1">
    <w:name w:val="Body Text Char1"/>
    <w:aliases w:val="Body Char1"/>
    <w:basedOn w:val="DefaultParagraphFont"/>
    <w:rsid w:val="00222C32"/>
    <w:rPr>
      <w:rFonts w:ascii="Calibri" w:hAnsi="Calibri"/>
      <w:sz w:val="24"/>
      <w:szCs w:val="24"/>
      <w:lang w:val="en-GB"/>
    </w:rPr>
  </w:style>
  <w:style w:type="paragraph" w:customStyle="1" w:styleId="xl89">
    <w:name w:val="xl89"/>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lang w:val="en-IN" w:eastAsia="en-IN"/>
    </w:rPr>
  </w:style>
  <w:style w:type="paragraph" w:customStyle="1" w:styleId="xl90">
    <w:name w:val="xl90"/>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b/>
      <w:bCs/>
      <w:lang w:val="en-IN" w:eastAsia="en-IN"/>
    </w:rPr>
  </w:style>
  <w:style w:type="paragraph" w:customStyle="1" w:styleId="xl91">
    <w:name w:val="xl91"/>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left"/>
      <w:textAlignment w:val="center"/>
    </w:pPr>
    <w:rPr>
      <w:rFonts w:ascii="Times New Roman" w:hAnsi="Times New Roman"/>
      <w:b/>
      <w:bCs/>
      <w:lang w:val="en-IN" w:eastAsia="en-IN"/>
    </w:rPr>
  </w:style>
  <w:style w:type="paragraph" w:customStyle="1" w:styleId="xl92">
    <w:name w:val="xl92"/>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b/>
      <w:bCs/>
      <w:lang w:val="en-IN" w:eastAsia="en-IN"/>
    </w:rPr>
  </w:style>
  <w:style w:type="paragraph" w:customStyle="1" w:styleId="xl93">
    <w:name w:val="xl93"/>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4">
    <w:name w:val="xl94"/>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5">
    <w:name w:val="xl95"/>
    <w:basedOn w:val="Normal"/>
    <w:rsid w:val="00331B2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rFonts w:ascii="Times New Roman" w:hAnsi="Times New Roman"/>
      <w:i/>
      <w:iCs/>
      <w:lang w:val="en-IN" w:eastAsia="en-IN"/>
    </w:rPr>
  </w:style>
  <w:style w:type="paragraph" w:customStyle="1" w:styleId="xl96">
    <w:name w:val="xl96"/>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en-IN" w:eastAsia="en-IN"/>
    </w:rPr>
  </w:style>
  <w:style w:type="paragraph" w:customStyle="1" w:styleId="xl97">
    <w:name w:val="xl97"/>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49"/>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49"/>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49"/>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uiPriority w:val="99"/>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rFonts w:asciiTheme="minorHAnsi" w:hAnsiTheme="minorHAnsi" w:cstheme="minorHAnsi"/>
      <w:b w:val="0"/>
      <w:bCs w:val="0"/>
      <w:iCs/>
      <w:color w:val="000000"/>
      <w:sz w:val="24"/>
      <w:szCs w:val="24"/>
      <w:lang w:val="en-GB"/>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eastAsia="x-none" w:bidi="hi-IN"/>
    </w:rPr>
  </w:style>
  <w:style w:type="character" w:customStyle="1" w:styleId="BodyText2Char">
    <w:name w:val="Body Text 2 Char"/>
    <w:basedOn w:val="DefaultParagraphFont"/>
    <w:link w:val="BodyText2"/>
    <w:rsid w:val="0008110B"/>
    <w:rPr>
      <w:rFonts w:ascii="Calibri" w:hAnsi="Calibri" w:cs="Mangal"/>
      <w:sz w:val="24"/>
      <w:szCs w:val="24"/>
      <w:lang w:val="en-GB" w:eastAsia="x-none"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eastAsia="x-none" w:bidi="hi-IN"/>
    </w:rPr>
  </w:style>
  <w:style w:type="character" w:customStyle="1" w:styleId="TitleChar">
    <w:name w:val="Title Char"/>
    <w:basedOn w:val="DefaultParagraphFont"/>
    <w:link w:val="Title"/>
    <w:rsid w:val="0008110B"/>
    <w:rPr>
      <w:rFonts w:ascii="Cambria" w:hAnsi="Cambria" w:cs="Mangal"/>
      <w:b/>
      <w:bCs/>
      <w:kern w:val="28"/>
      <w:sz w:val="32"/>
      <w:szCs w:val="32"/>
      <w:lang w:val="en-GB" w:eastAsia="x-none"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numPr>
        <w:numId w:val="50"/>
      </w:numPr>
    </w:pPr>
    <w:rPr>
      <w:b/>
    </w:rPr>
  </w:style>
  <w:style w:type="paragraph" w:customStyle="1" w:styleId="TariffRateSchedulelevel2">
    <w:name w:val="Tariff Rate Schedule level 2"/>
    <w:basedOn w:val="ListParagraph"/>
    <w:link w:val="TariffRateSchedulelevel2Char"/>
    <w:qFormat/>
    <w:rsid w:val="004B0DF2"/>
    <w:pPr>
      <w:numPr>
        <w:ilvl w:val="1"/>
        <w:numId w:val="51"/>
      </w:numPr>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TariffScheduleListChar">
    <w:name w:val="Tariff Schedule List Char"/>
    <w:basedOn w:val="ListParagraphChar"/>
    <w:link w:val="TariffScheduleList"/>
    <w:rsid w:val="00A83AAB"/>
    <w:rPr>
      <w:rFonts w:ascii="Calibri" w:hAnsi="Calibri"/>
      <w:b/>
      <w:sz w:val="24"/>
      <w:szCs w:val="24"/>
      <w:lang w:val="en-GB"/>
    </w:rPr>
  </w:style>
  <w:style w:type="character" w:customStyle="1" w:styleId="TariffRateSchedulelevel2Char">
    <w:name w:val="Tariff Rate Schedule level 2 Char"/>
    <w:basedOn w:val="ListParagraphChar"/>
    <w:link w:val="TariffRateSchedulelevel2"/>
    <w:rsid w:val="004B0DF2"/>
    <w:rPr>
      <w:rFonts w:ascii="Calibri" w:hAnsi="Calibri"/>
      <w:sz w:val="24"/>
      <w:szCs w:val="24"/>
      <w:lang w:val="en-GB"/>
    </w:rPr>
  </w:style>
</w:styles>
</file>

<file path=word/webSettings.xml><?xml version="1.0" encoding="utf-8"?>
<w:webSettings xmlns:r="http://schemas.openxmlformats.org/officeDocument/2006/relationships" xmlns:w="http://schemas.openxmlformats.org/wordprocessingml/2006/main">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22634623">
      <w:bodyDiv w:val="1"/>
      <w:marLeft w:val="0"/>
      <w:marRight w:val="0"/>
      <w:marTop w:val="0"/>
      <w:marBottom w:val="0"/>
      <w:divBdr>
        <w:top w:val="none" w:sz="0" w:space="0" w:color="auto"/>
        <w:left w:val="none" w:sz="0" w:space="0" w:color="auto"/>
        <w:bottom w:val="none" w:sz="0" w:space="0" w:color="auto"/>
        <w:right w:val="none" w:sz="0" w:space="0" w:color="auto"/>
      </w:divBdr>
    </w:div>
    <w:div w:id="114907955">
      <w:bodyDiv w:val="1"/>
      <w:marLeft w:val="0"/>
      <w:marRight w:val="0"/>
      <w:marTop w:val="0"/>
      <w:marBottom w:val="0"/>
      <w:divBdr>
        <w:top w:val="none" w:sz="0" w:space="0" w:color="auto"/>
        <w:left w:val="none" w:sz="0" w:space="0" w:color="auto"/>
        <w:bottom w:val="none" w:sz="0" w:space="0" w:color="auto"/>
        <w:right w:val="none" w:sz="0" w:space="0" w:color="auto"/>
      </w:divBdr>
    </w:div>
    <w:div w:id="132527336">
      <w:bodyDiv w:val="1"/>
      <w:marLeft w:val="0"/>
      <w:marRight w:val="0"/>
      <w:marTop w:val="0"/>
      <w:marBottom w:val="0"/>
      <w:divBdr>
        <w:top w:val="none" w:sz="0" w:space="0" w:color="auto"/>
        <w:left w:val="none" w:sz="0" w:space="0" w:color="auto"/>
        <w:bottom w:val="none" w:sz="0" w:space="0" w:color="auto"/>
        <w:right w:val="none" w:sz="0" w:space="0" w:color="auto"/>
      </w:divBdr>
    </w:div>
    <w:div w:id="157233854">
      <w:bodyDiv w:val="1"/>
      <w:marLeft w:val="0"/>
      <w:marRight w:val="0"/>
      <w:marTop w:val="0"/>
      <w:marBottom w:val="0"/>
      <w:divBdr>
        <w:top w:val="none" w:sz="0" w:space="0" w:color="auto"/>
        <w:left w:val="none" w:sz="0" w:space="0" w:color="auto"/>
        <w:bottom w:val="none" w:sz="0" w:space="0" w:color="auto"/>
        <w:right w:val="none" w:sz="0" w:space="0" w:color="auto"/>
      </w:divBdr>
    </w:div>
    <w:div w:id="176777984">
      <w:bodyDiv w:val="1"/>
      <w:marLeft w:val="0"/>
      <w:marRight w:val="0"/>
      <w:marTop w:val="0"/>
      <w:marBottom w:val="0"/>
      <w:divBdr>
        <w:top w:val="none" w:sz="0" w:space="0" w:color="auto"/>
        <w:left w:val="none" w:sz="0" w:space="0" w:color="auto"/>
        <w:bottom w:val="none" w:sz="0" w:space="0" w:color="auto"/>
        <w:right w:val="none" w:sz="0" w:space="0" w:color="auto"/>
      </w:divBdr>
    </w:div>
    <w:div w:id="179904124">
      <w:bodyDiv w:val="1"/>
      <w:marLeft w:val="0"/>
      <w:marRight w:val="0"/>
      <w:marTop w:val="0"/>
      <w:marBottom w:val="0"/>
      <w:divBdr>
        <w:top w:val="none" w:sz="0" w:space="0" w:color="auto"/>
        <w:left w:val="none" w:sz="0" w:space="0" w:color="auto"/>
        <w:bottom w:val="none" w:sz="0" w:space="0" w:color="auto"/>
        <w:right w:val="none" w:sz="0" w:space="0" w:color="auto"/>
      </w:divBdr>
    </w:div>
    <w:div w:id="196891170">
      <w:bodyDiv w:val="1"/>
      <w:marLeft w:val="0"/>
      <w:marRight w:val="0"/>
      <w:marTop w:val="0"/>
      <w:marBottom w:val="0"/>
      <w:divBdr>
        <w:top w:val="none" w:sz="0" w:space="0" w:color="auto"/>
        <w:left w:val="none" w:sz="0" w:space="0" w:color="auto"/>
        <w:bottom w:val="none" w:sz="0" w:space="0" w:color="auto"/>
        <w:right w:val="none" w:sz="0" w:space="0" w:color="auto"/>
      </w:divBdr>
    </w:div>
    <w:div w:id="215315979">
      <w:bodyDiv w:val="1"/>
      <w:marLeft w:val="0"/>
      <w:marRight w:val="0"/>
      <w:marTop w:val="0"/>
      <w:marBottom w:val="0"/>
      <w:divBdr>
        <w:top w:val="none" w:sz="0" w:space="0" w:color="auto"/>
        <w:left w:val="none" w:sz="0" w:space="0" w:color="auto"/>
        <w:bottom w:val="none" w:sz="0" w:space="0" w:color="auto"/>
        <w:right w:val="none" w:sz="0" w:space="0" w:color="auto"/>
      </w:divBdr>
    </w:div>
    <w:div w:id="236792935">
      <w:bodyDiv w:val="1"/>
      <w:marLeft w:val="0"/>
      <w:marRight w:val="0"/>
      <w:marTop w:val="0"/>
      <w:marBottom w:val="0"/>
      <w:divBdr>
        <w:top w:val="none" w:sz="0" w:space="0" w:color="auto"/>
        <w:left w:val="none" w:sz="0" w:space="0" w:color="auto"/>
        <w:bottom w:val="none" w:sz="0" w:space="0" w:color="auto"/>
        <w:right w:val="none" w:sz="0" w:space="0" w:color="auto"/>
      </w:divBdr>
    </w:div>
    <w:div w:id="240263704">
      <w:bodyDiv w:val="1"/>
      <w:marLeft w:val="0"/>
      <w:marRight w:val="0"/>
      <w:marTop w:val="0"/>
      <w:marBottom w:val="0"/>
      <w:divBdr>
        <w:top w:val="none" w:sz="0" w:space="0" w:color="auto"/>
        <w:left w:val="none" w:sz="0" w:space="0" w:color="auto"/>
        <w:bottom w:val="none" w:sz="0" w:space="0" w:color="auto"/>
        <w:right w:val="none" w:sz="0" w:space="0" w:color="auto"/>
      </w:divBdr>
    </w:div>
    <w:div w:id="252904935">
      <w:bodyDiv w:val="1"/>
      <w:marLeft w:val="0"/>
      <w:marRight w:val="0"/>
      <w:marTop w:val="0"/>
      <w:marBottom w:val="0"/>
      <w:divBdr>
        <w:top w:val="none" w:sz="0" w:space="0" w:color="auto"/>
        <w:left w:val="none" w:sz="0" w:space="0" w:color="auto"/>
        <w:bottom w:val="none" w:sz="0" w:space="0" w:color="auto"/>
        <w:right w:val="none" w:sz="0" w:space="0" w:color="auto"/>
      </w:divBdr>
    </w:div>
    <w:div w:id="297103229">
      <w:bodyDiv w:val="1"/>
      <w:marLeft w:val="0"/>
      <w:marRight w:val="0"/>
      <w:marTop w:val="0"/>
      <w:marBottom w:val="0"/>
      <w:divBdr>
        <w:top w:val="none" w:sz="0" w:space="0" w:color="auto"/>
        <w:left w:val="none" w:sz="0" w:space="0" w:color="auto"/>
        <w:bottom w:val="none" w:sz="0" w:space="0" w:color="auto"/>
        <w:right w:val="none" w:sz="0" w:space="0" w:color="auto"/>
      </w:divBdr>
    </w:div>
    <w:div w:id="316498889">
      <w:bodyDiv w:val="1"/>
      <w:marLeft w:val="0"/>
      <w:marRight w:val="0"/>
      <w:marTop w:val="0"/>
      <w:marBottom w:val="0"/>
      <w:divBdr>
        <w:top w:val="none" w:sz="0" w:space="0" w:color="auto"/>
        <w:left w:val="none" w:sz="0" w:space="0" w:color="auto"/>
        <w:bottom w:val="none" w:sz="0" w:space="0" w:color="auto"/>
        <w:right w:val="none" w:sz="0" w:space="0" w:color="auto"/>
      </w:divBdr>
    </w:div>
    <w:div w:id="317348369">
      <w:bodyDiv w:val="1"/>
      <w:marLeft w:val="0"/>
      <w:marRight w:val="0"/>
      <w:marTop w:val="0"/>
      <w:marBottom w:val="0"/>
      <w:divBdr>
        <w:top w:val="none" w:sz="0" w:space="0" w:color="auto"/>
        <w:left w:val="none" w:sz="0" w:space="0" w:color="auto"/>
        <w:bottom w:val="none" w:sz="0" w:space="0" w:color="auto"/>
        <w:right w:val="none" w:sz="0" w:space="0" w:color="auto"/>
      </w:divBdr>
    </w:div>
    <w:div w:id="334842437">
      <w:bodyDiv w:val="1"/>
      <w:marLeft w:val="0"/>
      <w:marRight w:val="0"/>
      <w:marTop w:val="0"/>
      <w:marBottom w:val="0"/>
      <w:divBdr>
        <w:top w:val="none" w:sz="0" w:space="0" w:color="auto"/>
        <w:left w:val="none" w:sz="0" w:space="0" w:color="auto"/>
        <w:bottom w:val="none" w:sz="0" w:space="0" w:color="auto"/>
        <w:right w:val="none" w:sz="0" w:space="0" w:color="auto"/>
      </w:divBdr>
    </w:div>
    <w:div w:id="348456283">
      <w:bodyDiv w:val="1"/>
      <w:marLeft w:val="0"/>
      <w:marRight w:val="0"/>
      <w:marTop w:val="0"/>
      <w:marBottom w:val="0"/>
      <w:divBdr>
        <w:top w:val="none" w:sz="0" w:space="0" w:color="auto"/>
        <w:left w:val="none" w:sz="0" w:space="0" w:color="auto"/>
        <w:bottom w:val="none" w:sz="0" w:space="0" w:color="auto"/>
        <w:right w:val="none" w:sz="0" w:space="0" w:color="auto"/>
      </w:divBdr>
    </w:div>
    <w:div w:id="376664946">
      <w:bodyDiv w:val="1"/>
      <w:marLeft w:val="0"/>
      <w:marRight w:val="0"/>
      <w:marTop w:val="0"/>
      <w:marBottom w:val="0"/>
      <w:divBdr>
        <w:top w:val="none" w:sz="0" w:space="0" w:color="auto"/>
        <w:left w:val="none" w:sz="0" w:space="0" w:color="auto"/>
        <w:bottom w:val="none" w:sz="0" w:space="0" w:color="auto"/>
        <w:right w:val="none" w:sz="0" w:space="0" w:color="auto"/>
      </w:divBdr>
    </w:div>
    <w:div w:id="457723617">
      <w:bodyDiv w:val="1"/>
      <w:marLeft w:val="0"/>
      <w:marRight w:val="0"/>
      <w:marTop w:val="0"/>
      <w:marBottom w:val="0"/>
      <w:divBdr>
        <w:top w:val="none" w:sz="0" w:space="0" w:color="auto"/>
        <w:left w:val="none" w:sz="0" w:space="0" w:color="auto"/>
        <w:bottom w:val="none" w:sz="0" w:space="0" w:color="auto"/>
        <w:right w:val="none" w:sz="0" w:space="0" w:color="auto"/>
      </w:divBdr>
    </w:div>
    <w:div w:id="495344979">
      <w:bodyDiv w:val="1"/>
      <w:marLeft w:val="0"/>
      <w:marRight w:val="0"/>
      <w:marTop w:val="0"/>
      <w:marBottom w:val="0"/>
      <w:divBdr>
        <w:top w:val="none" w:sz="0" w:space="0" w:color="auto"/>
        <w:left w:val="none" w:sz="0" w:space="0" w:color="auto"/>
        <w:bottom w:val="none" w:sz="0" w:space="0" w:color="auto"/>
        <w:right w:val="none" w:sz="0" w:space="0" w:color="auto"/>
      </w:divBdr>
    </w:div>
    <w:div w:id="498925914">
      <w:bodyDiv w:val="1"/>
      <w:marLeft w:val="0"/>
      <w:marRight w:val="0"/>
      <w:marTop w:val="0"/>
      <w:marBottom w:val="0"/>
      <w:divBdr>
        <w:top w:val="none" w:sz="0" w:space="0" w:color="auto"/>
        <w:left w:val="none" w:sz="0" w:space="0" w:color="auto"/>
        <w:bottom w:val="none" w:sz="0" w:space="0" w:color="auto"/>
        <w:right w:val="none" w:sz="0" w:space="0" w:color="auto"/>
      </w:divBdr>
    </w:div>
    <w:div w:id="526872472">
      <w:bodyDiv w:val="1"/>
      <w:marLeft w:val="0"/>
      <w:marRight w:val="0"/>
      <w:marTop w:val="0"/>
      <w:marBottom w:val="0"/>
      <w:divBdr>
        <w:top w:val="none" w:sz="0" w:space="0" w:color="auto"/>
        <w:left w:val="none" w:sz="0" w:space="0" w:color="auto"/>
        <w:bottom w:val="none" w:sz="0" w:space="0" w:color="auto"/>
        <w:right w:val="none" w:sz="0" w:space="0" w:color="auto"/>
      </w:divBdr>
    </w:div>
    <w:div w:id="529493507">
      <w:bodyDiv w:val="1"/>
      <w:marLeft w:val="0"/>
      <w:marRight w:val="0"/>
      <w:marTop w:val="0"/>
      <w:marBottom w:val="0"/>
      <w:divBdr>
        <w:top w:val="none" w:sz="0" w:space="0" w:color="auto"/>
        <w:left w:val="none" w:sz="0" w:space="0" w:color="auto"/>
        <w:bottom w:val="none" w:sz="0" w:space="0" w:color="auto"/>
        <w:right w:val="none" w:sz="0" w:space="0" w:color="auto"/>
      </w:divBdr>
    </w:div>
    <w:div w:id="545602269">
      <w:bodyDiv w:val="1"/>
      <w:marLeft w:val="0"/>
      <w:marRight w:val="0"/>
      <w:marTop w:val="0"/>
      <w:marBottom w:val="0"/>
      <w:divBdr>
        <w:top w:val="none" w:sz="0" w:space="0" w:color="auto"/>
        <w:left w:val="none" w:sz="0" w:space="0" w:color="auto"/>
        <w:bottom w:val="none" w:sz="0" w:space="0" w:color="auto"/>
        <w:right w:val="none" w:sz="0" w:space="0" w:color="auto"/>
      </w:divBdr>
    </w:div>
    <w:div w:id="560941703">
      <w:bodyDiv w:val="1"/>
      <w:marLeft w:val="0"/>
      <w:marRight w:val="0"/>
      <w:marTop w:val="0"/>
      <w:marBottom w:val="0"/>
      <w:divBdr>
        <w:top w:val="none" w:sz="0" w:space="0" w:color="auto"/>
        <w:left w:val="none" w:sz="0" w:space="0" w:color="auto"/>
        <w:bottom w:val="none" w:sz="0" w:space="0" w:color="auto"/>
        <w:right w:val="none" w:sz="0" w:space="0" w:color="auto"/>
      </w:divBdr>
    </w:div>
    <w:div w:id="587157834">
      <w:bodyDiv w:val="1"/>
      <w:marLeft w:val="0"/>
      <w:marRight w:val="0"/>
      <w:marTop w:val="0"/>
      <w:marBottom w:val="0"/>
      <w:divBdr>
        <w:top w:val="none" w:sz="0" w:space="0" w:color="auto"/>
        <w:left w:val="none" w:sz="0" w:space="0" w:color="auto"/>
        <w:bottom w:val="none" w:sz="0" w:space="0" w:color="auto"/>
        <w:right w:val="none" w:sz="0" w:space="0" w:color="auto"/>
      </w:divBdr>
    </w:div>
    <w:div w:id="617107458">
      <w:bodyDiv w:val="1"/>
      <w:marLeft w:val="0"/>
      <w:marRight w:val="0"/>
      <w:marTop w:val="0"/>
      <w:marBottom w:val="0"/>
      <w:divBdr>
        <w:top w:val="none" w:sz="0" w:space="0" w:color="auto"/>
        <w:left w:val="none" w:sz="0" w:space="0" w:color="auto"/>
        <w:bottom w:val="none" w:sz="0" w:space="0" w:color="auto"/>
        <w:right w:val="none" w:sz="0" w:space="0" w:color="auto"/>
      </w:divBdr>
    </w:div>
    <w:div w:id="618536708">
      <w:bodyDiv w:val="1"/>
      <w:marLeft w:val="0"/>
      <w:marRight w:val="0"/>
      <w:marTop w:val="0"/>
      <w:marBottom w:val="0"/>
      <w:divBdr>
        <w:top w:val="none" w:sz="0" w:space="0" w:color="auto"/>
        <w:left w:val="none" w:sz="0" w:space="0" w:color="auto"/>
        <w:bottom w:val="none" w:sz="0" w:space="0" w:color="auto"/>
        <w:right w:val="none" w:sz="0" w:space="0" w:color="auto"/>
      </w:divBdr>
    </w:div>
    <w:div w:id="636879068">
      <w:bodyDiv w:val="1"/>
      <w:marLeft w:val="0"/>
      <w:marRight w:val="0"/>
      <w:marTop w:val="0"/>
      <w:marBottom w:val="0"/>
      <w:divBdr>
        <w:top w:val="none" w:sz="0" w:space="0" w:color="auto"/>
        <w:left w:val="none" w:sz="0" w:space="0" w:color="auto"/>
        <w:bottom w:val="none" w:sz="0" w:space="0" w:color="auto"/>
        <w:right w:val="none" w:sz="0" w:space="0" w:color="auto"/>
      </w:divBdr>
    </w:div>
    <w:div w:id="644510613">
      <w:bodyDiv w:val="1"/>
      <w:marLeft w:val="0"/>
      <w:marRight w:val="0"/>
      <w:marTop w:val="0"/>
      <w:marBottom w:val="0"/>
      <w:divBdr>
        <w:top w:val="none" w:sz="0" w:space="0" w:color="auto"/>
        <w:left w:val="none" w:sz="0" w:space="0" w:color="auto"/>
        <w:bottom w:val="none" w:sz="0" w:space="0" w:color="auto"/>
        <w:right w:val="none" w:sz="0" w:space="0" w:color="auto"/>
      </w:divBdr>
    </w:div>
    <w:div w:id="653992762">
      <w:bodyDiv w:val="1"/>
      <w:marLeft w:val="0"/>
      <w:marRight w:val="0"/>
      <w:marTop w:val="0"/>
      <w:marBottom w:val="0"/>
      <w:divBdr>
        <w:top w:val="none" w:sz="0" w:space="0" w:color="auto"/>
        <w:left w:val="none" w:sz="0" w:space="0" w:color="auto"/>
        <w:bottom w:val="none" w:sz="0" w:space="0" w:color="auto"/>
        <w:right w:val="none" w:sz="0" w:space="0" w:color="auto"/>
      </w:divBdr>
    </w:div>
    <w:div w:id="709383780">
      <w:bodyDiv w:val="1"/>
      <w:marLeft w:val="0"/>
      <w:marRight w:val="0"/>
      <w:marTop w:val="0"/>
      <w:marBottom w:val="0"/>
      <w:divBdr>
        <w:top w:val="none" w:sz="0" w:space="0" w:color="auto"/>
        <w:left w:val="none" w:sz="0" w:space="0" w:color="auto"/>
        <w:bottom w:val="none" w:sz="0" w:space="0" w:color="auto"/>
        <w:right w:val="none" w:sz="0" w:space="0" w:color="auto"/>
      </w:divBdr>
    </w:div>
    <w:div w:id="720517385">
      <w:bodyDiv w:val="1"/>
      <w:marLeft w:val="0"/>
      <w:marRight w:val="0"/>
      <w:marTop w:val="0"/>
      <w:marBottom w:val="0"/>
      <w:divBdr>
        <w:top w:val="none" w:sz="0" w:space="0" w:color="auto"/>
        <w:left w:val="none" w:sz="0" w:space="0" w:color="auto"/>
        <w:bottom w:val="none" w:sz="0" w:space="0" w:color="auto"/>
        <w:right w:val="none" w:sz="0" w:space="0" w:color="auto"/>
      </w:divBdr>
    </w:div>
    <w:div w:id="776097701">
      <w:bodyDiv w:val="1"/>
      <w:marLeft w:val="0"/>
      <w:marRight w:val="0"/>
      <w:marTop w:val="0"/>
      <w:marBottom w:val="0"/>
      <w:divBdr>
        <w:top w:val="none" w:sz="0" w:space="0" w:color="auto"/>
        <w:left w:val="none" w:sz="0" w:space="0" w:color="auto"/>
        <w:bottom w:val="none" w:sz="0" w:space="0" w:color="auto"/>
        <w:right w:val="none" w:sz="0" w:space="0" w:color="auto"/>
      </w:divBdr>
    </w:div>
    <w:div w:id="777287672">
      <w:bodyDiv w:val="1"/>
      <w:marLeft w:val="0"/>
      <w:marRight w:val="0"/>
      <w:marTop w:val="0"/>
      <w:marBottom w:val="0"/>
      <w:divBdr>
        <w:top w:val="none" w:sz="0" w:space="0" w:color="auto"/>
        <w:left w:val="none" w:sz="0" w:space="0" w:color="auto"/>
        <w:bottom w:val="none" w:sz="0" w:space="0" w:color="auto"/>
        <w:right w:val="none" w:sz="0" w:space="0" w:color="auto"/>
      </w:divBdr>
    </w:div>
    <w:div w:id="778529319">
      <w:bodyDiv w:val="1"/>
      <w:marLeft w:val="0"/>
      <w:marRight w:val="0"/>
      <w:marTop w:val="0"/>
      <w:marBottom w:val="0"/>
      <w:divBdr>
        <w:top w:val="none" w:sz="0" w:space="0" w:color="auto"/>
        <w:left w:val="none" w:sz="0" w:space="0" w:color="auto"/>
        <w:bottom w:val="none" w:sz="0" w:space="0" w:color="auto"/>
        <w:right w:val="none" w:sz="0" w:space="0" w:color="auto"/>
      </w:divBdr>
    </w:div>
    <w:div w:id="793057183">
      <w:bodyDiv w:val="1"/>
      <w:marLeft w:val="0"/>
      <w:marRight w:val="0"/>
      <w:marTop w:val="0"/>
      <w:marBottom w:val="0"/>
      <w:divBdr>
        <w:top w:val="none" w:sz="0" w:space="0" w:color="auto"/>
        <w:left w:val="none" w:sz="0" w:space="0" w:color="auto"/>
        <w:bottom w:val="none" w:sz="0" w:space="0" w:color="auto"/>
        <w:right w:val="none" w:sz="0" w:space="0" w:color="auto"/>
      </w:divBdr>
    </w:div>
    <w:div w:id="833572089">
      <w:bodyDiv w:val="1"/>
      <w:marLeft w:val="0"/>
      <w:marRight w:val="0"/>
      <w:marTop w:val="0"/>
      <w:marBottom w:val="0"/>
      <w:divBdr>
        <w:top w:val="none" w:sz="0" w:space="0" w:color="auto"/>
        <w:left w:val="none" w:sz="0" w:space="0" w:color="auto"/>
        <w:bottom w:val="none" w:sz="0" w:space="0" w:color="auto"/>
        <w:right w:val="none" w:sz="0" w:space="0" w:color="auto"/>
      </w:divBdr>
    </w:div>
    <w:div w:id="844828182">
      <w:bodyDiv w:val="1"/>
      <w:marLeft w:val="0"/>
      <w:marRight w:val="0"/>
      <w:marTop w:val="0"/>
      <w:marBottom w:val="0"/>
      <w:divBdr>
        <w:top w:val="none" w:sz="0" w:space="0" w:color="auto"/>
        <w:left w:val="none" w:sz="0" w:space="0" w:color="auto"/>
        <w:bottom w:val="none" w:sz="0" w:space="0" w:color="auto"/>
        <w:right w:val="none" w:sz="0" w:space="0" w:color="auto"/>
      </w:divBdr>
    </w:div>
    <w:div w:id="848711482">
      <w:bodyDiv w:val="1"/>
      <w:marLeft w:val="0"/>
      <w:marRight w:val="0"/>
      <w:marTop w:val="0"/>
      <w:marBottom w:val="0"/>
      <w:divBdr>
        <w:top w:val="none" w:sz="0" w:space="0" w:color="auto"/>
        <w:left w:val="none" w:sz="0" w:space="0" w:color="auto"/>
        <w:bottom w:val="none" w:sz="0" w:space="0" w:color="auto"/>
        <w:right w:val="none" w:sz="0" w:space="0" w:color="auto"/>
      </w:divBdr>
    </w:div>
    <w:div w:id="852378149">
      <w:bodyDiv w:val="1"/>
      <w:marLeft w:val="0"/>
      <w:marRight w:val="0"/>
      <w:marTop w:val="0"/>
      <w:marBottom w:val="0"/>
      <w:divBdr>
        <w:top w:val="none" w:sz="0" w:space="0" w:color="auto"/>
        <w:left w:val="none" w:sz="0" w:space="0" w:color="auto"/>
        <w:bottom w:val="none" w:sz="0" w:space="0" w:color="auto"/>
        <w:right w:val="none" w:sz="0" w:space="0" w:color="auto"/>
      </w:divBdr>
    </w:div>
    <w:div w:id="884757177">
      <w:bodyDiv w:val="1"/>
      <w:marLeft w:val="0"/>
      <w:marRight w:val="0"/>
      <w:marTop w:val="0"/>
      <w:marBottom w:val="0"/>
      <w:divBdr>
        <w:top w:val="none" w:sz="0" w:space="0" w:color="auto"/>
        <w:left w:val="none" w:sz="0" w:space="0" w:color="auto"/>
        <w:bottom w:val="none" w:sz="0" w:space="0" w:color="auto"/>
        <w:right w:val="none" w:sz="0" w:space="0" w:color="auto"/>
      </w:divBdr>
    </w:div>
    <w:div w:id="897211039">
      <w:bodyDiv w:val="1"/>
      <w:marLeft w:val="0"/>
      <w:marRight w:val="0"/>
      <w:marTop w:val="0"/>
      <w:marBottom w:val="0"/>
      <w:divBdr>
        <w:top w:val="none" w:sz="0" w:space="0" w:color="auto"/>
        <w:left w:val="none" w:sz="0" w:space="0" w:color="auto"/>
        <w:bottom w:val="none" w:sz="0" w:space="0" w:color="auto"/>
        <w:right w:val="none" w:sz="0" w:space="0" w:color="auto"/>
      </w:divBdr>
    </w:div>
    <w:div w:id="916474197">
      <w:bodyDiv w:val="1"/>
      <w:marLeft w:val="0"/>
      <w:marRight w:val="0"/>
      <w:marTop w:val="0"/>
      <w:marBottom w:val="0"/>
      <w:divBdr>
        <w:top w:val="none" w:sz="0" w:space="0" w:color="auto"/>
        <w:left w:val="none" w:sz="0" w:space="0" w:color="auto"/>
        <w:bottom w:val="none" w:sz="0" w:space="0" w:color="auto"/>
        <w:right w:val="none" w:sz="0" w:space="0" w:color="auto"/>
      </w:divBdr>
    </w:div>
    <w:div w:id="930893496">
      <w:bodyDiv w:val="1"/>
      <w:marLeft w:val="0"/>
      <w:marRight w:val="0"/>
      <w:marTop w:val="0"/>
      <w:marBottom w:val="0"/>
      <w:divBdr>
        <w:top w:val="none" w:sz="0" w:space="0" w:color="auto"/>
        <w:left w:val="none" w:sz="0" w:space="0" w:color="auto"/>
        <w:bottom w:val="none" w:sz="0" w:space="0" w:color="auto"/>
        <w:right w:val="none" w:sz="0" w:space="0" w:color="auto"/>
      </w:divBdr>
    </w:div>
    <w:div w:id="937375587">
      <w:bodyDiv w:val="1"/>
      <w:marLeft w:val="0"/>
      <w:marRight w:val="0"/>
      <w:marTop w:val="0"/>
      <w:marBottom w:val="0"/>
      <w:divBdr>
        <w:top w:val="none" w:sz="0" w:space="0" w:color="auto"/>
        <w:left w:val="none" w:sz="0" w:space="0" w:color="auto"/>
        <w:bottom w:val="none" w:sz="0" w:space="0" w:color="auto"/>
        <w:right w:val="none" w:sz="0" w:space="0" w:color="auto"/>
      </w:divBdr>
    </w:div>
    <w:div w:id="955138786">
      <w:bodyDiv w:val="1"/>
      <w:marLeft w:val="0"/>
      <w:marRight w:val="0"/>
      <w:marTop w:val="0"/>
      <w:marBottom w:val="0"/>
      <w:divBdr>
        <w:top w:val="none" w:sz="0" w:space="0" w:color="auto"/>
        <w:left w:val="none" w:sz="0" w:space="0" w:color="auto"/>
        <w:bottom w:val="none" w:sz="0" w:space="0" w:color="auto"/>
        <w:right w:val="none" w:sz="0" w:space="0" w:color="auto"/>
      </w:divBdr>
    </w:div>
    <w:div w:id="958225138">
      <w:bodyDiv w:val="1"/>
      <w:marLeft w:val="0"/>
      <w:marRight w:val="0"/>
      <w:marTop w:val="0"/>
      <w:marBottom w:val="0"/>
      <w:divBdr>
        <w:top w:val="none" w:sz="0" w:space="0" w:color="auto"/>
        <w:left w:val="none" w:sz="0" w:space="0" w:color="auto"/>
        <w:bottom w:val="none" w:sz="0" w:space="0" w:color="auto"/>
        <w:right w:val="none" w:sz="0" w:space="0" w:color="auto"/>
      </w:divBdr>
    </w:div>
    <w:div w:id="964193026">
      <w:bodyDiv w:val="1"/>
      <w:marLeft w:val="0"/>
      <w:marRight w:val="0"/>
      <w:marTop w:val="0"/>
      <w:marBottom w:val="0"/>
      <w:divBdr>
        <w:top w:val="none" w:sz="0" w:space="0" w:color="auto"/>
        <w:left w:val="none" w:sz="0" w:space="0" w:color="auto"/>
        <w:bottom w:val="none" w:sz="0" w:space="0" w:color="auto"/>
        <w:right w:val="none" w:sz="0" w:space="0" w:color="auto"/>
      </w:divBdr>
    </w:div>
    <w:div w:id="972295977">
      <w:bodyDiv w:val="1"/>
      <w:marLeft w:val="0"/>
      <w:marRight w:val="0"/>
      <w:marTop w:val="0"/>
      <w:marBottom w:val="0"/>
      <w:divBdr>
        <w:top w:val="none" w:sz="0" w:space="0" w:color="auto"/>
        <w:left w:val="none" w:sz="0" w:space="0" w:color="auto"/>
        <w:bottom w:val="none" w:sz="0" w:space="0" w:color="auto"/>
        <w:right w:val="none" w:sz="0" w:space="0" w:color="auto"/>
      </w:divBdr>
    </w:div>
    <w:div w:id="986009740">
      <w:bodyDiv w:val="1"/>
      <w:marLeft w:val="0"/>
      <w:marRight w:val="0"/>
      <w:marTop w:val="0"/>
      <w:marBottom w:val="0"/>
      <w:divBdr>
        <w:top w:val="none" w:sz="0" w:space="0" w:color="auto"/>
        <w:left w:val="none" w:sz="0" w:space="0" w:color="auto"/>
        <w:bottom w:val="none" w:sz="0" w:space="0" w:color="auto"/>
        <w:right w:val="none" w:sz="0" w:space="0" w:color="auto"/>
      </w:divBdr>
    </w:div>
    <w:div w:id="989402800">
      <w:bodyDiv w:val="1"/>
      <w:marLeft w:val="0"/>
      <w:marRight w:val="0"/>
      <w:marTop w:val="0"/>
      <w:marBottom w:val="0"/>
      <w:divBdr>
        <w:top w:val="none" w:sz="0" w:space="0" w:color="auto"/>
        <w:left w:val="none" w:sz="0" w:space="0" w:color="auto"/>
        <w:bottom w:val="none" w:sz="0" w:space="0" w:color="auto"/>
        <w:right w:val="none" w:sz="0" w:space="0" w:color="auto"/>
      </w:divBdr>
    </w:div>
    <w:div w:id="1017003788">
      <w:bodyDiv w:val="1"/>
      <w:marLeft w:val="0"/>
      <w:marRight w:val="0"/>
      <w:marTop w:val="0"/>
      <w:marBottom w:val="0"/>
      <w:divBdr>
        <w:top w:val="none" w:sz="0" w:space="0" w:color="auto"/>
        <w:left w:val="none" w:sz="0" w:space="0" w:color="auto"/>
        <w:bottom w:val="none" w:sz="0" w:space="0" w:color="auto"/>
        <w:right w:val="none" w:sz="0" w:space="0" w:color="auto"/>
      </w:divBdr>
    </w:div>
    <w:div w:id="1067801175">
      <w:bodyDiv w:val="1"/>
      <w:marLeft w:val="0"/>
      <w:marRight w:val="0"/>
      <w:marTop w:val="0"/>
      <w:marBottom w:val="0"/>
      <w:divBdr>
        <w:top w:val="none" w:sz="0" w:space="0" w:color="auto"/>
        <w:left w:val="none" w:sz="0" w:space="0" w:color="auto"/>
        <w:bottom w:val="none" w:sz="0" w:space="0" w:color="auto"/>
        <w:right w:val="none" w:sz="0" w:space="0" w:color="auto"/>
      </w:divBdr>
    </w:div>
    <w:div w:id="1086195302">
      <w:bodyDiv w:val="1"/>
      <w:marLeft w:val="0"/>
      <w:marRight w:val="0"/>
      <w:marTop w:val="0"/>
      <w:marBottom w:val="0"/>
      <w:divBdr>
        <w:top w:val="none" w:sz="0" w:space="0" w:color="auto"/>
        <w:left w:val="none" w:sz="0" w:space="0" w:color="auto"/>
        <w:bottom w:val="none" w:sz="0" w:space="0" w:color="auto"/>
        <w:right w:val="none" w:sz="0" w:space="0" w:color="auto"/>
      </w:divBdr>
    </w:div>
    <w:div w:id="1101335746">
      <w:bodyDiv w:val="1"/>
      <w:marLeft w:val="0"/>
      <w:marRight w:val="0"/>
      <w:marTop w:val="0"/>
      <w:marBottom w:val="0"/>
      <w:divBdr>
        <w:top w:val="none" w:sz="0" w:space="0" w:color="auto"/>
        <w:left w:val="none" w:sz="0" w:space="0" w:color="auto"/>
        <w:bottom w:val="none" w:sz="0" w:space="0" w:color="auto"/>
        <w:right w:val="none" w:sz="0" w:space="0" w:color="auto"/>
      </w:divBdr>
    </w:div>
    <w:div w:id="1147623142">
      <w:bodyDiv w:val="1"/>
      <w:marLeft w:val="0"/>
      <w:marRight w:val="0"/>
      <w:marTop w:val="0"/>
      <w:marBottom w:val="0"/>
      <w:divBdr>
        <w:top w:val="none" w:sz="0" w:space="0" w:color="auto"/>
        <w:left w:val="none" w:sz="0" w:space="0" w:color="auto"/>
        <w:bottom w:val="none" w:sz="0" w:space="0" w:color="auto"/>
        <w:right w:val="none" w:sz="0" w:space="0" w:color="auto"/>
      </w:divBdr>
    </w:div>
    <w:div w:id="1184170697">
      <w:bodyDiv w:val="1"/>
      <w:marLeft w:val="0"/>
      <w:marRight w:val="0"/>
      <w:marTop w:val="0"/>
      <w:marBottom w:val="0"/>
      <w:divBdr>
        <w:top w:val="none" w:sz="0" w:space="0" w:color="auto"/>
        <w:left w:val="none" w:sz="0" w:space="0" w:color="auto"/>
        <w:bottom w:val="none" w:sz="0" w:space="0" w:color="auto"/>
        <w:right w:val="none" w:sz="0" w:space="0" w:color="auto"/>
      </w:divBdr>
    </w:div>
    <w:div w:id="1184978777">
      <w:bodyDiv w:val="1"/>
      <w:marLeft w:val="0"/>
      <w:marRight w:val="0"/>
      <w:marTop w:val="0"/>
      <w:marBottom w:val="0"/>
      <w:divBdr>
        <w:top w:val="none" w:sz="0" w:space="0" w:color="auto"/>
        <w:left w:val="none" w:sz="0" w:space="0" w:color="auto"/>
        <w:bottom w:val="none" w:sz="0" w:space="0" w:color="auto"/>
        <w:right w:val="none" w:sz="0" w:space="0" w:color="auto"/>
      </w:divBdr>
    </w:div>
    <w:div w:id="1192648451">
      <w:bodyDiv w:val="1"/>
      <w:marLeft w:val="0"/>
      <w:marRight w:val="0"/>
      <w:marTop w:val="0"/>
      <w:marBottom w:val="0"/>
      <w:divBdr>
        <w:top w:val="none" w:sz="0" w:space="0" w:color="auto"/>
        <w:left w:val="none" w:sz="0" w:space="0" w:color="auto"/>
        <w:bottom w:val="none" w:sz="0" w:space="0" w:color="auto"/>
        <w:right w:val="none" w:sz="0" w:space="0" w:color="auto"/>
      </w:divBdr>
    </w:div>
    <w:div w:id="1197036186">
      <w:bodyDiv w:val="1"/>
      <w:marLeft w:val="0"/>
      <w:marRight w:val="0"/>
      <w:marTop w:val="0"/>
      <w:marBottom w:val="0"/>
      <w:divBdr>
        <w:top w:val="none" w:sz="0" w:space="0" w:color="auto"/>
        <w:left w:val="none" w:sz="0" w:space="0" w:color="auto"/>
        <w:bottom w:val="none" w:sz="0" w:space="0" w:color="auto"/>
        <w:right w:val="none" w:sz="0" w:space="0" w:color="auto"/>
      </w:divBdr>
    </w:div>
    <w:div w:id="1256937789">
      <w:bodyDiv w:val="1"/>
      <w:marLeft w:val="0"/>
      <w:marRight w:val="0"/>
      <w:marTop w:val="0"/>
      <w:marBottom w:val="0"/>
      <w:divBdr>
        <w:top w:val="none" w:sz="0" w:space="0" w:color="auto"/>
        <w:left w:val="none" w:sz="0" w:space="0" w:color="auto"/>
        <w:bottom w:val="none" w:sz="0" w:space="0" w:color="auto"/>
        <w:right w:val="none" w:sz="0" w:space="0" w:color="auto"/>
      </w:divBdr>
    </w:div>
    <w:div w:id="1274630574">
      <w:bodyDiv w:val="1"/>
      <w:marLeft w:val="0"/>
      <w:marRight w:val="0"/>
      <w:marTop w:val="0"/>
      <w:marBottom w:val="0"/>
      <w:divBdr>
        <w:top w:val="none" w:sz="0" w:space="0" w:color="auto"/>
        <w:left w:val="none" w:sz="0" w:space="0" w:color="auto"/>
        <w:bottom w:val="none" w:sz="0" w:space="0" w:color="auto"/>
        <w:right w:val="none" w:sz="0" w:space="0" w:color="auto"/>
      </w:divBdr>
    </w:div>
    <w:div w:id="1280066107">
      <w:bodyDiv w:val="1"/>
      <w:marLeft w:val="0"/>
      <w:marRight w:val="0"/>
      <w:marTop w:val="0"/>
      <w:marBottom w:val="0"/>
      <w:divBdr>
        <w:top w:val="none" w:sz="0" w:space="0" w:color="auto"/>
        <w:left w:val="none" w:sz="0" w:space="0" w:color="auto"/>
        <w:bottom w:val="none" w:sz="0" w:space="0" w:color="auto"/>
        <w:right w:val="none" w:sz="0" w:space="0" w:color="auto"/>
      </w:divBdr>
    </w:div>
    <w:div w:id="1297106767">
      <w:bodyDiv w:val="1"/>
      <w:marLeft w:val="0"/>
      <w:marRight w:val="0"/>
      <w:marTop w:val="0"/>
      <w:marBottom w:val="0"/>
      <w:divBdr>
        <w:top w:val="none" w:sz="0" w:space="0" w:color="auto"/>
        <w:left w:val="none" w:sz="0" w:space="0" w:color="auto"/>
        <w:bottom w:val="none" w:sz="0" w:space="0" w:color="auto"/>
        <w:right w:val="none" w:sz="0" w:space="0" w:color="auto"/>
      </w:divBdr>
    </w:div>
    <w:div w:id="1313757191">
      <w:bodyDiv w:val="1"/>
      <w:marLeft w:val="0"/>
      <w:marRight w:val="0"/>
      <w:marTop w:val="0"/>
      <w:marBottom w:val="0"/>
      <w:divBdr>
        <w:top w:val="none" w:sz="0" w:space="0" w:color="auto"/>
        <w:left w:val="none" w:sz="0" w:space="0" w:color="auto"/>
        <w:bottom w:val="none" w:sz="0" w:space="0" w:color="auto"/>
        <w:right w:val="none" w:sz="0" w:space="0" w:color="auto"/>
      </w:divBdr>
    </w:div>
    <w:div w:id="1335767429">
      <w:bodyDiv w:val="1"/>
      <w:marLeft w:val="0"/>
      <w:marRight w:val="0"/>
      <w:marTop w:val="0"/>
      <w:marBottom w:val="0"/>
      <w:divBdr>
        <w:top w:val="none" w:sz="0" w:space="0" w:color="auto"/>
        <w:left w:val="none" w:sz="0" w:space="0" w:color="auto"/>
        <w:bottom w:val="none" w:sz="0" w:space="0" w:color="auto"/>
        <w:right w:val="none" w:sz="0" w:space="0" w:color="auto"/>
      </w:divBdr>
    </w:div>
    <w:div w:id="1336229742">
      <w:bodyDiv w:val="1"/>
      <w:marLeft w:val="0"/>
      <w:marRight w:val="0"/>
      <w:marTop w:val="0"/>
      <w:marBottom w:val="0"/>
      <w:divBdr>
        <w:top w:val="none" w:sz="0" w:space="0" w:color="auto"/>
        <w:left w:val="none" w:sz="0" w:space="0" w:color="auto"/>
        <w:bottom w:val="none" w:sz="0" w:space="0" w:color="auto"/>
        <w:right w:val="none" w:sz="0" w:space="0" w:color="auto"/>
      </w:divBdr>
    </w:div>
    <w:div w:id="1354258898">
      <w:bodyDiv w:val="1"/>
      <w:marLeft w:val="0"/>
      <w:marRight w:val="0"/>
      <w:marTop w:val="0"/>
      <w:marBottom w:val="0"/>
      <w:divBdr>
        <w:top w:val="none" w:sz="0" w:space="0" w:color="auto"/>
        <w:left w:val="none" w:sz="0" w:space="0" w:color="auto"/>
        <w:bottom w:val="none" w:sz="0" w:space="0" w:color="auto"/>
        <w:right w:val="none" w:sz="0" w:space="0" w:color="auto"/>
      </w:divBdr>
    </w:div>
    <w:div w:id="1415931801">
      <w:bodyDiv w:val="1"/>
      <w:marLeft w:val="0"/>
      <w:marRight w:val="0"/>
      <w:marTop w:val="0"/>
      <w:marBottom w:val="0"/>
      <w:divBdr>
        <w:top w:val="none" w:sz="0" w:space="0" w:color="auto"/>
        <w:left w:val="none" w:sz="0" w:space="0" w:color="auto"/>
        <w:bottom w:val="none" w:sz="0" w:space="0" w:color="auto"/>
        <w:right w:val="none" w:sz="0" w:space="0" w:color="auto"/>
      </w:divBdr>
    </w:div>
    <w:div w:id="1459181444">
      <w:bodyDiv w:val="1"/>
      <w:marLeft w:val="0"/>
      <w:marRight w:val="0"/>
      <w:marTop w:val="0"/>
      <w:marBottom w:val="0"/>
      <w:divBdr>
        <w:top w:val="none" w:sz="0" w:space="0" w:color="auto"/>
        <w:left w:val="none" w:sz="0" w:space="0" w:color="auto"/>
        <w:bottom w:val="none" w:sz="0" w:space="0" w:color="auto"/>
        <w:right w:val="none" w:sz="0" w:space="0" w:color="auto"/>
      </w:divBdr>
    </w:div>
    <w:div w:id="1472289485">
      <w:bodyDiv w:val="1"/>
      <w:marLeft w:val="0"/>
      <w:marRight w:val="0"/>
      <w:marTop w:val="0"/>
      <w:marBottom w:val="0"/>
      <w:divBdr>
        <w:top w:val="none" w:sz="0" w:space="0" w:color="auto"/>
        <w:left w:val="none" w:sz="0" w:space="0" w:color="auto"/>
        <w:bottom w:val="none" w:sz="0" w:space="0" w:color="auto"/>
        <w:right w:val="none" w:sz="0" w:space="0" w:color="auto"/>
      </w:divBdr>
    </w:div>
    <w:div w:id="1491411010">
      <w:bodyDiv w:val="1"/>
      <w:marLeft w:val="0"/>
      <w:marRight w:val="0"/>
      <w:marTop w:val="0"/>
      <w:marBottom w:val="0"/>
      <w:divBdr>
        <w:top w:val="none" w:sz="0" w:space="0" w:color="auto"/>
        <w:left w:val="none" w:sz="0" w:space="0" w:color="auto"/>
        <w:bottom w:val="none" w:sz="0" w:space="0" w:color="auto"/>
        <w:right w:val="none" w:sz="0" w:space="0" w:color="auto"/>
      </w:divBdr>
    </w:div>
    <w:div w:id="1513571577">
      <w:bodyDiv w:val="1"/>
      <w:marLeft w:val="0"/>
      <w:marRight w:val="0"/>
      <w:marTop w:val="0"/>
      <w:marBottom w:val="0"/>
      <w:divBdr>
        <w:top w:val="none" w:sz="0" w:space="0" w:color="auto"/>
        <w:left w:val="none" w:sz="0" w:space="0" w:color="auto"/>
        <w:bottom w:val="none" w:sz="0" w:space="0" w:color="auto"/>
        <w:right w:val="none" w:sz="0" w:space="0" w:color="auto"/>
      </w:divBdr>
    </w:div>
    <w:div w:id="1518736802">
      <w:bodyDiv w:val="1"/>
      <w:marLeft w:val="0"/>
      <w:marRight w:val="0"/>
      <w:marTop w:val="0"/>
      <w:marBottom w:val="0"/>
      <w:divBdr>
        <w:top w:val="none" w:sz="0" w:space="0" w:color="auto"/>
        <w:left w:val="none" w:sz="0" w:space="0" w:color="auto"/>
        <w:bottom w:val="none" w:sz="0" w:space="0" w:color="auto"/>
        <w:right w:val="none" w:sz="0" w:space="0" w:color="auto"/>
      </w:divBdr>
    </w:div>
    <w:div w:id="1523203438">
      <w:bodyDiv w:val="1"/>
      <w:marLeft w:val="0"/>
      <w:marRight w:val="0"/>
      <w:marTop w:val="0"/>
      <w:marBottom w:val="0"/>
      <w:divBdr>
        <w:top w:val="none" w:sz="0" w:space="0" w:color="auto"/>
        <w:left w:val="none" w:sz="0" w:space="0" w:color="auto"/>
        <w:bottom w:val="none" w:sz="0" w:space="0" w:color="auto"/>
        <w:right w:val="none" w:sz="0" w:space="0" w:color="auto"/>
      </w:divBdr>
    </w:div>
    <w:div w:id="1585186638">
      <w:bodyDiv w:val="1"/>
      <w:marLeft w:val="0"/>
      <w:marRight w:val="0"/>
      <w:marTop w:val="0"/>
      <w:marBottom w:val="0"/>
      <w:divBdr>
        <w:top w:val="none" w:sz="0" w:space="0" w:color="auto"/>
        <w:left w:val="none" w:sz="0" w:space="0" w:color="auto"/>
        <w:bottom w:val="none" w:sz="0" w:space="0" w:color="auto"/>
        <w:right w:val="none" w:sz="0" w:space="0" w:color="auto"/>
      </w:divBdr>
    </w:div>
    <w:div w:id="1594898326">
      <w:bodyDiv w:val="1"/>
      <w:marLeft w:val="0"/>
      <w:marRight w:val="0"/>
      <w:marTop w:val="0"/>
      <w:marBottom w:val="0"/>
      <w:divBdr>
        <w:top w:val="none" w:sz="0" w:space="0" w:color="auto"/>
        <w:left w:val="none" w:sz="0" w:space="0" w:color="auto"/>
        <w:bottom w:val="none" w:sz="0" w:space="0" w:color="auto"/>
        <w:right w:val="none" w:sz="0" w:space="0" w:color="auto"/>
      </w:divBdr>
    </w:div>
    <w:div w:id="1617977989">
      <w:bodyDiv w:val="1"/>
      <w:marLeft w:val="0"/>
      <w:marRight w:val="0"/>
      <w:marTop w:val="0"/>
      <w:marBottom w:val="0"/>
      <w:divBdr>
        <w:top w:val="none" w:sz="0" w:space="0" w:color="auto"/>
        <w:left w:val="none" w:sz="0" w:space="0" w:color="auto"/>
        <w:bottom w:val="none" w:sz="0" w:space="0" w:color="auto"/>
        <w:right w:val="none" w:sz="0" w:space="0" w:color="auto"/>
      </w:divBdr>
    </w:div>
    <w:div w:id="1637220546">
      <w:bodyDiv w:val="1"/>
      <w:marLeft w:val="0"/>
      <w:marRight w:val="0"/>
      <w:marTop w:val="0"/>
      <w:marBottom w:val="0"/>
      <w:divBdr>
        <w:top w:val="none" w:sz="0" w:space="0" w:color="auto"/>
        <w:left w:val="none" w:sz="0" w:space="0" w:color="auto"/>
        <w:bottom w:val="none" w:sz="0" w:space="0" w:color="auto"/>
        <w:right w:val="none" w:sz="0" w:space="0" w:color="auto"/>
      </w:divBdr>
    </w:div>
    <w:div w:id="1675956966">
      <w:bodyDiv w:val="1"/>
      <w:marLeft w:val="0"/>
      <w:marRight w:val="0"/>
      <w:marTop w:val="0"/>
      <w:marBottom w:val="0"/>
      <w:divBdr>
        <w:top w:val="none" w:sz="0" w:space="0" w:color="auto"/>
        <w:left w:val="none" w:sz="0" w:space="0" w:color="auto"/>
        <w:bottom w:val="none" w:sz="0" w:space="0" w:color="auto"/>
        <w:right w:val="none" w:sz="0" w:space="0" w:color="auto"/>
      </w:divBdr>
    </w:div>
    <w:div w:id="1676036835">
      <w:bodyDiv w:val="1"/>
      <w:marLeft w:val="0"/>
      <w:marRight w:val="0"/>
      <w:marTop w:val="0"/>
      <w:marBottom w:val="0"/>
      <w:divBdr>
        <w:top w:val="none" w:sz="0" w:space="0" w:color="auto"/>
        <w:left w:val="none" w:sz="0" w:space="0" w:color="auto"/>
        <w:bottom w:val="none" w:sz="0" w:space="0" w:color="auto"/>
        <w:right w:val="none" w:sz="0" w:space="0" w:color="auto"/>
      </w:divBdr>
    </w:div>
    <w:div w:id="1683362639">
      <w:bodyDiv w:val="1"/>
      <w:marLeft w:val="0"/>
      <w:marRight w:val="0"/>
      <w:marTop w:val="0"/>
      <w:marBottom w:val="0"/>
      <w:divBdr>
        <w:top w:val="none" w:sz="0" w:space="0" w:color="auto"/>
        <w:left w:val="none" w:sz="0" w:space="0" w:color="auto"/>
        <w:bottom w:val="none" w:sz="0" w:space="0" w:color="auto"/>
        <w:right w:val="none" w:sz="0" w:space="0" w:color="auto"/>
      </w:divBdr>
    </w:div>
    <w:div w:id="1721244601">
      <w:bodyDiv w:val="1"/>
      <w:marLeft w:val="0"/>
      <w:marRight w:val="0"/>
      <w:marTop w:val="0"/>
      <w:marBottom w:val="0"/>
      <w:divBdr>
        <w:top w:val="none" w:sz="0" w:space="0" w:color="auto"/>
        <w:left w:val="none" w:sz="0" w:space="0" w:color="auto"/>
        <w:bottom w:val="none" w:sz="0" w:space="0" w:color="auto"/>
        <w:right w:val="none" w:sz="0" w:space="0" w:color="auto"/>
      </w:divBdr>
    </w:div>
    <w:div w:id="1746951946">
      <w:bodyDiv w:val="1"/>
      <w:marLeft w:val="0"/>
      <w:marRight w:val="0"/>
      <w:marTop w:val="0"/>
      <w:marBottom w:val="0"/>
      <w:divBdr>
        <w:top w:val="none" w:sz="0" w:space="0" w:color="auto"/>
        <w:left w:val="none" w:sz="0" w:space="0" w:color="auto"/>
        <w:bottom w:val="none" w:sz="0" w:space="0" w:color="auto"/>
        <w:right w:val="none" w:sz="0" w:space="0" w:color="auto"/>
      </w:divBdr>
    </w:div>
    <w:div w:id="1749813667">
      <w:bodyDiv w:val="1"/>
      <w:marLeft w:val="0"/>
      <w:marRight w:val="0"/>
      <w:marTop w:val="0"/>
      <w:marBottom w:val="0"/>
      <w:divBdr>
        <w:top w:val="none" w:sz="0" w:space="0" w:color="auto"/>
        <w:left w:val="none" w:sz="0" w:space="0" w:color="auto"/>
        <w:bottom w:val="none" w:sz="0" w:space="0" w:color="auto"/>
        <w:right w:val="none" w:sz="0" w:space="0" w:color="auto"/>
      </w:divBdr>
    </w:div>
    <w:div w:id="1771857001">
      <w:bodyDiv w:val="1"/>
      <w:marLeft w:val="0"/>
      <w:marRight w:val="0"/>
      <w:marTop w:val="0"/>
      <w:marBottom w:val="0"/>
      <w:divBdr>
        <w:top w:val="none" w:sz="0" w:space="0" w:color="auto"/>
        <w:left w:val="none" w:sz="0" w:space="0" w:color="auto"/>
        <w:bottom w:val="none" w:sz="0" w:space="0" w:color="auto"/>
        <w:right w:val="none" w:sz="0" w:space="0" w:color="auto"/>
      </w:divBdr>
    </w:div>
    <w:div w:id="1850370714">
      <w:bodyDiv w:val="1"/>
      <w:marLeft w:val="0"/>
      <w:marRight w:val="0"/>
      <w:marTop w:val="0"/>
      <w:marBottom w:val="0"/>
      <w:divBdr>
        <w:top w:val="none" w:sz="0" w:space="0" w:color="auto"/>
        <w:left w:val="none" w:sz="0" w:space="0" w:color="auto"/>
        <w:bottom w:val="none" w:sz="0" w:space="0" w:color="auto"/>
        <w:right w:val="none" w:sz="0" w:space="0" w:color="auto"/>
      </w:divBdr>
    </w:div>
    <w:div w:id="1879200333">
      <w:bodyDiv w:val="1"/>
      <w:marLeft w:val="0"/>
      <w:marRight w:val="0"/>
      <w:marTop w:val="0"/>
      <w:marBottom w:val="0"/>
      <w:divBdr>
        <w:top w:val="none" w:sz="0" w:space="0" w:color="auto"/>
        <w:left w:val="none" w:sz="0" w:space="0" w:color="auto"/>
        <w:bottom w:val="none" w:sz="0" w:space="0" w:color="auto"/>
        <w:right w:val="none" w:sz="0" w:space="0" w:color="auto"/>
      </w:divBdr>
    </w:div>
    <w:div w:id="1885675084">
      <w:bodyDiv w:val="1"/>
      <w:marLeft w:val="0"/>
      <w:marRight w:val="0"/>
      <w:marTop w:val="0"/>
      <w:marBottom w:val="0"/>
      <w:divBdr>
        <w:top w:val="none" w:sz="0" w:space="0" w:color="auto"/>
        <w:left w:val="none" w:sz="0" w:space="0" w:color="auto"/>
        <w:bottom w:val="none" w:sz="0" w:space="0" w:color="auto"/>
        <w:right w:val="none" w:sz="0" w:space="0" w:color="auto"/>
      </w:divBdr>
    </w:div>
    <w:div w:id="1885677985">
      <w:bodyDiv w:val="1"/>
      <w:marLeft w:val="0"/>
      <w:marRight w:val="0"/>
      <w:marTop w:val="0"/>
      <w:marBottom w:val="0"/>
      <w:divBdr>
        <w:top w:val="none" w:sz="0" w:space="0" w:color="auto"/>
        <w:left w:val="none" w:sz="0" w:space="0" w:color="auto"/>
        <w:bottom w:val="none" w:sz="0" w:space="0" w:color="auto"/>
        <w:right w:val="none" w:sz="0" w:space="0" w:color="auto"/>
      </w:divBdr>
    </w:div>
    <w:div w:id="1893078770">
      <w:bodyDiv w:val="1"/>
      <w:marLeft w:val="0"/>
      <w:marRight w:val="0"/>
      <w:marTop w:val="0"/>
      <w:marBottom w:val="0"/>
      <w:divBdr>
        <w:top w:val="none" w:sz="0" w:space="0" w:color="auto"/>
        <w:left w:val="none" w:sz="0" w:space="0" w:color="auto"/>
        <w:bottom w:val="none" w:sz="0" w:space="0" w:color="auto"/>
        <w:right w:val="none" w:sz="0" w:space="0" w:color="auto"/>
      </w:divBdr>
    </w:div>
    <w:div w:id="1894468061">
      <w:bodyDiv w:val="1"/>
      <w:marLeft w:val="0"/>
      <w:marRight w:val="0"/>
      <w:marTop w:val="0"/>
      <w:marBottom w:val="0"/>
      <w:divBdr>
        <w:top w:val="none" w:sz="0" w:space="0" w:color="auto"/>
        <w:left w:val="none" w:sz="0" w:space="0" w:color="auto"/>
        <w:bottom w:val="none" w:sz="0" w:space="0" w:color="auto"/>
        <w:right w:val="none" w:sz="0" w:space="0" w:color="auto"/>
      </w:divBdr>
    </w:div>
    <w:div w:id="1920015832">
      <w:bodyDiv w:val="1"/>
      <w:marLeft w:val="0"/>
      <w:marRight w:val="0"/>
      <w:marTop w:val="0"/>
      <w:marBottom w:val="0"/>
      <w:divBdr>
        <w:top w:val="none" w:sz="0" w:space="0" w:color="auto"/>
        <w:left w:val="none" w:sz="0" w:space="0" w:color="auto"/>
        <w:bottom w:val="none" w:sz="0" w:space="0" w:color="auto"/>
        <w:right w:val="none" w:sz="0" w:space="0" w:color="auto"/>
      </w:divBdr>
    </w:div>
    <w:div w:id="1931700566">
      <w:bodyDiv w:val="1"/>
      <w:marLeft w:val="0"/>
      <w:marRight w:val="0"/>
      <w:marTop w:val="0"/>
      <w:marBottom w:val="0"/>
      <w:divBdr>
        <w:top w:val="none" w:sz="0" w:space="0" w:color="auto"/>
        <w:left w:val="none" w:sz="0" w:space="0" w:color="auto"/>
        <w:bottom w:val="none" w:sz="0" w:space="0" w:color="auto"/>
        <w:right w:val="none" w:sz="0" w:space="0" w:color="auto"/>
      </w:divBdr>
    </w:div>
    <w:div w:id="1946494697">
      <w:bodyDiv w:val="1"/>
      <w:marLeft w:val="0"/>
      <w:marRight w:val="0"/>
      <w:marTop w:val="0"/>
      <w:marBottom w:val="0"/>
      <w:divBdr>
        <w:top w:val="none" w:sz="0" w:space="0" w:color="auto"/>
        <w:left w:val="none" w:sz="0" w:space="0" w:color="auto"/>
        <w:bottom w:val="none" w:sz="0" w:space="0" w:color="auto"/>
        <w:right w:val="none" w:sz="0" w:space="0" w:color="auto"/>
      </w:divBdr>
    </w:div>
    <w:div w:id="2014838924">
      <w:bodyDiv w:val="1"/>
      <w:marLeft w:val="0"/>
      <w:marRight w:val="0"/>
      <w:marTop w:val="0"/>
      <w:marBottom w:val="0"/>
      <w:divBdr>
        <w:top w:val="none" w:sz="0" w:space="0" w:color="auto"/>
        <w:left w:val="none" w:sz="0" w:space="0" w:color="auto"/>
        <w:bottom w:val="none" w:sz="0" w:space="0" w:color="auto"/>
        <w:right w:val="none" w:sz="0" w:space="0" w:color="auto"/>
      </w:divBdr>
    </w:div>
    <w:div w:id="2037347965">
      <w:bodyDiv w:val="1"/>
      <w:marLeft w:val="0"/>
      <w:marRight w:val="0"/>
      <w:marTop w:val="0"/>
      <w:marBottom w:val="0"/>
      <w:divBdr>
        <w:top w:val="none" w:sz="0" w:space="0" w:color="auto"/>
        <w:left w:val="none" w:sz="0" w:space="0" w:color="auto"/>
        <w:bottom w:val="none" w:sz="0" w:space="0" w:color="auto"/>
        <w:right w:val="none" w:sz="0" w:space="0" w:color="auto"/>
      </w:divBdr>
    </w:div>
    <w:div w:id="2046248588">
      <w:bodyDiv w:val="1"/>
      <w:marLeft w:val="0"/>
      <w:marRight w:val="0"/>
      <w:marTop w:val="0"/>
      <w:marBottom w:val="0"/>
      <w:divBdr>
        <w:top w:val="none" w:sz="0" w:space="0" w:color="auto"/>
        <w:left w:val="none" w:sz="0" w:space="0" w:color="auto"/>
        <w:bottom w:val="none" w:sz="0" w:space="0" w:color="auto"/>
        <w:right w:val="none" w:sz="0" w:space="0" w:color="auto"/>
      </w:divBdr>
    </w:div>
    <w:div w:id="2068069660">
      <w:bodyDiv w:val="1"/>
      <w:marLeft w:val="0"/>
      <w:marRight w:val="0"/>
      <w:marTop w:val="0"/>
      <w:marBottom w:val="0"/>
      <w:divBdr>
        <w:top w:val="none" w:sz="0" w:space="0" w:color="auto"/>
        <w:left w:val="none" w:sz="0" w:space="0" w:color="auto"/>
        <w:bottom w:val="none" w:sz="0" w:space="0" w:color="auto"/>
        <w:right w:val="none" w:sz="0" w:space="0" w:color="auto"/>
      </w:divBdr>
    </w:div>
    <w:div w:id="2070884633">
      <w:bodyDiv w:val="1"/>
      <w:marLeft w:val="0"/>
      <w:marRight w:val="0"/>
      <w:marTop w:val="0"/>
      <w:marBottom w:val="0"/>
      <w:divBdr>
        <w:top w:val="none" w:sz="0" w:space="0" w:color="auto"/>
        <w:left w:val="none" w:sz="0" w:space="0" w:color="auto"/>
        <w:bottom w:val="none" w:sz="0" w:space="0" w:color="auto"/>
        <w:right w:val="none" w:sz="0" w:space="0" w:color="auto"/>
      </w:divBdr>
    </w:div>
    <w:div w:id="2085031467">
      <w:bodyDiv w:val="1"/>
      <w:marLeft w:val="0"/>
      <w:marRight w:val="0"/>
      <w:marTop w:val="0"/>
      <w:marBottom w:val="0"/>
      <w:divBdr>
        <w:top w:val="none" w:sz="0" w:space="0" w:color="auto"/>
        <w:left w:val="none" w:sz="0" w:space="0" w:color="auto"/>
        <w:bottom w:val="none" w:sz="0" w:space="0" w:color="auto"/>
        <w:right w:val="none" w:sz="0" w:space="0" w:color="auto"/>
      </w:divBdr>
    </w:div>
    <w:div w:id="2099397341">
      <w:bodyDiv w:val="1"/>
      <w:marLeft w:val="0"/>
      <w:marRight w:val="0"/>
      <w:marTop w:val="0"/>
      <w:marBottom w:val="0"/>
      <w:divBdr>
        <w:top w:val="none" w:sz="0" w:space="0" w:color="auto"/>
        <w:left w:val="none" w:sz="0" w:space="0" w:color="auto"/>
        <w:bottom w:val="none" w:sz="0" w:space="0" w:color="auto"/>
        <w:right w:val="none" w:sz="0" w:space="0" w:color="auto"/>
      </w:divBdr>
    </w:div>
    <w:div w:id="2107604740">
      <w:bodyDiv w:val="1"/>
      <w:marLeft w:val="0"/>
      <w:marRight w:val="0"/>
      <w:marTop w:val="0"/>
      <w:marBottom w:val="0"/>
      <w:divBdr>
        <w:top w:val="none" w:sz="0" w:space="0" w:color="auto"/>
        <w:left w:val="none" w:sz="0" w:space="0" w:color="auto"/>
        <w:bottom w:val="none" w:sz="0" w:space="0" w:color="auto"/>
        <w:right w:val="none" w:sz="0" w:space="0" w:color="auto"/>
      </w:divBdr>
    </w:div>
    <w:div w:id="2122262611">
      <w:bodyDiv w:val="1"/>
      <w:marLeft w:val="0"/>
      <w:marRight w:val="0"/>
      <w:marTop w:val="0"/>
      <w:marBottom w:val="0"/>
      <w:divBdr>
        <w:top w:val="none" w:sz="0" w:space="0" w:color="auto"/>
        <w:left w:val="none" w:sz="0" w:space="0" w:color="auto"/>
        <w:bottom w:val="none" w:sz="0" w:space="0" w:color="auto"/>
        <w:right w:val="none" w:sz="0" w:space="0" w:color="auto"/>
      </w:divBdr>
    </w:div>
    <w:div w:id="21244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image" Target="media/image4.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www.budget.up.nic.in" TargetMode="External"/><Relationship Id="rId38" Type="http://schemas.openxmlformats.org/officeDocument/2006/relationships/footer" Target="footer14.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6.xml"/><Relationship Id="rId24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budget.nic.in"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nddhavale\Application%20Data\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1227-3E93-4857-AB21-7662F741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2194</TotalTime>
  <Pages>1</Pages>
  <Words>56189</Words>
  <Characters>320282</Characters>
  <Application>Microsoft Office Word</Application>
  <DocSecurity>8</DocSecurity>
  <Lines>2669</Lines>
  <Paragraphs>751</Paragraphs>
  <ScaleCrop>false</ScaleCrop>
  <HeadingPairs>
    <vt:vector size="2" baseType="variant">
      <vt:variant>
        <vt:lpstr>Title</vt:lpstr>
      </vt:variant>
      <vt:variant>
        <vt:i4>1</vt:i4>
      </vt:variant>
    </vt:vector>
  </HeadingPairs>
  <TitlesOfParts>
    <vt:vector size="1" baseType="lpstr">
      <vt:lpstr>NPCL Tariff Order - Ver 7.0</vt:lpstr>
    </vt:vector>
  </TitlesOfParts>
  <Company>Feedback Ventures Pvt Ltd</Company>
  <LinksUpToDate>false</LinksUpToDate>
  <CharactersWithSpaces>375720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NPCL Tariff Order - Ver 7.0</dc:title>
  <dc:creator>Jayesh Chauhan</dc:creator>
  <cp:lastModifiedBy>VNN.R9</cp:lastModifiedBy>
  <cp:revision>123</cp:revision>
  <cp:lastPrinted>2012-11-16T10:05:00Z</cp:lastPrinted>
  <dcterms:created xsi:type="dcterms:W3CDTF">2013-05-25T06:18:00Z</dcterms:created>
  <dcterms:modified xsi:type="dcterms:W3CDTF">2013-05-31T14:49:00Z</dcterms:modified>
</cp:coreProperties>
</file>